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ascii="宋体" w:hAnsi="宋体"/>
          <w:sz w:val="52"/>
          <w:szCs w:val="52"/>
        </w:rPr>
      </w:pPr>
      <w:r>
        <w:rPr>
          <w:rFonts w:hint="eastAsia" w:ascii="宋体" w:hAnsi="宋体"/>
          <w:sz w:val="52"/>
          <w:szCs w:val="52"/>
        </w:rPr>
        <w:t>广西壮族自治区政府采购</w:t>
      </w:r>
    </w:p>
    <w:p>
      <w:pPr>
        <w:spacing w:before="156" w:beforeLines="50" w:line="360" w:lineRule="auto"/>
        <w:jc w:val="center"/>
        <w:rPr>
          <w:rFonts w:ascii="宋体" w:hAnsi="宋体"/>
          <w:sz w:val="52"/>
          <w:szCs w:val="52"/>
        </w:rPr>
      </w:pPr>
      <w:r>
        <w:rPr>
          <w:rFonts w:hint="eastAsia" w:ascii="宋体" w:hAnsi="宋体"/>
          <w:sz w:val="52"/>
          <w:szCs w:val="52"/>
        </w:rPr>
        <w:t>服务类招标文件</w:t>
      </w:r>
    </w:p>
    <w:p>
      <w:pPr>
        <w:spacing w:before="156" w:beforeLines="50" w:line="360" w:lineRule="auto"/>
        <w:jc w:val="center"/>
        <w:rPr>
          <w:rFonts w:ascii="仿宋_GB2312" w:hAnsi="宋体" w:eastAsia="仿宋_GB2312"/>
          <w:b/>
          <w:sz w:val="48"/>
          <w:szCs w:val="48"/>
        </w:rPr>
      </w:pPr>
    </w:p>
    <w:p>
      <w:pPr>
        <w:spacing w:before="156" w:beforeLines="50" w:line="360" w:lineRule="auto"/>
        <w:jc w:val="center"/>
        <w:rPr>
          <w:rFonts w:ascii="仿宋_GB2312" w:hAnsi="宋体" w:eastAsia="仿宋_GB2312"/>
          <w:b/>
          <w:sz w:val="48"/>
          <w:szCs w:val="48"/>
        </w:rPr>
      </w:pPr>
    </w:p>
    <w:p>
      <w:pPr>
        <w:snapToGrid w:val="0"/>
        <w:spacing w:before="156" w:beforeLines="50" w:line="360" w:lineRule="auto"/>
        <w:jc w:val="center"/>
        <w:rPr>
          <w:rFonts w:ascii="华文新魏" w:hAnsi="宋体" w:eastAsia="华文新魏"/>
          <w:sz w:val="72"/>
          <w:szCs w:val="72"/>
        </w:rPr>
      </w:pPr>
      <w:r>
        <w:rPr>
          <w:rFonts w:hint="eastAsia" w:ascii="华文新魏" w:hAnsi="宋体" w:eastAsia="华文新魏"/>
          <w:sz w:val="72"/>
          <w:szCs w:val="72"/>
        </w:rPr>
        <w:t>招 标 文 件</w:t>
      </w:r>
    </w:p>
    <w:p>
      <w:pPr>
        <w:snapToGrid w:val="0"/>
        <w:spacing w:before="156" w:beforeLines="50" w:line="360" w:lineRule="auto"/>
        <w:rPr>
          <w:rFonts w:ascii="仿宋_GB2312" w:hAnsi="宋体" w:eastAsia="仿宋_GB2312"/>
          <w:sz w:val="30"/>
          <w:szCs w:val="72"/>
        </w:rPr>
      </w:pPr>
    </w:p>
    <w:p>
      <w:pPr>
        <w:snapToGrid w:val="0"/>
        <w:spacing w:before="156" w:beforeLines="50" w:line="360" w:lineRule="auto"/>
        <w:rPr>
          <w:rFonts w:ascii="仿宋_GB2312" w:hAnsi="宋体" w:eastAsia="仿宋_GB2312"/>
          <w:sz w:val="30"/>
          <w:szCs w:val="72"/>
        </w:rPr>
      </w:pPr>
    </w:p>
    <w:p>
      <w:pPr>
        <w:pStyle w:val="26"/>
        <w:snapToGrid w:val="0"/>
        <w:spacing w:before="50" w:after="120" w:line="360" w:lineRule="auto"/>
        <w:ind w:firstLine="1133" w:firstLineChars="396"/>
        <w:rPr>
          <w:rFonts w:ascii="仿宋_GB2312" w:hAnsi="宋体" w:eastAsia="仿宋_GB2312"/>
          <w:b/>
          <w:bCs/>
          <w:w w:val="95"/>
          <w:sz w:val="30"/>
          <w:szCs w:val="30"/>
        </w:rPr>
      </w:pPr>
      <w:r>
        <w:rPr>
          <w:rFonts w:hint="eastAsia" w:ascii="仿宋_GB2312" w:hAnsi="宋体" w:eastAsia="仿宋_GB2312"/>
          <w:b/>
          <w:bCs/>
          <w:w w:val="95"/>
          <w:sz w:val="30"/>
          <w:szCs w:val="30"/>
        </w:rPr>
        <w:t>项目名称：自治区环境信息中心2024年信息系统运维项目</w:t>
      </w:r>
    </w:p>
    <w:p>
      <w:pPr>
        <w:snapToGrid w:val="0"/>
        <w:spacing w:before="156" w:beforeLines="50" w:line="360" w:lineRule="auto"/>
        <w:ind w:firstLine="1145" w:firstLineChars="400"/>
        <w:rPr>
          <w:rFonts w:ascii="仿宋_GB2312" w:hAnsi="宋体" w:eastAsia="仿宋_GB2312"/>
          <w:b/>
          <w:bCs/>
          <w:w w:val="95"/>
          <w:kern w:val="0"/>
          <w:sz w:val="30"/>
          <w:szCs w:val="30"/>
        </w:rPr>
      </w:pPr>
      <w:r>
        <w:rPr>
          <w:rFonts w:hint="eastAsia" w:ascii="仿宋_GB2312" w:hAnsi="宋体" w:eastAsia="仿宋_GB2312"/>
          <w:b/>
          <w:bCs/>
          <w:w w:val="95"/>
          <w:kern w:val="0"/>
          <w:sz w:val="30"/>
          <w:szCs w:val="30"/>
        </w:rPr>
        <w:t>项目编号：</w:t>
      </w:r>
      <w:r>
        <w:rPr>
          <w:rFonts w:ascii="仿宋_GB2312" w:hAnsi="宋体" w:eastAsia="仿宋_GB2312"/>
          <w:b/>
          <w:bCs/>
          <w:w w:val="95"/>
          <w:kern w:val="0"/>
          <w:sz w:val="30"/>
          <w:szCs w:val="30"/>
        </w:rPr>
        <w:t>GXZC2024-G3-003953-ZHSW</w:t>
      </w:r>
    </w:p>
    <w:p>
      <w:pPr>
        <w:pStyle w:val="26"/>
        <w:snapToGrid w:val="0"/>
        <w:spacing w:before="50" w:after="120" w:line="36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 购 人：</w:t>
      </w:r>
      <w:r>
        <w:rPr>
          <w:rFonts w:ascii="仿宋_GB2312" w:hAnsi="宋体" w:eastAsia="仿宋_GB2312"/>
          <w:b/>
          <w:bCs/>
          <w:w w:val="95"/>
          <w:sz w:val="30"/>
          <w:szCs w:val="30"/>
        </w:rPr>
        <w:t>广西壮族自治区环境信息中心</w:t>
      </w:r>
    </w:p>
    <w:p>
      <w:pPr>
        <w:pStyle w:val="26"/>
        <w:snapToGrid w:val="0"/>
        <w:spacing w:before="50" w:after="120" w:line="36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采购代理机构：中化商务有限公司</w:t>
      </w:r>
    </w:p>
    <w:p>
      <w:pPr>
        <w:pStyle w:val="26"/>
        <w:snapToGrid w:val="0"/>
        <w:spacing w:before="50" w:after="120" w:line="360" w:lineRule="auto"/>
        <w:jc w:val="center"/>
        <w:rPr>
          <w:rFonts w:ascii="仿宋_GB2312" w:hAnsi="宋体" w:eastAsia="仿宋_GB2312"/>
          <w:b/>
          <w:bCs/>
          <w:w w:val="95"/>
          <w:sz w:val="30"/>
          <w:szCs w:val="30"/>
        </w:rPr>
      </w:pPr>
    </w:p>
    <w:p>
      <w:pPr>
        <w:pStyle w:val="26"/>
        <w:snapToGrid w:val="0"/>
        <w:spacing w:before="50" w:after="120" w:line="360" w:lineRule="auto"/>
        <w:jc w:val="center"/>
        <w:rPr>
          <w:rFonts w:ascii="仿宋_GB2312" w:hAnsi="宋体" w:eastAsia="仿宋_GB2312"/>
          <w:b/>
          <w:bCs/>
          <w:w w:val="95"/>
          <w:sz w:val="30"/>
          <w:szCs w:val="30"/>
        </w:rPr>
      </w:pPr>
    </w:p>
    <w:p>
      <w:pPr>
        <w:pStyle w:val="26"/>
        <w:snapToGrid w:val="0"/>
        <w:spacing w:before="50" w:after="120" w:line="360" w:lineRule="auto"/>
        <w:jc w:val="center"/>
        <w:rPr>
          <w:rFonts w:ascii="仿宋_GB2312" w:hAnsi="宋体" w:eastAsia="仿宋_GB2312"/>
          <w:b/>
          <w:bCs/>
          <w:w w:val="95"/>
          <w:sz w:val="30"/>
          <w:szCs w:val="30"/>
        </w:rPr>
      </w:pPr>
      <w:r>
        <w:rPr>
          <w:rFonts w:hint="eastAsia" w:ascii="仿宋_GB2312" w:hAnsi="宋体" w:eastAsia="仿宋_GB2312"/>
          <w:b/>
          <w:bCs/>
          <w:w w:val="95"/>
          <w:sz w:val="30"/>
          <w:szCs w:val="30"/>
        </w:rPr>
        <w:t>2024年6月</w:t>
      </w:r>
    </w:p>
    <w:p>
      <w:pPr>
        <w:pStyle w:val="26"/>
        <w:spacing w:before="120" w:after="120" w:line="360" w:lineRule="auto"/>
        <w:jc w:val="center"/>
        <w:rPr>
          <w:rFonts w:ascii="仿宋_GB2312" w:hAnsi="宋体" w:eastAsia="仿宋_GB2312"/>
        </w:rPr>
      </w:pPr>
    </w:p>
    <w:p>
      <w:pPr>
        <w:pStyle w:val="19"/>
        <w:kinsoku w:val="0"/>
        <w:overflowPunct w:val="0"/>
        <w:rPr>
          <w:sz w:val="40"/>
        </w:rPr>
      </w:pPr>
    </w:p>
    <w:p>
      <w:pPr>
        <w:spacing w:line="360" w:lineRule="auto"/>
        <w:jc w:val="center"/>
        <w:rPr>
          <w:rFonts w:ascii="仿宋_GB2312" w:hAnsi="宋体" w:eastAsia="仿宋_GB2312"/>
        </w:rPr>
      </w:pPr>
      <w:r>
        <w:rPr>
          <w:rFonts w:ascii="仿宋_GB2312" w:hAnsi="宋体" w:eastAsia="仿宋_GB2312"/>
        </w:rPr>
        <w:br w:type="page"/>
      </w:r>
    </w:p>
    <w:p>
      <w:pPr>
        <w:pStyle w:val="26"/>
        <w:spacing w:before="120" w:after="120" w:line="360" w:lineRule="auto"/>
        <w:jc w:val="center"/>
        <w:rPr>
          <w:rFonts w:ascii="仿宋_GB2312" w:hAnsi="宋体" w:eastAsia="仿宋_GB2312"/>
          <w:sz w:val="32"/>
          <w:szCs w:val="32"/>
        </w:rPr>
      </w:pPr>
      <w:r>
        <w:rPr>
          <w:rFonts w:hint="eastAsia" w:ascii="仿宋_GB2312" w:hAnsi="宋体" w:eastAsia="仿宋_GB2312"/>
          <w:sz w:val="32"/>
          <w:szCs w:val="32"/>
        </w:rPr>
        <w:t>目    录</w:t>
      </w:r>
    </w:p>
    <w:p>
      <w:pPr>
        <w:pStyle w:val="40"/>
        <w:tabs>
          <w:tab w:val="right" w:leader="dot" w:pos="9402"/>
        </w:tabs>
        <w:spacing w:line="360" w:lineRule="auto"/>
        <w:rPr>
          <w:rFonts w:ascii="Calibri" w:hAnsi="Calibri"/>
          <w:b/>
          <w:szCs w:val="22"/>
        </w:rPr>
      </w:pPr>
      <w:r>
        <w:rPr>
          <w:rFonts w:ascii="仿宋_GB2312" w:hAnsi="宋体" w:eastAsia="仿宋_GB2312"/>
          <w:b/>
          <w:sz w:val="24"/>
        </w:rPr>
        <w:fldChar w:fldCharType="begin"/>
      </w:r>
      <w:r>
        <w:rPr>
          <w:rFonts w:ascii="仿宋_GB2312" w:hAnsi="宋体" w:eastAsia="仿宋_GB2312"/>
          <w:b/>
          <w:sz w:val="24"/>
        </w:rPr>
        <w:instrText xml:space="preserve"> </w:instrText>
      </w:r>
      <w:r>
        <w:rPr>
          <w:rFonts w:hint="eastAsia" w:ascii="仿宋_GB2312" w:hAnsi="宋体" w:eastAsia="仿宋_GB2312"/>
          <w:b/>
          <w:sz w:val="24"/>
        </w:rPr>
        <w:instrText xml:space="preserve">TOC \o "1-2" \h \z \u</w:instrText>
      </w:r>
      <w:r>
        <w:rPr>
          <w:rFonts w:ascii="仿宋_GB2312" w:hAnsi="宋体" w:eastAsia="仿宋_GB2312"/>
          <w:b/>
          <w:sz w:val="24"/>
        </w:rPr>
        <w:instrText xml:space="preserve"> </w:instrText>
      </w:r>
      <w:r>
        <w:rPr>
          <w:rFonts w:ascii="仿宋_GB2312" w:hAnsi="宋体" w:eastAsia="仿宋_GB2312"/>
          <w:b/>
          <w:sz w:val="24"/>
        </w:rPr>
        <w:fldChar w:fldCharType="separate"/>
      </w:r>
      <w:r>
        <w:fldChar w:fldCharType="begin"/>
      </w:r>
      <w:r>
        <w:instrText xml:space="preserve"> HYPERLINK \l "_Toc19686829" </w:instrText>
      </w:r>
      <w:r>
        <w:fldChar w:fldCharType="separate"/>
      </w:r>
      <w:r>
        <w:rPr>
          <w:rStyle w:val="55"/>
          <w:rFonts w:hint="eastAsia"/>
          <w:b/>
          <w:color w:val="auto"/>
        </w:rPr>
        <w:t>第一章</w:t>
      </w:r>
      <w:r>
        <w:rPr>
          <w:rStyle w:val="55"/>
          <w:b/>
          <w:color w:val="auto"/>
        </w:rPr>
        <w:t xml:space="preserve">  </w:t>
      </w:r>
      <w:r>
        <w:rPr>
          <w:rStyle w:val="55"/>
          <w:rFonts w:hint="eastAsia"/>
          <w:b/>
          <w:color w:val="auto"/>
        </w:rPr>
        <w:t>招标公告</w:t>
      </w:r>
      <w:r>
        <w:rPr>
          <w:b/>
        </w:rPr>
        <w:tab/>
      </w:r>
      <w:r>
        <w:rPr>
          <w:b/>
        </w:rPr>
        <w:fldChar w:fldCharType="begin"/>
      </w:r>
      <w:r>
        <w:rPr>
          <w:b/>
        </w:rPr>
        <w:instrText xml:space="preserve"> PAGEREF _Toc19686829 \h </w:instrText>
      </w:r>
      <w:r>
        <w:rPr>
          <w:b/>
        </w:rPr>
        <w:fldChar w:fldCharType="separate"/>
      </w:r>
      <w:r>
        <w:rPr>
          <w:b/>
        </w:rPr>
        <w:t>3</w:t>
      </w:r>
      <w:r>
        <w:rPr>
          <w:b/>
        </w:rPr>
        <w:fldChar w:fldCharType="end"/>
      </w:r>
      <w:r>
        <w:rPr>
          <w:b/>
        </w:rPr>
        <w:fldChar w:fldCharType="end"/>
      </w:r>
    </w:p>
    <w:p>
      <w:pPr>
        <w:pStyle w:val="40"/>
        <w:tabs>
          <w:tab w:val="right" w:leader="dot" w:pos="9402"/>
        </w:tabs>
        <w:spacing w:line="360" w:lineRule="auto"/>
        <w:rPr>
          <w:rFonts w:ascii="Calibri" w:hAnsi="Calibri"/>
          <w:b/>
          <w:szCs w:val="22"/>
        </w:rPr>
      </w:pPr>
      <w:r>
        <w:fldChar w:fldCharType="begin"/>
      </w:r>
      <w:r>
        <w:instrText xml:space="preserve"> HYPERLINK \l "_Toc19686830" </w:instrText>
      </w:r>
      <w:r>
        <w:fldChar w:fldCharType="separate"/>
      </w:r>
      <w:r>
        <w:rPr>
          <w:rStyle w:val="55"/>
          <w:rFonts w:hint="eastAsia"/>
          <w:b/>
          <w:color w:val="auto"/>
        </w:rPr>
        <w:t>第二章</w:t>
      </w:r>
      <w:r>
        <w:rPr>
          <w:rStyle w:val="55"/>
          <w:b/>
          <w:color w:val="auto"/>
        </w:rPr>
        <w:t xml:space="preserve">  </w:t>
      </w:r>
      <w:r>
        <w:rPr>
          <w:rStyle w:val="55"/>
          <w:rFonts w:hint="eastAsia"/>
          <w:b/>
          <w:color w:val="auto"/>
        </w:rPr>
        <w:t>采购需</w:t>
      </w:r>
      <w:bookmarkStart w:id="0" w:name="_Hlt62465282"/>
      <w:bookmarkStart w:id="1" w:name="_Hlt62465283"/>
      <w:r>
        <w:rPr>
          <w:rStyle w:val="55"/>
          <w:rFonts w:hint="eastAsia"/>
          <w:b/>
          <w:color w:val="auto"/>
        </w:rPr>
        <w:t>求</w:t>
      </w:r>
      <w:bookmarkEnd w:id="0"/>
      <w:bookmarkEnd w:id="1"/>
      <w:r>
        <w:rPr>
          <w:b/>
        </w:rPr>
        <w:tab/>
      </w:r>
      <w:r>
        <w:rPr>
          <w:b/>
        </w:rPr>
        <w:fldChar w:fldCharType="begin"/>
      </w:r>
      <w:r>
        <w:rPr>
          <w:b/>
        </w:rPr>
        <w:instrText xml:space="preserve"> PAGEREF _Toc19686830 \h </w:instrText>
      </w:r>
      <w:r>
        <w:rPr>
          <w:b/>
        </w:rPr>
        <w:fldChar w:fldCharType="separate"/>
      </w:r>
      <w:r>
        <w:rPr>
          <w:b/>
        </w:rPr>
        <w:t>7</w:t>
      </w:r>
      <w:r>
        <w:rPr>
          <w:b/>
        </w:rPr>
        <w:fldChar w:fldCharType="end"/>
      </w:r>
      <w:r>
        <w:rPr>
          <w:b/>
        </w:rPr>
        <w:fldChar w:fldCharType="end"/>
      </w:r>
    </w:p>
    <w:p>
      <w:pPr>
        <w:pStyle w:val="40"/>
        <w:tabs>
          <w:tab w:val="right" w:leader="dot" w:pos="9402"/>
        </w:tabs>
        <w:spacing w:line="360" w:lineRule="auto"/>
        <w:rPr>
          <w:rFonts w:ascii="Calibri" w:hAnsi="Calibri"/>
          <w:b/>
          <w:szCs w:val="22"/>
        </w:rPr>
      </w:pPr>
      <w:r>
        <w:fldChar w:fldCharType="begin"/>
      </w:r>
      <w:r>
        <w:instrText xml:space="preserve"> HYPERLINK \l "_Toc19686831" </w:instrText>
      </w:r>
      <w:r>
        <w:fldChar w:fldCharType="separate"/>
      </w:r>
      <w:r>
        <w:rPr>
          <w:rStyle w:val="55"/>
          <w:rFonts w:hint="eastAsia"/>
          <w:b/>
          <w:color w:val="auto"/>
        </w:rPr>
        <w:t>第三章</w:t>
      </w:r>
      <w:r>
        <w:rPr>
          <w:rStyle w:val="55"/>
          <w:b/>
          <w:color w:val="auto"/>
        </w:rPr>
        <w:t xml:space="preserve">  </w:t>
      </w:r>
      <w:r>
        <w:rPr>
          <w:rStyle w:val="55"/>
          <w:rFonts w:hint="eastAsia"/>
          <w:b/>
          <w:color w:val="auto"/>
        </w:rPr>
        <w:t>投标</w:t>
      </w:r>
      <w:bookmarkStart w:id="2" w:name="_Hlt30431883"/>
      <w:r>
        <w:rPr>
          <w:rStyle w:val="55"/>
          <w:rFonts w:hint="eastAsia"/>
          <w:b/>
          <w:color w:val="auto"/>
        </w:rPr>
        <w:t>人</w:t>
      </w:r>
      <w:bookmarkEnd w:id="2"/>
      <w:bookmarkStart w:id="3" w:name="_Hlt43803608"/>
      <w:bookmarkStart w:id="4" w:name="_Hlt43803607"/>
      <w:r>
        <w:rPr>
          <w:rStyle w:val="55"/>
          <w:rFonts w:hint="eastAsia"/>
          <w:b/>
          <w:color w:val="auto"/>
        </w:rPr>
        <w:t>须</w:t>
      </w:r>
      <w:bookmarkEnd w:id="3"/>
      <w:bookmarkEnd w:id="4"/>
      <w:r>
        <w:rPr>
          <w:rStyle w:val="55"/>
          <w:rFonts w:hint="eastAsia"/>
          <w:b/>
          <w:color w:val="auto"/>
        </w:rPr>
        <w:t>知</w:t>
      </w:r>
      <w:bookmarkStart w:id="5" w:name="_Hlt43479156"/>
      <w:bookmarkStart w:id="6" w:name="_Hlt43479155"/>
      <w:r>
        <w:rPr>
          <w:b/>
        </w:rPr>
        <w:tab/>
      </w:r>
      <w:bookmarkEnd w:id="5"/>
      <w:bookmarkEnd w:id="6"/>
      <w:r>
        <w:rPr>
          <w:b/>
        </w:rPr>
        <w:fldChar w:fldCharType="end"/>
      </w:r>
      <w:r>
        <w:rPr>
          <w:rFonts w:hint="eastAsia"/>
          <w:b/>
        </w:rPr>
        <w:t>29</w:t>
      </w:r>
    </w:p>
    <w:p>
      <w:pPr>
        <w:pStyle w:val="40"/>
        <w:tabs>
          <w:tab w:val="right" w:leader="dot" w:pos="9402"/>
        </w:tabs>
        <w:spacing w:line="360" w:lineRule="auto"/>
        <w:rPr>
          <w:rFonts w:ascii="Calibri" w:hAnsi="Calibri"/>
          <w:b/>
          <w:szCs w:val="22"/>
        </w:rPr>
      </w:pPr>
      <w:r>
        <w:fldChar w:fldCharType="begin"/>
      </w:r>
      <w:r>
        <w:instrText xml:space="preserve"> HYPERLINK \l "_Toc19686832" </w:instrText>
      </w:r>
      <w:r>
        <w:fldChar w:fldCharType="separate"/>
      </w:r>
      <w:r>
        <w:rPr>
          <w:rStyle w:val="55"/>
          <w:rFonts w:hint="eastAsia"/>
          <w:b/>
          <w:color w:val="auto"/>
        </w:rPr>
        <w:t>第四章</w:t>
      </w:r>
      <w:r>
        <w:rPr>
          <w:rStyle w:val="55"/>
          <w:b/>
          <w:color w:val="auto"/>
        </w:rPr>
        <w:t xml:space="preserve">  </w:t>
      </w:r>
      <w:r>
        <w:rPr>
          <w:rStyle w:val="55"/>
          <w:rFonts w:hint="eastAsia"/>
          <w:b/>
          <w:color w:val="auto"/>
        </w:rPr>
        <w:t>评标方</w:t>
      </w:r>
      <w:bookmarkStart w:id="7" w:name="_Hlt43881606"/>
      <w:r>
        <w:rPr>
          <w:rStyle w:val="55"/>
          <w:rFonts w:hint="eastAsia"/>
          <w:b/>
          <w:color w:val="auto"/>
        </w:rPr>
        <w:t>法</w:t>
      </w:r>
      <w:bookmarkEnd w:id="7"/>
      <w:r>
        <w:rPr>
          <w:rStyle w:val="55"/>
          <w:rFonts w:hint="eastAsia"/>
          <w:b/>
          <w:color w:val="auto"/>
        </w:rPr>
        <w:t>及评标标准</w:t>
      </w:r>
      <w:r>
        <w:rPr>
          <w:b/>
        </w:rPr>
        <w:tab/>
      </w:r>
      <w:r>
        <w:rPr>
          <w:b/>
        </w:rPr>
        <w:fldChar w:fldCharType="end"/>
      </w:r>
      <w:r>
        <w:rPr>
          <w:rFonts w:hint="eastAsia"/>
          <w:b/>
        </w:rPr>
        <w:t>50</w:t>
      </w:r>
    </w:p>
    <w:p>
      <w:pPr>
        <w:pStyle w:val="40"/>
        <w:tabs>
          <w:tab w:val="right" w:leader="dot" w:pos="9402"/>
        </w:tabs>
        <w:spacing w:line="360" w:lineRule="auto"/>
        <w:rPr>
          <w:rFonts w:ascii="Calibri" w:hAnsi="Calibri"/>
          <w:b/>
          <w:szCs w:val="22"/>
        </w:rPr>
      </w:pPr>
      <w:r>
        <w:fldChar w:fldCharType="begin"/>
      </w:r>
      <w:r>
        <w:instrText xml:space="preserve"> HYPERLINK \l "_Toc19686833" </w:instrText>
      </w:r>
      <w:r>
        <w:fldChar w:fldCharType="separate"/>
      </w:r>
      <w:r>
        <w:rPr>
          <w:rStyle w:val="55"/>
          <w:rFonts w:hint="eastAsia"/>
          <w:b/>
          <w:color w:val="auto"/>
        </w:rPr>
        <w:t>第五章</w:t>
      </w:r>
      <w:r>
        <w:rPr>
          <w:rStyle w:val="55"/>
          <w:b/>
          <w:color w:val="auto"/>
        </w:rPr>
        <w:t xml:space="preserve">  </w:t>
      </w:r>
      <w:r>
        <w:rPr>
          <w:rStyle w:val="55"/>
          <w:rFonts w:hint="eastAsia"/>
          <w:b/>
          <w:color w:val="auto"/>
        </w:rPr>
        <w:t>拟签订的合同文本</w:t>
      </w:r>
      <w:r>
        <w:rPr>
          <w:b/>
        </w:rPr>
        <w:tab/>
      </w:r>
      <w:r>
        <w:rPr>
          <w:b/>
        </w:rPr>
        <w:fldChar w:fldCharType="end"/>
      </w:r>
      <w:r>
        <w:rPr>
          <w:rFonts w:hint="eastAsia"/>
          <w:b/>
        </w:rPr>
        <w:t>59</w:t>
      </w:r>
    </w:p>
    <w:p>
      <w:pPr>
        <w:pStyle w:val="40"/>
        <w:tabs>
          <w:tab w:val="right" w:leader="dot" w:pos="9402"/>
        </w:tabs>
        <w:spacing w:line="360" w:lineRule="auto"/>
        <w:rPr>
          <w:rFonts w:ascii="Calibri" w:hAnsi="Calibri"/>
          <w:szCs w:val="22"/>
        </w:rPr>
      </w:pPr>
      <w:r>
        <w:fldChar w:fldCharType="begin"/>
      </w:r>
      <w:r>
        <w:instrText xml:space="preserve"> HYPERLINK \l "_Toc19686834" </w:instrText>
      </w:r>
      <w:r>
        <w:fldChar w:fldCharType="separate"/>
      </w:r>
      <w:r>
        <w:rPr>
          <w:rStyle w:val="55"/>
          <w:rFonts w:hint="eastAsia"/>
          <w:b/>
          <w:color w:val="auto"/>
        </w:rPr>
        <w:t>第六章　投标文件格式</w:t>
      </w:r>
      <w:r>
        <w:rPr>
          <w:b/>
        </w:rPr>
        <w:tab/>
      </w:r>
      <w:r>
        <w:rPr>
          <w:b/>
        </w:rPr>
        <w:fldChar w:fldCharType="end"/>
      </w:r>
      <w:r>
        <w:rPr>
          <w:rFonts w:hint="eastAsia"/>
          <w:b/>
        </w:rPr>
        <w:t>67</w:t>
      </w:r>
    </w:p>
    <w:p>
      <w:pPr>
        <w:pStyle w:val="40"/>
        <w:tabs>
          <w:tab w:val="right" w:leader="dot" w:pos="9402"/>
        </w:tabs>
        <w:rPr>
          <w:rFonts w:ascii="Calibri" w:hAnsi="Calibri"/>
          <w:szCs w:val="22"/>
        </w:rPr>
      </w:pPr>
    </w:p>
    <w:p>
      <w:pPr>
        <w:spacing w:before="156" w:beforeLines="50" w:line="480" w:lineRule="exact"/>
        <w:rPr>
          <w:rFonts w:ascii="仿宋_GB2312" w:hAnsi="宋体" w:eastAsia="仿宋_GB2312"/>
          <w:sz w:val="24"/>
        </w:rPr>
      </w:pPr>
      <w:r>
        <w:rPr>
          <w:rFonts w:ascii="仿宋_GB2312" w:hAnsi="宋体" w:eastAsia="仿宋_GB2312"/>
          <w:b/>
          <w:sz w:val="24"/>
        </w:rPr>
        <w:fldChar w:fldCharType="end"/>
      </w:r>
    </w:p>
    <w:p>
      <w:pPr>
        <w:spacing w:before="156" w:beforeLines="50" w:line="480" w:lineRule="exact"/>
        <w:rPr>
          <w:rFonts w:ascii="仿宋_GB2312" w:hAnsi="宋体" w:eastAsia="仿宋_GB2312"/>
          <w:sz w:val="30"/>
        </w:rPr>
      </w:pPr>
    </w:p>
    <w:p/>
    <w:p>
      <w:pPr>
        <w:spacing w:before="156" w:beforeLines="50" w:line="480" w:lineRule="exact"/>
        <w:rPr>
          <w:rFonts w:ascii="仿宋_GB2312" w:hAnsi="宋体" w:eastAsia="仿宋_GB2312"/>
          <w:sz w:val="30"/>
        </w:rPr>
      </w:pPr>
    </w:p>
    <w:p>
      <w:pPr>
        <w:spacing w:before="156" w:beforeLines="50" w:line="480" w:lineRule="exact"/>
        <w:rPr>
          <w:rFonts w:ascii="仿宋_GB2312" w:hAnsi="宋体" w:eastAsia="仿宋_GB2312"/>
          <w:sz w:val="30"/>
        </w:rPr>
      </w:pPr>
    </w:p>
    <w:p>
      <w:pPr>
        <w:pStyle w:val="16"/>
        <w:rPr>
          <w:rFonts w:ascii="宋体" w:hAnsi="宋体" w:cs="宋体"/>
          <w:b/>
          <w:bCs/>
        </w:rPr>
      </w:pPr>
      <w:bookmarkStart w:id="8" w:name="_Toc254970489"/>
      <w:bookmarkStart w:id="9" w:name="_Toc254970630"/>
    </w:p>
    <w:p>
      <w:pPr>
        <w:pStyle w:val="3"/>
        <w:keepNext w:val="0"/>
        <w:keepLines w:val="0"/>
        <w:spacing w:before="0" w:after="0" w:line="360" w:lineRule="auto"/>
        <w:jc w:val="center"/>
        <w:rPr>
          <w:rFonts w:ascii="宋体" w:hAnsi="宋体" w:eastAsia="宋体"/>
          <w:sz w:val="44"/>
          <w:szCs w:val="44"/>
        </w:rPr>
      </w:pPr>
      <w:r>
        <w:rPr>
          <w:rFonts w:ascii="宋体" w:hAnsi="宋体" w:cs="宋体"/>
          <w:b w:val="0"/>
          <w:bCs w:val="0"/>
        </w:rPr>
        <w:br w:type="page"/>
      </w:r>
      <w:bookmarkStart w:id="10" w:name="_Toc19686829"/>
      <w:r>
        <w:rPr>
          <w:rFonts w:hint="eastAsia"/>
        </w:rPr>
        <w:t>第一章</w:t>
      </w:r>
      <w:bookmarkEnd w:id="8"/>
      <w:bookmarkEnd w:id="9"/>
      <w:bookmarkEnd w:id="10"/>
      <w:bookmarkStart w:id="11" w:name="_Toc35393789"/>
      <w:bookmarkStart w:id="12" w:name="_Toc28359001"/>
      <w:r>
        <w:rPr>
          <w:rFonts w:hint="eastAsia"/>
        </w:rPr>
        <w:t xml:space="preserve">  招标公告</w:t>
      </w:r>
      <w:bookmarkEnd w:id="11"/>
      <w:bookmarkEnd w:id="12"/>
    </w:p>
    <w:p>
      <w:pPr>
        <w:spacing w:line="360" w:lineRule="auto"/>
        <w:rPr>
          <w:rFonts w:ascii="宋体" w:hAnsi="宋体"/>
          <w:szCs w:val="21"/>
        </w:rPr>
      </w:pP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1"/>
        </w:rPr>
      </w:pPr>
      <w:r>
        <w:rPr>
          <w:rFonts w:hint="eastAsia" w:ascii="宋体" w:hAnsi="宋体"/>
          <w:szCs w:val="21"/>
          <w:u w:val="single"/>
        </w:rPr>
        <w:t>自治区环境信息中心2024年信息系统运维项目</w:t>
      </w:r>
      <w:r>
        <w:rPr>
          <w:rFonts w:hint="eastAsia" w:ascii="宋体" w:hAnsi="宋体"/>
          <w:szCs w:val="21"/>
        </w:rPr>
        <w:t>招标项目的潜在投标人应在</w:t>
      </w:r>
      <w:r>
        <w:rPr>
          <w:rFonts w:hint="eastAsia" w:ascii="宋体" w:hAnsi="宋体" w:cs="仿宋"/>
          <w:iCs/>
          <w:szCs w:val="21"/>
          <w:u w:val="single"/>
        </w:rPr>
        <w:t>“政采云”平台（https://www.gcy.zfcg.gxzf.gov.cn）</w:t>
      </w:r>
      <w:r>
        <w:rPr>
          <w:rFonts w:hint="eastAsia" w:ascii="宋体" w:hAnsi="宋体"/>
          <w:szCs w:val="21"/>
        </w:rPr>
        <w:t>获取招标文件，并于</w:t>
      </w:r>
      <w:r>
        <w:rPr>
          <w:rFonts w:hint="eastAsia" w:ascii="宋体" w:hAnsi="宋体"/>
          <w:szCs w:val="21"/>
          <w:u w:val="single"/>
        </w:rPr>
        <w:t>2024</w:t>
      </w:r>
      <w:r>
        <w:rPr>
          <w:rFonts w:hint="eastAsia" w:ascii="宋体" w:hAnsi="宋体"/>
          <w:bCs/>
          <w:szCs w:val="21"/>
          <w:u w:val="single"/>
        </w:rPr>
        <w:t>年7月4日0</w:t>
      </w:r>
      <w:r>
        <w:rPr>
          <w:rFonts w:ascii="宋体" w:hAnsi="宋体"/>
          <w:bCs/>
          <w:szCs w:val="21"/>
          <w:u w:val="single"/>
        </w:rPr>
        <w:t>9</w:t>
      </w:r>
      <w:r>
        <w:rPr>
          <w:rFonts w:hint="eastAsia" w:ascii="宋体" w:hAnsi="宋体"/>
          <w:bCs/>
          <w:szCs w:val="21"/>
          <w:u w:val="single"/>
        </w:rPr>
        <w:t>:</w:t>
      </w:r>
      <w:r>
        <w:rPr>
          <w:rFonts w:ascii="宋体" w:hAnsi="宋体"/>
          <w:bCs/>
          <w:szCs w:val="21"/>
          <w:u w:val="single"/>
        </w:rPr>
        <w:t>30</w:t>
      </w:r>
      <w:r>
        <w:rPr>
          <w:rFonts w:hint="eastAsia" w:ascii="宋体" w:hAnsi="宋体"/>
          <w:bCs/>
          <w:szCs w:val="21"/>
          <w:u w:val="single"/>
        </w:rPr>
        <w:t>（</w:t>
      </w:r>
      <w:r>
        <w:rPr>
          <w:rFonts w:hint="eastAsia" w:ascii="宋体" w:hAnsi="宋体"/>
          <w:bCs/>
          <w:szCs w:val="21"/>
        </w:rPr>
        <w:t>北京时间）前递交投标</w:t>
      </w:r>
      <w:r>
        <w:rPr>
          <w:rFonts w:ascii="宋体" w:hAnsi="宋体"/>
          <w:bCs/>
          <w:szCs w:val="21"/>
        </w:rPr>
        <w:t>文件</w:t>
      </w:r>
      <w:r>
        <w:rPr>
          <w:rFonts w:hint="eastAsia" w:ascii="宋体" w:hAnsi="宋体"/>
          <w:szCs w:val="21"/>
        </w:rPr>
        <w:t>。</w:t>
      </w:r>
    </w:p>
    <w:p>
      <w:pPr>
        <w:spacing w:line="360" w:lineRule="auto"/>
        <w:rPr>
          <w:rFonts w:ascii="宋体" w:hAnsi="宋体"/>
          <w:szCs w:val="21"/>
        </w:rPr>
      </w:pPr>
    </w:p>
    <w:p>
      <w:pPr>
        <w:spacing w:line="360" w:lineRule="auto"/>
        <w:rPr>
          <w:rFonts w:ascii="黑体" w:hAnsi="黑体" w:eastAsia="黑体"/>
          <w:b/>
          <w:bCs/>
          <w:sz w:val="24"/>
        </w:rPr>
      </w:pPr>
      <w:bookmarkStart w:id="13" w:name="_Toc28359002"/>
      <w:bookmarkStart w:id="14" w:name="_Toc35393790"/>
      <w:bookmarkStart w:id="15" w:name="_Toc28359079"/>
      <w:bookmarkStart w:id="16" w:name="_Toc35393621"/>
      <w:bookmarkStart w:id="17" w:name="_Hlk24379207"/>
      <w:r>
        <w:rPr>
          <w:rFonts w:hint="eastAsia" w:ascii="黑体" w:hAnsi="黑体" w:eastAsia="黑体"/>
          <w:b/>
          <w:bCs/>
          <w:sz w:val="24"/>
        </w:rPr>
        <w:t>一、项目基本情况</w:t>
      </w:r>
      <w:bookmarkEnd w:id="13"/>
      <w:bookmarkEnd w:id="14"/>
      <w:bookmarkEnd w:id="15"/>
      <w:bookmarkEnd w:id="16"/>
    </w:p>
    <w:p>
      <w:pPr>
        <w:spacing w:line="360" w:lineRule="auto"/>
        <w:ind w:firstLine="420" w:firstLineChars="200"/>
        <w:rPr>
          <w:rFonts w:ascii="宋体" w:hAnsi="宋体"/>
          <w:szCs w:val="21"/>
        </w:rPr>
      </w:pPr>
      <w:bookmarkStart w:id="18" w:name="_Hlk81209782"/>
      <w:r>
        <w:rPr>
          <w:rFonts w:hint="eastAsia" w:ascii="宋体" w:hAnsi="宋体"/>
          <w:szCs w:val="21"/>
        </w:rPr>
        <w:t>项目编号：</w:t>
      </w:r>
      <w:r>
        <w:rPr>
          <w:rFonts w:ascii="宋体" w:hAnsi="宋体"/>
          <w:szCs w:val="21"/>
        </w:rPr>
        <w:t>GXZC2024-G3-003953-ZHSW</w:t>
      </w:r>
    </w:p>
    <w:p>
      <w:pPr>
        <w:spacing w:line="360" w:lineRule="auto"/>
        <w:ind w:firstLine="420" w:firstLineChars="200"/>
        <w:rPr>
          <w:rFonts w:ascii="宋体" w:hAnsi="宋体"/>
          <w:szCs w:val="21"/>
          <w:u w:val="single"/>
        </w:rPr>
      </w:pPr>
      <w:r>
        <w:rPr>
          <w:rFonts w:hint="eastAsia" w:ascii="宋体" w:hAnsi="宋体"/>
          <w:szCs w:val="21"/>
        </w:rPr>
        <w:t>项目名称：自治区环境信息中心2024年信息系统运维项目</w:t>
      </w:r>
    </w:p>
    <w:p>
      <w:pPr>
        <w:spacing w:line="360" w:lineRule="auto"/>
        <w:ind w:firstLine="420" w:firstLineChars="200"/>
        <w:rPr>
          <w:rFonts w:ascii="宋体" w:hAnsi="宋体"/>
          <w:szCs w:val="21"/>
        </w:rPr>
      </w:pPr>
      <w:r>
        <w:rPr>
          <w:rFonts w:hint="eastAsia" w:ascii="宋体" w:hAnsi="宋体"/>
          <w:szCs w:val="21"/>
        </w:rPr>
        <w:t>预算总金额（元）：</w:t>
      </w:r>
      <w:r>
        <w:rPr>
          <w:rFonts w:ascii="宋体" w:hAnsi="宋体"/>
          <w:szCs w:val="21"/>
        </w:rPr>
        <w:t>36132</w:t>
      </w:r>
      <w:r>
        <w:rPr>
          <w:rFonts w:hint="eastAsia" w:ascii="宋体" w:hAnsi="宋体"/>
          <w:szCs w:val="21"/>
        </w:rPr>
        <w:t>00.00元（大写：叁佰陆拾壹万叁仟贰佰元整）</w:t>
      </w:r>
    </w:p>
    <w:p>
      <w:pPr>
        <w:spacing w:line="360" w:lineRule="auto"/>
        <w:ind w:firstLine="420" w:firstLineChars="200"/>
        <w:rPr>
          <w:rFonts w:ascii="宋体" w:hAnsi="宋体"/>
          <w:szCs w:val="21"/>
        </w:rPr>
      </w:pPr>
      <w:r>
        <w:rPr>
          <w:rFonts w:hint="eastAsia" w:ascii="宋体" w:hAnsi="宋体"/>
          <w:szCs w:val="21"/>
        </w:rPr>
        <w:t>采购需求：</w:t>
      </w:r>
      <w:r>
        <w:rPr>
          <w:rFonts w:ascii="宋体" w:hAnsi="宋体"/>
          <w:szCs w:val="21"/>
        </w:rPr>
        <w:t>本项目需对其中的33个业务系统进行运维</w:t>
      </w:r>
    </w:p>
    <w:p>
      <w:pPr>
        <w:spacing w:line="360" w:lineRule="auto"/>
        <w:ind w:firstLine="420" w:firstLineChars="200"/>
        <w:rPr>
          <w:rFonts w:ascii="宋体" w:hAnsi="宋体"/>
          <w:szCs w:val="21"/>
        </w:rPr>
      </w:pPr>
      <w:r>
        <w:rPr>
          <w:rFonts w:hint="eastAsia" w:ascii="宋体" w:hAnsi="宋体"/>
          <w:szCs w:val="21"/>
        </w:rPr>
        <w:t>标项名称: 自治区环境信息中心2024年信息系统运维项目</w:t>
      </w:r>
    </w:p>
    <w:p>
      <w:pPr>
        <w:spacing w:line="360" w:lineRule="auto"/>
        <w:ind w:firstLine="420" w:firstLineChars="200"/>
        <w:rPr>
          <w:rFonts w:ascii="宋体" w:hAnsi="宋体"/>
          <w:szCs w:val="21"/>
        </w:rPr>
      </w:pPr>
      <w:r>
        <w:rPr>
          <w:rFonts w:hint="eastAsia" w:ascii="宋体" w:hAnsi="宋体"/>
          <w:szCs w:val="21"/>
        </w:rPr>
        <w:t>数量:1</w:t>
      </w:r>
    </w:p>
    <w:p>
      <w:pPr>
        <w:spacing w:line="360" w:lineRule="auto"/>
        <w:ind w:firstLine="420" w:firstLineChars="200"/>
        <w:rPr>
          <w:rFonts w:ascii="宋体" w:hAnsi="宋体"/>
          <w:szCs w:val="21"/>
        </w:rPr>
      </w:pPr>
      <w:r>
        <w:rPr>
          <w:rFonts w:hint="eastAsia" w:ascii="宋体" w:hAnsi="宋体"/>
          <w:szCs w:val="21"/>
        </w:rPr>
        <w:t xml:space="preserve">预算金额（元）: </w:t>
      </w:r>
      <w:r>
        <w:rPr>
          <w:rFonts w:ascii="宋体" w:hAnsi="宋体"/>
          <w:szCs w:val="21"/>
        </w:rPr>
        <w:t>36132</w:t>
      </w:r>
      <w:r>
        <w:rPr>
          <w:rFonts w:hint="eastAsia" w:ascii="宋体" w:hAnsi="宋体"/>
          <w:szCs w:val="21"/>
        </w:rPr>
        <w:t>00.00元（大写：叁佰陆拾壹万叁仟贰佰元整）</w:t>
      </w:r>
    </w:p>
    <w:p>
      <w:pPr>
        <w:spacing w:line="360" w:lineRule="auto"/>
        <w:ind w:firstLine="420" w:firstLineChars="200"/>
        <w:rPr>
          <w:rFonts w:ascii="宋体" w:hAnsi="宋体"/>
          <w:szCs w:val="21"/>
        </w:rPr>
      </w:pPr>
      <w:r>
        <w:rPr>
          <w:rFonts w:hint="eastAsia" w:ascii="宋体" w:hAnsi="宋体"/>
          <w:szCs w:val="21"/>
        </w:rPr>
        <w:t>简要规格描述或项目基本概况介绍、用途：</w:t>
      </w:r>
      <w:r>
        <w:rPr>
          <w:rFonts w:ascii="宋体" w:hAnsi="宋体"/>
          <w:szCs w:val="21"/>
        </w:rPr>
        <w:t>自治区环境信息中心作为自治区生态环境厅信息化支撑部门，承担着数据中心和大部分业务系统的运维保障工作。信息系统的正常运行需要7*24小时不间断的监控、巡检，而且需要运维人员具有保障系统安全运行、日常维护等基础知识和运维能力。为保障广西生态环境信息资源中心数据来源稳定，更好地支持厅内各业务正常开展，需采购专业的运维服务提供系统运行维护的技术支持工作，通过专业的运维服务从系统运维的事故预防、日常检查、沟通协调等方面提供保障和支持，辅助信息中心对信息系统进行精细化运维，提高运维主动性和效率</w:t>
      </w:r>
      <w:r>
        <w:rPr>
          <w:rFonts w:hint="eastAsia" w:ascii="宋体" w:hAnsi="宋体"/>
          <w:szCs w:val="21"/>
        </w:rPr>
        <w:t>。</w:t>
      </w:r>
      <w:r>
        <w:rPr>
          <w:rFonts w:ascii="宋体" w:hAnsi="宋体"/>
          <w:szCs w:val="21"/>
        </w:rPr>
        <w:t>目前自治区生态环境厅已建成了一个物理分散、逻辑集中、统一管理的数据中心，本项目需对其中的33个业务系统进行运维。</w:t>
      </w:r>
    </w:p>
    <w:p>
      <w:pPr>
        <w:spacing w:line="360" w:lineRule="auto"/>
        <w:ind w:firstLine="200"/>
        <w:rPr>
          <w:rFonts w:ascii="宋体" w:hAnsi="宋体"/>
          <w:szCs w:val="21"/>
        </w:rPr>
      </w:pPr>
      <w:r>
        <w:rPr>
          <w:rFonts w:hint="eastAsia" w:ascii="宋体" w:hAnsi="宋体"/>
          <w:szCs w:val="21"/>
        </w:rPr>
        <w:t xml:space="preserve">  最高限价：</w:t>
      </w:r>
      <w:r>
        <w:rPr>
          <w:rFonts w:ascii="宋体" w:hAnsi="宋体"/>
          <w:szCs w:val="21"/>
        </w:rPr>
        <w:t>36132</w:t>
      </w:r>
      <w:r>
        <w:rPr>
          <w:rFonts w:hint="eastAsia" w:ascii="宋体" w:hAnsi="宋体"/>
          <w:szCs w:val="21"/>
        </w:rPr>
        <w:t>00.00元（大写：叁佰陆拾壹万叁仟贰佰元整）</w:t>
      </w:r>
    </w:p>
    <w:p>
      <w:pPr>
        <w:spacing w:line="360" w:lineRule="auto"/>
        <w:ind w:firstLine="420" w:firstLineChars="200"/>
        <w:rPr>
          <w:rFonts w:ascii="宋体" w:hAnsi="宋体"/>
          <w:szCs w:val="21"/>
        </w:rPr>
      </w:pPr>
      <w:r>
        <w:rPr>
          <w:rFonts w:hint="eastAsia" w:ascii="宋体" w:hAnsi="宋体"/>
          <w:szCs w:val="21"/>
        </w:rPr>
        <w:t>合同履约期限：详见招标文件《</w:t>
      </w:r>
      <w:r>
        <w:rPr>
          <w:rFonts w:ascii="宋体" w:hAnsi="宋体"/>
          <w:szCs w:val="21"/>
        </w:rPr>
        <w:t>运维服务清单及运维期》</w:t>
      </w:r>
      <w:r>
        <w:rPr>
          <w:rFonts w:hint="eastAsia" w:ascii="宋体" w:hAnsi="宋体"/>
          <w:szCs w:val="21"/>
        </w:rPr>
        <w:t>内容。</w:t>
      </w:r>
    </w:p>
    <w:p>
      <w:pPr>
        <w:spacing w:line="360" w:lineRule="auto"/>
        <w:ind w:firstLine="420" w:firstLineChars="200"/>
        <w:rPr>
          <w:rFonts w:ascii="宋体" w:hAnsi="宋体"/>
          <w:szCs w:val="21"/>
        </w:rPr>
      </w:pPr>
      <w:r>
        <w:rPr>
          <w:rFonts w:hint="eastAsia" w:ascii="宋体" w:hAnsi="宋体"/>
          <w:szCs w:val="21"/>
        </w:rPr>
        <w:t>本项目</w:t>
      </w:r>
      <w:r>
        <w:rPr>
          <w:rFonts w:hint="eastAsia" w:ascii="宋体" w:hAnsi="宋体"/>
          <w:b/>
          <w:szCs w:val="21"/>
        </w:rPr>
        <w:t>不</w:t>
      </w:r>
      <w:r>
        <w:rPr>
          <w:rFonts w:hint="eastAsia" w:ascii="宋体" w:hAnsi="宋体"/>
          <w:szCs w:val="21"/>
        </w:rPr>
        <w:t>接受联合体投标。</w:t>
      </w:r>
    </w:p>
    <w:p>
      <w:pPr>
        <w:spacing w:line="360" w:lineRule="auto"/>
        <w:ind w:firstLine="420" w:firstLineChars="200"/>
        <w:rPr>
          <w:rFonts w:ascii="宋体" w:hAnsi="宋体"/>
          <w:szCs w:val="21"/>
        </w:rPr>
      </w:pPr>
      <w:r>
        <w:rPr>
          <w:rFonts w:hint="eastAsia" w:ascii="宋体" w:hAnsi="宋体"/>
          <w:szCs w:val="21"/>
        </w:rPr>
        <w:t>备注：本项目为线上电子招标项目，有意向参与本项目的供应商应当做好参与全流程电子招投标交易的充分准备。</w:t>
      </w:r>
    </w:p>
    <w:bookmarkEnd w:id="17"/>
    <w:bookmarkEnd w:id="18"/>
    <w:p>
      <w:pPr>
        <w:spacing w:line="360" w:lineRule="auto"/>
        <w:rPr>
          <w:rFonts w:ascii="黑体" w:hAnsi="黑体" w:eastAsia="黑体"/>
          <w:b/>
          <w:bCs/>
          <w:sz w:val="24"/>
        </w:rPr>
      </w:pPr>
      <w:bookmarkStart w:id="19" w:name="_Toc28359003"/>
      <w:bookmarkStart w:id="20" w:name="_Toc35393622"/>
      <w:bookmarkStart w:id="21" w:name="_Toc28359080"/>
      <w:bookmarkStart w:id="22" w:name="_Toc35393791"/>
      <w:r>
        <w:rPr>
          <w:rFonts w:hint="eastAsia" w:ascii="黑体" w:hAnsi="黑体" w:eastAsia="黑体"/>
          <w:b/>
          <w:bCs/>
          <w:sz w:val="24"/>
        </w:rPr>
        <w:t>二、申请人的资格要求：</w:t>
      </w:r>
      <w:bookmarkEnd w:id="19"/>
      <w:bookmarkEnd w:id="20"/>
      <w:bookmarkEnd w:id="21"/>
      <w:bookmarkEnd w:id="22"/>
    </w:p>
    <w:p>
      <w:pPr>
        <w:spacing w:line="360" w:lineRule="auto"/>
        <w:ind w:firstLine="420" w:firstLineChars="200"/>
        <w:rPr>
          <w:rFonts w:ascii="宋体" w:hAnsi="宋体"/>
          <w:szCs w:val="21"/>
        </w:rPr>
      </w:pPr>
      <w:bookmarkStart w:id="23" w:name="_Toc28359004"/>
      <w:bookmarkStart w:id="24" w:name="_Toc35393792"/>
      <w:bookmarkStart w:id="25" w:name="_Toc28359081"/>
      <w:bookmarkStart w:id="26" w:name="_Toc35393623"/>
      <w:r>
        <w:rPr>
          <w:rFonts w:ascii="宋体" w:hAnsi="宋体"/>
          <w:szCs w:val="21"/>
        </w:rPr>
        <w:t>1.根据《政府采购法》和《政采法实施条例》规定，供应商必备通用资格条件为《政府采购法》第二十二条规定，即：</w:t>
      </w:r>
    </w:p>
    <w:p>
      <w:pPr>
        <w:spacing w:line="360" w:lineRule="auto"/>
        <w:ind w:firstLine="420" w:firstLineChars="200"/>
        <w:rPr>
          <w:rFonts w:ascii="宋体" w:hAnsi="宋体"/>
          <w:szCs w:val="21"/>
        </w:rPr>
      </w:pPr>
      <w:r>
        <w:rPr>
          <w:rFonts w:ascii="宋体" w:hAnsi="宋体"/>
          <w:szCs w:val="21"/>
        </w:rPr>
        <w:t>1）具有独立承担民事责任的能力；</w:t>
      </w:r>
    </w:p>
    <w:p>
      <w:pPr>
        <w:spacing w:line="360" w:lineRule="auto"/>
        <w:ind w:firstLine="420" w:firstLineChars="200"/>
        <w:rPr>
          <w:rFonts w:ascii="宋体" w:hAnsi="宋体"/>
          <w:szCs w:val="21"/>
        </w:rPr>
      </w:pPr>
      <w:r>
        <w:rPr>
          <w:rFonts w:ascii="宋体" w:hAnsi="宋体"/>
          <w:szCs w:val="21"/>
        </w:rPr>
        <w:t>2）具有良好的商业信誉和健全的财务会计制度；</w:t>
      </w:r>
    </w:p>
    <w:p>
      <w:pPr>
        <w:spacing w:line="360" w:lineRule="auto"/>
        <w:ind w:firstLine="420" w:firstLineChars="200"/>
        <w:rPr>
          <w:rFonts w:ascii="宋体" w:hAnsi="宋体"/>
          <w:szCs w:val="21"/>
        </w:rPr>
      </w:pPr>
      <w:r>
        <w:rPr>
          <w:rFonts w:ascii="宋体" w:hAnsi="宋体"/>
          <w:szCs w:val="21"/>
        </w:rPr>
        <w:t>3）具有履行合同所必需的设备和专业技术能力；</w:t>
      </w:r>
    </w:p>
    <w:p>
      <w:pPr>
        <w:spacing w:line="360" w:lineRule="auto"/>
        <w:ind w:firstLine="420" w:firstLineChars="200"/>
        <w:rPr>
          <w:rFonts w:ascii="宋体" w:hAnsi="宋体"/>
          <w:szCs w:val="21"/>
        </w:rPr>
      </w:pPr>
      <w:r>
        <w:rPr>
          <w:rFonts w:ascii="宋体" w:hAnsi="宋体"/>
          <w:szCs w:val="21"/>
        </w:rPr>
        <w:t>4）有依法缴纳税收和社会保障资金的良好记录；</w:t>
      </w:r>
    </w:p>
    <w:p>
      <w:pPr>
        <w:spacing w:line="360" w:lineRule="auto"/>
        <w:ind w:firstLine="420" w:firstLineChars="200"/>
        <w:rPr>
          <w:rFonts w:ascii="宋体" w:hAnsi="宋体"/>
          <w:szCs w:val="21"/>
        </w:rPr>
      </w:pPr>
      <w:r>
        <w:rPr>
          <w:rFonts w:ascii="宋体" w:hAnsi="宋体"/>
          <w:szCs w:val="21"/>
        </w:rPr>
        <w:t>5）参加政府采购活动前三年内，在经营活动中没有重大违法记录；</w:t>
      </w:r>
    </w:p>
    <w:p>
      <w:pPr>
        <w:spacing w:line="360" w:lineRule="auto"/>
        <w:ind w:firstLine="420" w:firstLineChars="200"/>
        <w:jc w:val="left"/>
        <w:rPr>
          <w:rFonts w:ascii="宋体" w:hAnsi="宋体"/>
          <w:szCs w:val="21"/>
        </w:rPr>
      </w:pPr>
      <w:r>
        <w:rPr>
          <w:rFonts w:ascii="宋体" w:hAnsi="宋体"/>
          <w:szCs w:val="21"/>
        </w:rPr>
        <w:t>6）法律、行政法规规定的其他条件。</w:t>
      </w:r>
    </w:p>
    <w:p>
      <w:pPr>
        <w:spacing w:line="360" w:lineRule="auto"/>
        <w:ind w:firstLine="420" w:firstLineChars="200"/>
        <w:jc w:val="left"/>
        <w:rPr>
          <w:rFonts w:ascii="宋体" w:hAnsi="宋体"/>
          <w:szCs w:val="21"/>
        </w:rPr>
      </w:pPr>
      <w:r>
        <w:rPr>
          <w:rFonts w:ascii="宋体" w:hAnsi="宋体"/>
          <w:szCs w:val="21"/>
        </w:rPr>
        <w:t>2.落实政府采购政策需满足的资格要求：</w:t>
      </w:r>
      <w:r>
        <w:rPr>
          <w:rFonts w:hint="eastAsia" w:ascii="宋体" w:hAnsi="宋体"/>
          <w:color w:val="000000"/>
          <w:szCs w:val="21"/>
        </w:rPr>
        <w:t>非</w:t>
      </w:r>
      <w:r>
        <w:rPr>
          <w:rFonts w:hint="eastAsia" w:ascii="宋体" w:hAnsi="宋体" w:cs="宋体"/>
          <w:color w:val="000000"/>
          <w:kern w:val="0"/>
          <w:szCs w:val="21"/>
        </w:rPr>
        <w:t>专门面向中小企业采购的项目</w:t>
      </w:r>
      <w:r>
        <w:rPr>
          <w:rFonts w:ascii="宋体" w:hAnsi="宋体"/>
          <w:szCs w:val="21"/>
        </w:rPr>
        <w:t>；</w:t>
      </w:r>
    </w:p>
    <w:p>
      <w:pPr>
        <w:spacing w:line="360" w:lineRule="auto"/>
        <w:ind w:firstLine="420" w:firstLineChars="200"/>
        <w:jc w:val="left"/>
        <w:rPr>
          <w:rFonts w:ascii="宋体" w:hAnsi="宋体"/>
          <w:szCs w:val="21"/>
        </w:rPr>
      </w:pPr>
      <w:r>
        <w:rPr>
          <w:rFonts w:ascii="宋体" w:hAnsi="宋体"/>
          <w:szCs w:val="21"/>
        </w:rPr>
        <w:t>3.本项目的特定资格要求：无；</w:t>
      </w:r>
    </w:p>
    <w:p>
      <w:pPr>
        <w:spacing w:line="360" w:lineRule="auto"/>
        <w:ind w:firstLine="420" w:firstLineChars="200"/>
        <w:jc w:val="left"/>
        <w:rPr>
          <w:rFonts w:ascii="宋体" w:hAnsi="宋体"/>
          <w:szCs w:val="21"/>
        </w:rPr>
      </w:pPr>
      <w:r>
        <w:rPr>
          <w:rFonts w:ascii="宋体" w:hAnsi="宋体"/>
          <w:szCs w:val="21"/>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szCs w:val="21"/>
        </w:rPr>
      </w:pPr>
      <w:r>
        <w:rPr>
          <w:rFonts w:ascii="宋体" w:hAnsi="宋体"/>
          <w:szCs w:val="21"/>
        </w:rPr>
        <w:t>5.对在“信用中心”网站(www.creditchina.gov.cn)、中国政府采购网(www.ccgp.gov.cn)被列入失信被执行人、重大税收违法案件当事人名单、政府采购严重违法失信行为记录名单及其他不符合《中华人民共</w:t>
      </w:r>
      <w:r>
        <w:rPr>
          <w:rFonts w:hint="eastAsia" w:ascii="宋体" w:hAnsi="宋体"/>
          <w:szCs w:val="21"/>
          <w:lang w:val="en-US" w:eastAsia="zh-CN"/>
        </w:rPr>
        <w:t>和</w:t>
      </w:r>
      <w:r>
        <w:rPr>
          <w:rFonts w:ascii="宋体" w:hAnsi="宋体"/>
          <w:szCs w:val="21"/>
        </w:rPr>
        <w:t>国政府采购法》第二十二条规定条件的供应商，不得参与政府采购活动。</w:t>
      </w:r>
    </w:p>
    <w:p>
      <w:pPr>
        <w:spacing w:line="360" w:lineRule="auto"/>
        <w:ind w:firstLine="482" w:firstLineChars="200"/>
        <w:rPr>
          <w:rFonts w:ascii="黑体" w:hAnsi="黑体" w:eastAsia="黑体"/>
          <w:b/>
          <w:bCs/>
          <w:sz w:val="24"/>
        </w:rPr>
      </w:pPr>
      <w:r>
        <w:rPr>
          <w:rFonts w:hint="eastAsia" w:ascii="黑体" w:hAnsi="黑体" w:eastAsia="黑体"/>
          <w:b/>
          <w:bCs/>
          <w:sz w:val="24"/>
        </w:rPr>
        <w:t>三、获取招标文件</w:t>
      </w:r>
      <w:bookmarkEnd w:id="23"/>
      <w:bookmarkEnd w:id="24"/>
      <w:bookmarkEnd w:id="25"/>
      <w:bookmarkEnd w:id="26"/>
    </w:p>
    <w:p>
      <w:pPr>
        <w:spacing w:line="360" w:lineRule="auto"/>
        <w:ind w:firstLine="420" w:firstLineChars="200"/>
        <w:rPr>
          <w:rFonts w:ascii="宋体" w:hAnsi="宋体" w:cs="宋体"/>
          <w:bCs/>
          <w:kern w:val="0"/>
          <w:szCs w:val="21"/>
        </w:rPr>
      </w:pPr>
      <w:r>
        <w:rPr>
          <w:rFonts w:hint="eastAsia" w:ascii="宋体" w:hAnsi="宋体" w:cs="宋体"/>
          <w:bCs/>
          <w:kern w:val="0"/>
          <w:szCs w:val="21"/>
        </w:rPr>
        <w:t>时间：</w:t>
      </w:r>
      <w:r>
        <w:rPr>
          <w:rFonts w:ascii="宋体" w:hAnsi="宋体" w:cs="宋体"/>
          <w:bCs/>
          <w:kern w:val="0"/>
          <w:szCs w:val="21"/>
        </w:rPr>
        <w:t xml:space="preserve"> 2024</w:t>
      </w:r>
      <w:r>
        <w:rPr>
          <w:rFonts w:hint="eastAsia" w:ascii="宋体" w:hAnsi="宋体" w:cs="宋体"/>
          <w:bCs/>
          <w:kern w:val="0"/>
          <w:szCs w:val="21"/>
        </w:rPr>
        <w:t>年6月13日至</w:t>
      </w:r>
      <w:r>
        <w:rPr>
          <w:rFonts w:ascii="宋体" w:hAnsi="宋体" w:cs="宋体"/>
          <w:bCs/>
          <w:kern w:val="0"/>
          <w:szCs w:val="21"/>
        </w:rPr>
        <w:t>202</w:t>
      </w:r>
      <w:r>
        <w:rPr>
          <w:rFonts w:hint="eastAsia" w:ascii="宋体" w:hAnsi="宋体" w:cs="宋体"/>
          <w:bCs/>
          <w:kern w:val="0"/>
          <w:szCs w:val="21"/>
        </w:rPr>
        <w:t>4年6月20日，每天上午0</w:t>
      </w:r>
      <w:r>
        <w:rPr>
          <w:rFonts w:ascii="宋体" w:hAnsi="宋体" w:cs="宋体"/>
          <w:bCs/>
          <w:kern w:val="0"/>
          <w:szCs w:val="21"/>
        </w:rPr>
        <w:t>0:00</w:t>
      </w:r>
      <w:r>
        <w:rPr>
          <w:rFonts w:hint="eastAsia" w:ascii="宋体" w:hAnsi="宋体" w:cs="宋体"/>
          <w:bCs/>
          <w:kern w:val="0"/>
          <w:szCs w:val="21"/>
        </w:rPr>
        <w:t>至1</w:t>
      </w:r>
      <w:r>
        <w:rPr>
          <w:rFonts w:ascii="宋体" w:hAnsi="宋体" w:cs="宋体"/>
          <w:bCs/>
          <w:kern w:val="0"/>
          <w:szCs w:val="21"/>
        </w:rPr>
        <w:t>2:00</w:t>
      </w:r>
      <w:r>
        <w:rPr>
          <w:rFonts w:hint="eastAsia" w:ascii="宋体" w:hAnsi="宋体" w:cs="宋体"/>
          <w:bCs/>
          <w:kern w:val="0"/>
          <w:szCs w:val="21"/>
        </w:rPr>
        <w:t>，下午1</w:t>
      </w:r>
      <w:r>
        <w:rPr>
          <w:rFonts w:ascii="宋体" w:hAnsi="宋体" w:cs="宋体"/>
          <w:bCs/>
          <w:kern w:val="0"/>
          <w:szCs w:val="21"/>
        </w:rPr>
        <w:t>2:00</w:t>
      </w:r>
      <w:r>
        <w:rPr>
          <w:rFonts w:hint="eastAsia" w:ascii="宋体" w:hAnsi="宋体" w:cs="宋体"/>
          <w:bCs/>
          <w:kern w:val="0"/>
          <w:szCs w:val="21"/>
        </w:rPr>
        <w:t>至</w:t>
      </w:r>
      <w:r>
        <w:rPr>
          <w:rFonts w:ascii="宋体" w:hAnsi="宋体" w:cs="宋体"/>
          <w:bCs/>
          <w:kern w:val="0"/>
          <w:szCs w:val="21"/>
        </w:rPr>
        <w:t>23:59</w:t>
      </w:r>
      <w:r>
        <w:rPr>
          <w:rFonts w:hint="eastAsia" w:ascii="宋体" w:hAnsi="宋体" w:cs="宋体"/>
          <w:bCs/>
          <w:kern w:val="0"/>
          <w:szCs w:val="21"/>
        </w:rPr>
        <w:t>（北京时间，</w:t>
      </w:r>
      <w:r>
        <w:rPr>
          <w:rFonts w:ascii="宋体" w:hAnsi="宋体" w:cs="宋体"/>
          <w:bCs/>
          <w:kern w:val="0"/>
          <w:szCs w:val="21"/>
        </w:rPr>
        <w:t>法定节假日</w:t>
      </w:r>
      <w:r>
        <w:rPr>
          <w:rFonts w:hint="eastAsia" w:ascii="宋体" w:hAnsi="宋体" w:cs="宋体"/>
          <w:bCs/>
          <w:kern w:val="0"/>
          <w:szCs w:val="21"/>
        </w:rPr>
        <w:t>除外）</w:t>
      </w:r>
    </w:p>
    <w:p>
      <w:pPr>
        <w:spacing w:line="360" w:lineRule="auto"/>
        <w:ind w:firstLine="420" w:firstLineChars="200"/>
        <w:rPr>
          <w:rFonts w:ascii="宋体" w:hAnsi="宋体" w:cs="宋体"/>
          <w:bCs/>
          <w:kern w:val="0"/>
          <w:szCs w:val="21"/>
        </w:rPr>
      </w:pPr>
      <w:r>
        <w:rPr>
          <w:rFonts w:hint="eastAsia" w:ascii="宋体" w:hAnsi="宋体" w:cs="宋体"/>
          <w:bCs/>
          <w:kern w:val="0"/>
          <w:szCs w:val="21"/>
        </w:rPr>
        <w:t>地点（网址）：“政采云”平台（https://www.gcy.zfcg.gxzf.gov.cn）</w:t>
      </w:r>
    </w:p>
    <w:p>
      <w:pPr>
        <w:spacing w:line="360" w:lineRule="auto"/>
        <w:ind w:firstLine="420" w:firstLineChars="200"/>
        <w:rPr>
          <w:rFonts w:ascii="宋体" w:hAnsi="宋体" w:cs="宋体"/>
          <w:bCs/>
          <w:kern w:val="0"/>
          <w:szCs w:val="21"/>
        </w:rPr>
      </w:pPr>
      <w:r>
        <w:rPr>
          <w:rFonts w:hint="eastAsia" w:ascii="宋体" w:hAnsi="宋体" w:cs="宋体"/>
          <w:bCs/>
          <w:kern w:val="0"/>
          <w:szCs w:val="21"/>
        </w:rPr>
        <w:t>方式：</w:t>
      </w:r>
      <w:r>
        <w:rPr>
          <w:rFonts w:hint="eastAsia" w:ascii="宋体" w:hAnsi="宋体"/>
          <w:szCs w:val="21"/>
        </w:rPr>
        <w:t>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szCs w:val="21"/>
        </w:rPr>
        <w:t>“政采云”平台（https://www.gcy.zfcg.gxzf.gov.cn）下载招标文件（操作路径：登录“政采云”平台-项目采购-获取采购文件-找到本项目-点击“申请获取采购文件”），电子投标文件制作需要基于“政采云”平台获取的招标文件编制。</w:t>
      </w:r>
    </w:p>
    <w:p>
      <w:pPr>
        <w:spacing w:line="360" w:lineRule="auto"/>
        <w:ind w:firstLine="420" w:firstLineChars="200"/>
        <w:rPr>
          <w:rFonts w:ascii="宋体" w:hAnsi="宋体" w:cs="宋体"/>
          <w:szCs w:val="21"/>
        </w:rPr>
      </w:pPr>
      <w:r>
        <w:rPr>
          <w:rFonts w:hint="eastAsia" w:ascii="宋体" w:hAnsi="宋体" w:cs="宋体"/>
          <w:bCs/>
          <w:kern w:val="0"/>
          <w:szCs w:val="21"/>
        </w:rPr>
        <w:t>售价</w:t>
      </w:r>
      <w:r>
        <w:rPr>
          <w:rFonts w:hint="eastAsia" w:ascii="宋体" w:hAnsi="宋体"/>
          <w:szCs w:val="21"/>
        </w:rPr>
        <w:t>（元）</w:t>
      </w:r>
      <w:r>
        <w:rPr>
          <w:rFonts w:hint="eastAsia" w:ascii="宋体" w:hAnsi="宋体" w:cs="宋体"/>
          <w:bCs/>
          <w:kern w:val="0"/>
          <w:szCs w:val="21"/>
        </w:rPr>
        <w:t>：0元。（大写：零元）。</w:t>
      </w:r>
    </w:p>
    <w:p>
      <w:pPr>
        <w:spacing w:line="360" w:lineRule="auto"/>
        <w:rPr>
          <w:rFonts w:ascii="黑体" w:hAnsi="黑体" w:eastAsia="黑体"/>
          <w:b/>
          <w:bCs/>
          <w:sz w:val="24"/>
        </w:rPr>
      </w:pPr>
      <w:bookmarkStart w:id="27" w:name="_Toc28359005"/>
      <w:bookmarkStart w:id="28" w:name="_Toc28359082"/>
      <w:bookmarkStart w:id="29" w:name="_Toc35393624"/>
      <w:bookmarkStart w:id="30" w:name="_Toc35393793"/>
      <w:r>
        <w:rPr>
          <w:rFonts w:hint="eastAsia" w:ascii="黑体" w:hAnsi="黑体" w:eastAsia="黑体"/>
          <w:b/>
          <w:bCs/>
          <w:sz w:val="24"/>
        </w:rPr>
        <w:t>四、提交投标文件</w:t>
      </w:r>
      <w:bookmarkEnd w:id="27"/>
      <w:bookmarkEnd w:id="28"/>
      <w:r>
        <w:rPr>
          <w:rFonts w:hint="eastAsia" w:ascii="黑体" w:hAnsi="黑体" w:eastAsia="黑体"/>
          <w:b/>
          <w:bCs/>
          <w:sz w:val="24"/>
        </w:rPr>
        <w:t>截止时间、开标时间和地点</w:t>
      </w:r>
      <w:bookmarkEnd w:id="29"/>
      <w:bookmarkEnd w:id="30"/>
    </w:p>
    <w:p>
      <w:pPr>
        <w:spacing w:line="360" w:lineRule="auto"/>
        <w:ind w:firstLine="420" w:firstLineChars="200"/>
        <w:rPr>
          <w:rFonts w:ascii="宋体" w:hAnsi="宋体" w:cs="宋体"/>
          <w:szCs w:val="21"/>
          <w:u w:val="single"/>
        </w:rPr>
      </w:pPr>
      <w:r>
        <w:rPr>
          <w:rFonts w:hint="eastAsia" w:ascii="宋体" w:hAnsi="宋体"/>
          <w:bCs/>
          <w:szCs w:val="21"/>
        </w:rPr>
        <w:t>提交投标文件截止时间：</w:t>
      </w:r>
      <w:bookmarkStart w:id="31" w:name="_Hlk64731612"/>
      <w:r>
        <w:rPr>
          <w:rFonts w:ascii="宋体" w:hAnsi="宋体"/>
          <w:szCs w:val="21"/>
        </w:rPr>
        <w:t>202</w:t>
      </w:r>
      <w:r>
        <w:rPr>
          <w:rFonts w:hint="eastAsia" w:ascii="宋体" w:hAnsi="宋体"/>
          <w:szCs w:val="21"/>
        </w:rPr>
        <w:t>4</w:t>
      </w:r>
      <w:r>
        <w:rPr>
          <w:rFonts w:hint="eastAsia" w:ascii="宋体" w:hAnsi="宋体"/>
          <w:bCs/>
          <w:szCs w:val="21"/>
        </w:rPr>
        <w:t>年</w:t>
      </w:r>
      <w:r>
        <w:rPr>
          <w:rFonts w:ascii="宋体" w:hAnsi="宋体"/>
          <w:bCs/>
          <w:szCs w:val="21"/>
        </w:rPr>
        <w:t xml:space="preserve"> </w:t>
      </w:r>
      <w:r>
        <w:rPr>
          <w:rFonts w:hint="eastAsia" w:ascii="宋体" w:hAnsi="宋体"/>
          <w:bCs/>
          <w:szCs w:val="21"/>
        </w:rPr>
        <w:t>7月4日</w:t>
      </w:r>
      <w:r>
        <w:rPr>
          <w:rFonts w:ascii="宋体" w:hAnsi="宋体"/>
          <w:bCs/>
          <w:szCs w:val="21"/>
        </w:rPr>
        <w:t xml:space="preserve"> 09</w:t>
      </w:r>
      <w:r>
        <w:rPr>
          <w:rFonts w:hint="eastAsia" w:ascii="宋体" w:hAnsi="宋体"/>
          <w:bCs/>
          <w:szCs w:val="21"/>
        </w:rPr>
        <w:t>：</w:t>
      </w:r>
      <w:bookmarkEnd w:id="31"/>
      <w:r>
        <w:rPr>
          <w:rFonts w:ascii="宋体" w:hAnsi="宋体"/>
          <w:bCs/>
          <w:szCs w:val="21"/>
        </w:rPr>
        <w:t>30</w:t>
      </w:r>
      <w:r>
        <w:rPr>
          <w:rFonts w:hint="eastAsia" w:ascii="宋体" w:hAnsi="宋体"/>
          <w:bCs/>
          <w:szCs w:val="21"/>
        </w:rPr>
        <w:t>（北京时间）</w:t>
      </w:r>
    </w:p>
    <w:p>
      <w:pPr>
        <w:spacing w:line="360" w:lineRule="auto"/>
        <w:ind w:firstLine="420" w:firstLineChars="200"/>
        <w:rPr>
          <w:rFonts w:ascii="宋体" w:hAnsi="宋体"/>
          <w:bCs/>
          <w:szCs w:val="21"/>
        </w:rPr>
      </w:pPr>
      <w:r>
        <w:rPr>
          <w:rFonts w:hint="eastAsia" w:ascii="宋体" w:hAnsi="宋体"/>
          <w:bCs/>
          <w:szCs w:val="21"/>
        </w:rPr>
        <w:t xml:space="preserve">投标地点（网址）：“政采云”平台（https://www.gcy.zfcg.gxzf.gov.cn） </w:t>
      </w:r>
    </w:p>
    <w:p>
      <w:pPr>
        <w:spacing w:line="360" w:lineRule="auto"/>
        <w:ind w:firstLine="420" w:firstLineChars="200"/>
        <w:rPr>
          <w:rFonts w:ascii="宋体" w:hAnsi="宋体"/>
          <w:bCs/>
          <w:szCs w:val="21"/>
        </w:rPr>
      </w:pPr>
      <w:r>
        <w:rPr>
          <w:rFonts w:hint="eastAsia" w:ascii="宋体" w:hAnsi="宋体"/>
          <w:bCs/>
          <w:szCs w:val="21"/>
        </w:rPr>
        <w:t>开标时间：</w:t>
      </w:r>
      <w:r>
        <w:rPr>
          <w:rFonts w:ascii="宋体" w:hAnsi="宋体"/>
          <w:szCs w:val="21"/>
        </w:rPr>
        <w:t>202</w:t>
      </w:r>
      <w:r>
        <w:rPr>
          <w:rFonts w:hint="eastAsia" w:ascii="宋体" w:hAnsi="宋体"/>
          <w:szCs w:val="21"/>
        </w:rPr>
        <w:t>4</w:t>
      </w:r>
      <w:r>
        <w:rPr>
          <w:rFonts w:hint="eastAsia" w:ascii="宋体" w:hAnsi="宋体"/>
          <w:bCs/>
          <w:szCs w:val="21"/>
        </w:rPr>
        <w:t>年7月</w:t>
      </w:r>
      <w:r>
        <w:rPr>
          <w:rFonts w:ascii="宋体" w:hAnsi="宋体"/>
          <w:bCs/>
          <w:szCs w:val="21"/>
        </w:rPr>
        <w:t xml:space="preserve"> </w:t>
      </w:r>
      <w:r>
        <w:rPr>
          <w:rFonts w:hint="eastAsia" w:ascii="宋体" w:hAnsi="宋体"/>
          <w:bCs/>
          <w:szCs w:val="21"/>
        </w:rPr>
        <w:t xml:space="preserve">4日 </w:t>
      </w:r>
      <w:r>
        <w:rPr>
          <w:rFonts w:ascii="宋体" w:hAnsi="宋体"/>
          <w:bCs/>
          <w:szCs w:val="21"/>
        </w:rPr>
        <w:t>09</w:t>
      </w:r>
      <w:r>
        <w:rPr>
          <w:rFonts w:hint="eastAsia" w:ascii="宋体" w:hAnsi="宋体"/>
          <w:bCs/>
          <w:szCs w:val="21"/>
        </w:rPr>
        <w:t>：</w:t>
      </w:r>
      <w:r>
        <w:rPr>
          <w:rFonts w:ascii="宋体" w:hAnsi="宋体"/>
          <w:bCs/>
          <w:szCs w:val="21"/>
        </w:rPr>
        <w:t>30</w:t>
      </w:r>
      <w:r>
        <w:rPr>
          <w:rFonts w:hint="eastAsia" w:ascii="宋体" w:hAnsi="宋体"/>
          <w:bCs/>
          <w:szCs w:val="21"/>
        </w:rPr>
        <w:t xml:space="preserve"> </w:t>
      </w:r>
    </w:p>
    <w:p>
      <w:pPr>
        <w:spacing w:line="360" w:lineRule="auto"/>
        <w:ind w:firstLine="420" w:firstLineChars="200"/>
        <w:rPr>
          <w:rFonts w:ascii="宋体" w:hAnsi="宋体"/>
          <w:b/>
          <w:bCs/>
          <w:szCs w:val="21"/>
          <w:u w:val="single"/>
        </w:rPr>
      </w:pPr>
      <w:r>
        <w:rPr>
          <w:rFonts w:hint="eastAsia" w:ascii="宋体" w:hAnsi="宋体"/>
          <w:bCs/>
          <w:szCs w:val="21"/>
        </w:rPr>
        <w:t>开标地点：</w:t>
      </w:r>
      <w:r>
        <w:rPr>
          <w:rFonts w:hint="eastAsia" w:ascii="宋体" w:hAnsi="宋体"/>
          <w:szCs w:val="21"/>
        </w:rPr>
        <w:t>“政采云”平台（https://www.gcy.zfcg.gxzf.gov.cn）电子开标大厅。</w:t>
      </w:r>
    </w:p>
    <w:p>
      <w:pPr>
        <w:spacing w:line="360" w:lineRule="auto"/>
        <w:rPr>
          <w:rFonts w:ascii="黑体" w:hAnsi="黑体" w:eastAsia="黑体"/>
          <w:b/>
          <w:bCs/>
          <w:sz w:val="24"/>
        </w:rPr>
      </w:pPr>
      <w:bookmarkStart w:id="32" w:name="_Toc35393625"/>
      <w:bookmarkStart w:id="33" w:name="_Toc28359007"/>
      <w:bookmarkStart w:id="34" w:name="_Toc28359084"/>
      <w:bookmarkStart w:id="35" w:name="_Toc35393794"/>
      <w:r>
        <w:rPr>
          <w:rFonts w:hint="eastAsia" w:ascii="黑体" w:hAnsi="黑体" w:eastAsia="黑体"/>
          <w:b/>
          <w:bCs/>
          <w:sz w:val="24"/>
        </w:rPr>
        <w:t>五、公告期限</w:t>
      </w:r>
      <w:bookmarkEnd w:id="32"/>
      <w:bookmarkEnd w:id="33"/>
      <w:bookmarkEnd w:id="34"/>
      <w:bookmarkEnd w:id="35"/>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自本公告发布之日起5个工作日。</w:t>
      </w:r>
    </w:p>
    <w:p>
      <w:pPr>
        <w:spacing w:line="360" w:lineRule="auto"/>
        <w:rPr>
          <w:rFonts w:ascii="黑体" w:hAnsi="黑体" w:eastAsia="黑体"/>
          <w:b/>
          <w:bCs/>
          <w:sz w:val="24"/>
        </w:rPr>
      </w:pPr>
      <w:bookmarkStart w:id="36" w:name="_Toc35393626"/>
      <w:bookmarkStart w:id="37" w:name="_Toc35393795"/>
      <w:r>
        <w:rPr>
          <w:rFonts w:hint="eastAsia" w:ascii="黑体" w:hAnsi="黑体" w:eastAsia="黑体"/>
          <w:b/>
          <w:bCs/>
          <w:sz w:val="24"/>
        </w:rPr>
        <w:t>六、其他补充事宜</w:t>
      </w:r>
      <w:bookmarkEnd w:id="36"/>
      <w:bookmarkEnd w:id="37"/>
    </w:p>
    <w:p>
      <w:pPr>
        <w:spacing w:line="360" w:lineRule="auto"/>
        <w:ind w:firstLine="424" w:firstLineChars="202"/>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投标保证金：</w:t>
      </w:r>
      <w:r>
        <w:rPr>
          <w:rFonts w:hint="eastAsia" w:ascii="宋体" w:hAnsi="宋体"/>
          <w:szCs w:val="21"/>
        </w:rPr>
        <w:t>本项目不收取投标保证金。</w:t>
      </w:r>
    </w:p>
    <w:p>
      <w:pPr>
        <w:spacing w:line="360" w:lineRule="auto"/>
        <w:ind w:left="424"/>
        <w:rPr>
          <w:rFonts w:ascii="宋体" w:hAnsi="宋体" w:cs="宋体"/>
          <w:kern w:val="0"/>
          <w:szCs w:val="21"/>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网上查询地址</w:t>
      </w:r>
    </w:p>
    <w:p>
      <w:pPr>
        <w:spacing w:line="360" w:lineRule="auto"/>
        <w:ind w:left="210" w:leftChars="100" w:firstLine="424" w:firstLineChars="202"/>
        <w:rPr>
          <w:rFonts w:ascii="宋体" w:hAnsi="宋体" w:cs="宋体"/>
          <w:kern w:val="0"/>
          <w:szCs w:val="21"/>
        </w:rPr>
      </w:pPr>
      <w:r>
        <w:rPr>
          <w:rFonts w:ascii="宋体" w:hAnsi="宋体" w:cs="宋体"/>
          <w:kern w:val="0"/>
          <w:szCs w:val="21"/>
        </w:rPr>
        <w:t>http://</w:t>
      </w:r>
      <w:r>
        <w:fldChar w:fldCharType="begin"/>
      </w:r>
      <w:r>
        <w:instrText xml:space="preserve"> HYPERLINK "http://www.ccgp.gov.cn（中国政府采购网）、zfcg.gxzf.gov.cn（广西壮族自治区政府采购网）" </w:instrText>
      </w:r>
      <w:r>
        <w:fldChar w:fldCharType="separate"/>
      </w:r>
      <w:r>
        <w:rPr>
          <w:rStyle w:val="55"/>
          <w:rFonts w:hint="eastAsia" w:ascii="宋体" w:hAnsi="宋体" w:cs="宋体"/>
          <w:color w:val="auto"/>
          <w:kern w:val="0"/>
          <w:szCs w:val="21"/>
          <w:u w:val="none"/>
        </w:rPr>
        <w:t>www.ccgp.gov.cn（中国政府采购网）、</w:t>
      </w:r>
      <w:r>
        <w:rPr>
          <w:rStyle w:val="55"/>
          <w:rFonts w:ascii="宋体" w:hAnsi="宋体" w:cs="宋体"/>
          <w:color w:val="auto"/>
          <w:kern w:val="0"/>
          <w:szCs w:val="21"/>
          <w:u w:val="none"/>
        </w:rPr>
        <w:t>http://</w:t>
      </w:r>
      <w:r>
        <w:rPr>
          <w:rStyle w:val="55"/>
          <w:rFonts w:hint="eastAsia" w:ascii="宋体" w:hAnsi="宋体" w:cs="宋体"/>
          <w:color w:val="auto"/>
          <w:kern w:val="0"/>
          <w:szCs w:val="21"/>
          <w:u w:val="none"/>
        </w:rPr>
        <w:t>zfcg.gxzf.gov.cn（广西壮族自治区政府采购网）</w:t>
      </w:r>
      <w:r>
        <w:rPr>
          <w:rStyle w:val="55"/>
          <w:rFonts w:hint="eastAsia" w:ascii="宋体" w:hAnsi="宋体" w:cs="宋体"/>
          <w:color w:val="auto"/>
          <w:kern w:val="0"/>
          <w:szCs w:val="21"/>
          <w:u w:val="none"/>
        </w:rPr>
        <w:fldChar w:fldCharType="end"/>
      </w:r>
      <w:r>
        <w:rPr>
          <w:rFonts w:hint="eastAsia" w:ascii="宋体" w:hAnsi="宋体" w:cs="宋体"/>
          <w:kern w:val="0"/>
          <w:szCs w:val="21"/>
        </w:rPr>
        <w:t>、http://gxggzy.gxzf.gov.cn（广西壮族自治区公共资源交易中心）</w:t>
      </w:r>
    </w:p>
    <w:p>
      <w:pPr>
        <w:spacing w:line="360" w:lineRule="auto"/>
        <w:ind w:firstLine="424" w:firstLineChars="202"/>
        <w:rPr>
          <w:rFonts w:ascii="宋体" w:hAnsi="宋体" w:cs="宋体"/>
          <w:kern w:val="0"/>
          <w:szCs w:val="21"/>
        </w:rPr>
      </w:pPr>
      <w:r>
        <w:rPr>
          <w:rFonts w:hint="eastAsia" w:ascii="宋体" w:hAnsi="宋体"/>
          <w:szCs w:val="21"/>
        </w:rPr>
        <w:t>3.</w:t>
      </w:r>
      <w:r>
        <w:rPr>
          <w:rFonts w:hint="eastAsia" w:ascii="宋体" w:hAnsi="宋体" w:cs="宋体"/>
          <w:kern w:val="0"/>
          <w:szCs w:val="21"/>
        </w:rPr>
        <w:t>本项目需要落实的政府采购政策</w:t>
      </w:r>
    </w:p>
    <w:p>
      <w:pPr>
        <w:spacing w:line="360" w:lineRule="auto"/>
        <w:ind w:firstLine="315" w:firstLineChars="15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315" w:firstLineChars="15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315" w:firstLineChars="15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315" w:firstLineChars="15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315" w:firstLineChars="150"/>
        <w:rPr>
          <w:rFonts w:ascii="宋体" w:hAnsi="宋体" w:cs="宋体"/>
          <w:kern w:val="0"/>
          <w:szCs w:val="21"/>
        </w:rPr>
      </w:pPr>
      <w:r>
        <w:rPr>
          <w:rFonts w:hint="eastAsia" w:ascii="宋体" w:hAnsi="宋体" w:cs="宋体"/>
          <w:kern w:val="0"/>
          <w:szCs w:val="21"/>
        </w:rPr>
        <w:t>（5）政府采购支持监狱企业发展。</w:t>
      </w:r>
    </w:p>
    <w:p>
      <w:pPr>
        <w:spacing w:line="360" w:lineRule="auto"/>
        <w:ind w:firstLine="424" w:firstLineChars="202"/>
        <w:rPr>
          <w:rFonts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投标注意事项</w:t>
      </w:r>
    </w:p>
    <w:p>
      <w:pPr>
        <w:widowControl/>
        <w:spacing w:line="360" w:lineRule="auto"/>
        <w:ind w:firstLine="420" w:firstLineChars="200"/>
        <w:jc w:val="left"/>
        <w:rPr>
          <w:rFonts w:ascii="宋体" w:hAnsi="宋体"/>
          <w:szCs w:val="21"/>
        </w:rPr>
      </w:pPr>
      <w:r>
        <w:rPr>
          <w:rFonts w:hint="eastAsia" w:ascii="宋体" w:hAnsi="宋体"/>
          <w:szCs w:val="21"/>
        </w:rPr>
        <w:t>（1）</w:t>
      </w:r>
      <w:r>
        <w:rPr>
          <w:rFonts w:hint="eastAsia" w:ascii="宋体" w:hAnsi="宋体" w:cs="宋体"/>
          <w:szCs w:val="21"/>
        </w:rPr>
        <w:t>投标文件</w:t>
      </w:r>
      <w:r>
        <w:rPr>
          <w:rFonts w:hint="eastAsia" w:ascii="宋体" w:hAnsi="宋体" w:cs="宋体"/>
          <w:szCs w:val="21"/>
          <w:lang w:bidi="ar"/>
        </w:rPr>
        <w:t>提交方式：</w:t>
      </w:r>
      <w:r>
        <w:rPr>
          <w:rFonts w:hint="eastAsia" w:ascii="宋体" w:hAnsi="宋体"/>
          <w:szCs w:val="21"/>
        </w:rPr>
        <w:t>本项目为全流程电子化采购项目，通过“政采云”平台（https：//www.zcygov.cn）实行在线电子投标，供应商应先安装“政采云电子投标客户端”（请自行前往“政采云”平台进行下载），并按照本项目招标文件和“政采云”平台的要求编制、加密后在投标截止时间前通过网络上传至 “政采云”平台，</w:t>
      </w:r>
      <w:r>
        <w:rPr>
          <w:rFonts w:hint="eastAsia" w:ascii="宋体" w:hAnsi="宋体"/>
          <w:b/>
          <w:szCs w:val="21"/>
        </w:rPr>
        <w:t>供应商在“政采云”平台提交电子投标文件时，请填写参加远程开标活动经办人联系方式。</w:t>
      </w:r>
      <w:r>
        <w:rPr>
          <w:rFonts w:hint="eastAsia" w:ascii="宋体" w:hAnsi="宋体"/>
          <w:szCs w:val="21"/>
        </w:rPr>
        <w:t>供应商登录“政采云”平台，依次进入“服务中心-项目采购-操作流程-电子招投标-</w:t>
      </w:r>
      <w:r>
        <w:rPr>
          <w:rFonts w:hint="eastAsia"/>
        </w:rPr>
        <w:t>政府采购项目电子交易管理操作指南</w:t>
      </w:r>
      <w:r>
        <w:t>-</w:t>
      </w:r>
      <w:r>
        <w:rPr>
          <w:rFonts w:hint="eastAsia"/>
        </w:rPr>
        <w:t>供应商</w:t>
      </w:r>
      <w:r>
        <w:rPr>
          <w:rFonts w:hint="eastAsia" w:ascii="宋体" w:hAnsi="宋体"/>
          <w:szCs w:val="21"/>
        </w:rPr>
        <w:t>”查看电子投标具体操作流程。</w:t>
      </w:r>
    </w:p>
    <w:p>
      <w:pPr>
        <w:widowControl/>
        <w:spacing w:line="360" w:lineRule="auto"/>
        <w:ind w:firstLine="420" w:firstLineChars="200"/>
        <w:jc w:val="left"/>
        <w:rPr>
          <w:rFonts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及投标文件的提交（供应商可登录“广西政府采购网”，依次进入“办事服务-下载专区”或者</w:t>
      </w:r>
      <w:r>
        <w:rPr>
          <w:rFonts w:hint="eastAsia" w:ascii="宋体" w:hAnsi="宋体"/>
          <w:szCs w:val="21"/>
          <w:lang w:eastAsia="zh-CN"/>
        </w:rPr>
        <w:t>登录</w:t>
      </w:r>
      <w:r>
        <w:rPr>
          <w:rFonts w:hint="eastAsia" w:ascii="宋体" w:hAnsi="宋体" w:cs="宋体"/>
          <w:kern w:val="0"/>
          <w:szCs w:val="21"/>
        </w:rPr>
        <w:t>“政采云”平台，</w:t>
      </w:r>
      <w:r>
        <w:rPr>
          <w:rFonts w:hint="eastAsia" w:ascii="宋体" w:hAnsi="宋体"/>
          <w:szCs w:val="21"/>
        </w:rPr>
        <w:t>依次进入“服务中心-入驻与配置”中查看CA数字证书办理操作流程。</w:t>
      </w:r>
      <w:r>
        <w:rPr>
          <w:rFonts w:hint="eastAsia" w:ascii="宋体" w:hAnsi="宋体" w:cs="宋体"/>
          <w:bCs/>
          <w:kern w:val="0"/>
          <w:szCs w:val="21"/>
        </w:rPr>
        <w:t>如在操作过程中遇到问题或者需要技术支持，请致电政采云客服热线：400-881-7190</w:t>
      </w:r>
      <w:r>
        <w:rPr>
          <w:rFonts w:hint="eastAsia" w:ascii="宋体" w:hAnsi="宋体"/>
          <w:szCs w:val="21"/>
        </w:rPr>
        <w:t>）。</w:t>
      </w:r>
    </w:p>
    <w:p>
      <w:pPr>
        <w:snapToGrid w:val="0"/>
        <w:spacing w:line="360" w:lineRule="auto"/>
        <w:ind w:firstLine="420" w:firstLineChars="200"/>
        <w:rPr>
          <w:rFonts w:ascii="宋体" w:hAnsi="宋体"/>
          <w:szCs w:val="21"/>
        </w:rPr>
      </w:pPr>
      <w:r>
        <w:rPr>
          <w:rFonts w:hint="eastAsia" w:ascii="宋体" w:hAnsi="宋体"/>
          <w:szCs w:val="21"/>
        </w:rPr>
        <w:t>（3）为确保网上操作合法、有效和安全，请供应商确保在电子投标过程中能够对相关数据电文进行加密和使用电子签章，妥善保管CA数字证书并使用有效的CA数字证书参与整个采购活动。</w:t>
      </w:r>
    </w:p>
    <w:p>
      <w:pPr>
        <w:snapToGrid w:val="0"/>
        <w:spacing w:line="360" w:lineRule="auto"/>
        <w:ind w:firstLine="420" w:firstLineChars="200"/>
        <w:rPr>
          <w:rFonts w:ascii="宋体" w:hAnsi="宋体"/>
          <w:bCs/>
          <w:szCs w:val="21"/>
        </w:rPr>
      </w:pPr>
      <w:r>
        <w:rPr>
          <w:rFonts w:hint="eastAsia" w:ascii="宋体" w:hAnsi="宋体"/>
          <w:bCs/>
          <w:szCs w:val="21"/>
        </w:rPr>
        <w:t>注：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提交）的投标文件，“政采云”平台将予以拒收。</w:t>
      </w:r>
    </w:p>
    <w:p>
      <w:pPr>
        <w:snapToGrid w:val="0"/>
        <w:spacing w:line="360" w:lineRule="auto"/>
        <w:ind w:firstLine="420" w:firstLineChars="200"/>
        <w:rPr>
          <w:rFonts w:ascii="宋体" w:hAnsi="宋体"/>
          <w:bCs/>
          <w:szCs w:val="21"/>
        </w:rPr>
      </w:pPr>
      <w:r>
        <w:rPr>
          <w:rFonts w:hint="eastAsia" w:ascii="宋体" w:hAnsi="宋体" w:cs="宋体"/>
          <w:kern w:val="0"/>
          <w:szCs w:val="21"/>
        </w:rPr>
        <w:t>（</w:t>
      </w:r>
      <w:r>
        <w:rPr>
          <w:rFonts w:ascii="宋体" w:hAnsi="宋体" w:cs="宋体"/>
          <w:kern w:val="0"/>
          <w:szCs w:val="21"/>
        </w:rPr>
        <w:t>4</w:t>
      </w:r>
      <w:r>
        <w:rPr>
          <w:rFonts w:hint="eastAsia" w:ascii="宋体" w:hAnsi="宋体" w:cs="宋体"/>
          <w:kern w:val="0"/>
          <w:szCs w:val="21"/>
        </w:rPr>
        <w:t>）CA证书在线解密：首次响应文件开启时，需携带制作投标文件时用来加密的有效数字证书（CA认证）登录“政采云”平台电子开标大厅现场按规定时间对加密的投标文件进行解密，否则后果自负。</w:t>
      </w:r>
    </w:p>
    <w:p>
      <w:pPr>
        <w:spacing w:line="360" w:lineRule="auto"/>
        <w:ind w:firstLine="424" w:firstLineChars="202"/>
        <w:rPr>
          <w:rFonts w:ascii="宋体" w:hAnsi="宋体" w:cs="宋体"/>
          <w:kern w:val="0"/>
          <w:szCs w:val="21"/>
        </w:rPr>
      </w:pPr>
      <w:r>
        <w:rPr>
          <w:rFonts w:hint="eastAsia" w:ascii="宋体" w:hAnsi="宋体" w:cs="宋体"/>
          <w:kern w:val="0"/>
          <w:szCs w:val="21"/>
        </w:rPr>
        <w:t>（</w:t>
      </w:r>
      <w:r>
        <w:rPr>
          <w:rFonts w:ascii="宋体" w:hAnsi="宋体" w:cs="宋体"/>
          <w:kern w:val="0"/>
          <w:szCs w:val="21"/>
        </w:rPr>
        <w:t>5</w:t>
      </w:r>
      <w:r>
        <w:rPr>
          <w:rFonts w:hint="eastAsia" w:ascii="宋体" w:hAnsi="宋体" w:cs="宋体"/>
          <w:kern w:val="0"/>
          <w:szCs w:val="21"/>
        </w:rPr>
        <w:t>）供应商需要在具备有摄像头及语音功能且互联网网络状况良好的电脑登录“政采云”平台远程开标大厅参与本次开标，否则后果自负。</w:t>
      </w:r>
    </w:p>
    <w:p>
      <w:pPr>
        <w:spacing w:line="360" w:lineRule="auto"/>
        <w:ind w:firstLine="424" w:firstLineChars="202"/>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若对项目采购电子交易系统操作有疑问，可登录“政采云”平台（https://www.gcy.zfcg.gxzf.gov.cn/），点击右侧咨询小采，获取采小蜜智能服务管家帮助，或拨打政采云服务热线400-881-7190获取热线服务帮助。</w:t>
      </w:r>
      <w:bookmarkStart w:id="38" w:name="_Hlk37429674"/>
    </w:p>
    <w:bookmarkEnd w:id="38"/>
    <w:p>
      <w:pPr>
        <w:spacing w:line="360" w:lineRule="auto"/>
        <w:rPr>
          <w:rFonts w:ascii="黑体" w:hAnsi="黑体" w:eastAsia="黑体"/>
          <w:b/>
          <w:bCs/>
          <w:sz w:val="24"/>
        </w:rPr>
      </w:pPr>
      <w:bookmarkStart w:id="39" w:name="_Toc28359085"/>
      <w:bookmarkStart w:id="40" w:name="_Toc28359008"/>
      <w:bookmarkStart w:id="41" w:name="_Toc35393796"/>
      <w:bookmarkStart w:id="42" w:name="_Toc35393627"/>
      <w:r>
        <w:rPr>
          <w:rFonts w:hint="eastAsia" w:ascii="黑体" w:hAnsi="黑体" w:eastAsia="黑体"/>
          <w:b/>
          <w:bCs/>
          <w:sz w:val="24"/>
        </w:rPr>
        <w:t>七、对本次采购提出询问，请按</w:t>
      </w:r>
      <w:r>
        <w:rPr>
          <w:rFonts w:ascii="黑体" w:hAnsi="黑体" w:eastAsia="黑体"/>
          <w:b/>
          <w:bCs/>
          <w:sz w:val="24"/>
        </w:rPr>
        <w:t>以下方式</w:t>
      </w:r>
      <w:r>
        <w:rPr>
          <w:rFonts w:hint="eastAsia" w:ascii="黑体" w:hAnsi="黑体" w:eastAsia="黑体"/>
          <w:b/>
          <w:bCs/>
          <w:sz w:val="24"/>
        </w:rPr>
        <w:t>联系</w:t>
      </w:r>
      <w:bookmarkEnd w:id="39"/>
      <w:bookmarkEnd w:id="40"/>
      <w:bookmarkEnd w:id="41"/>
      <w:bookmarkEnd w:id="42"/>
    </w:p>
    <w:p>
      <w:pPr>
        <w:spacing w:line="360" w:lineRule="auto"/>
        <w:ind w:firstLine="424" w:firstLineChars="202"/>
        <w:jc w:val="left"/>
        <w:rPr>
          <w:rFonts w:ascii="宋体" w:hAnsi="宋体"/>
          <w:szCs w:val="21"/>
        </w:rPr>
      </w:pPr>
      <w:r>
        <w:rPr>
          <w:rFonts w:hint="eastAsia" w:ascii="宋体" w:hAnsi="宋体" w:cs="宋体"/>
          <w:szCs w:val="21"/>
        </w:rPr>
        <w:t>1.采购人信息</w:t>
      </w:r>
    </w:p>
    <w:p>
      <w:pPr>
        <w:spacing w:line="360" w:lineRule="auto"/>
        <w:ind w:firstLine="424" w:firstLineChars="202"/>
        <w:jc w:val="left"/>
        <w:rPr>
          <w:rFonts w:ascii="宋体" w:hAnsi="宋体"/>
          <w:szCs w:val="21"/>
        </w:rPr>
      </w:pPr>
      <w:r>
        <w:rPr>
          <w:rFonts w:hint="eastAsia" w:ascii="宋体" w:hAnsi="宋体"/>
          <w:szCs w:val="21"/>
        </w:rPr>
        <w:t>名</w:t>
      </w:r>
      <w:r>
        <w:rPr>
          <w:rFonts w:ascii="宋体" w:hAnsi="宋体"/>
          <w:szCs w:val="21"/>
        </w:rPr>
        <w:t xml:space="preserve">    </w:t>
      </w:r>
      <w:r>
        <w:rPr>
          <w:rFonts w:hint="eastAsia" w:ascii="宋体" w:hAnsi="宋体"/>
          <w:szCs w:val="21"/>
        </w:rPr>
        <w:t>称：</w:t>
      </w:r>
      <w:r>
        <w:rPr>
          <w:rFonts w:ascii="宋体" w:hAnsi="宋体"/>
          <w:szCs w:val="21"/>
          <w:u w:val="single"/>
        </w:rPr>
        <w:t>广西壮族自治区环境信息中心</w:t>
      </w:r>
    </w:p>
    <w:p>
      <w:pPr>
        <w:spacing w:line="360" w:lineRule="auto"/>
        <w:ind w:firstLine="424" w:firstLineChars="202"/>
        <w:jc w:val="left"/>
        <w:rPr>
          <w:rFonts w:ascii="宋体" w:hAnsi="宋体"/>
          <w:szCs w:val="21"/>
        </w:rPr>
      </w:pPr>
      <w:r>
        <w:rPr>
          <w:rFonts w:hint="eastAsia" w:ascii="宋体" w:hAnsi="宋体"/>
          <w:szCs w:val="21"/>
        </w:rPr>
        <w:t>地</w:t>
      </w:r>
      <w:r>
        <w:rPr>
          <w:rFonts w:ascii="宋体" w:hAnsi="宋体"/>
          <w:szCs w:val="21"/>
        </w:rPr>
        <w:t xml:space="preserve">    </w:t>
      </w:r>
      <w:r>
        <w:rPr>
          <w:rFonts w:hint="eastAsia" w:ascii="宋体" w:hAnsi="宋体"/>
          <w:szCs w:val="21"/>
        </w:rPr>
        <w:t>址：</w:t>
      </w:r>
      <w:r>
        <w:rPr>
          <w:rFonts w:hint="eastAsia" w:ascii="宋体" w:hAnsi="宋体"/>
          <w:szCs w:val="21"/>
          <w:u w:val="single"/>
        </w:rPr>
        <w:t>南宁市佛子岭路16号</w:t>
      </w:r>
    </w:p>
    <w:p>
      <w:pPr>
        <w:spacing w:line="360" w:lineRule="auto"/>
        <w:ind w:firstLine="420" w:firstLineChars="200"/>
        <w:jc w:val="left"/>
        <w:rPr>
          <w:rFonts w:ascii="宋体" w:hAnsi="宋体"/>
          <w:szCs w:val="21"/>
        </w:rPr>
      </w:pPr>
      <w:r>
        <w:rPr>
          <w:rFonts w:hint="eastAsia" w:ascii="宋体" w:hAnsi="宋体"/>
          <w:szCs w:val="21"/>
        </w:rPr>
        <w:t>项目联系人：</w:t>
      </w:r>
      <w:r>
        <w:rPr>
          <w:rFonts w:hint="eastAsia" w:ascii="宋体" w:hAnsi="宋体"/>
          <w:szCs w:val="21"/>
          <w:u w:val="single"/>
        </w:rPr>
        <w:t xml:space="preserve">龙工 </w:t>
      </w:r>
    </w:p>
    <w:p>
      <w:pPr>
        <w:spacing w:line="360" w:lineRule="auto"/>
        <w:ind w:firstLine="424" w:firstLineChars="202"/>
        <w:jc w:val="left"/>
        <w:rPr>
          <w:rFonts w:ascii="宋体" w:hAnsi="宋体"/>
          <w:szCs w:val="21"/>
          <w:u w:val="single"/>
        </w:rPr>
      </w:pPr>
      <w:r>
        <w:rPr>
          <w:rFonts w:hint="eastAsia" w:ascii="宋体" w:hAnsi="宋体"/>
          <w:szCs w:val="21"/>
        </w:rPr>
        <w:t>项目联系方式：</w:t>
      </w:r>
      <w:bookmarkStart w:id="43" w:name="_Toc28359009"/>
      <w:bookmarkStart w:id="44" w:name="_Toc28359086"/>
      <w:r>
        <w:rPr>
          <w:rFonts w:hint="eastAsia" w:ascii="宋体" w:hAnsi="宋体"/>
          <w:szCs w:val="21"/>
          <w:u w:val="single"/>
        </w:rPr>
        <w:t xml:space="preserve"> </w:t>
      </w:r>
      <w:r>
        <w:rPr>
          <w:rFonts w:ascii="宋体" w:hAnsi="宋体"/>
          <w:szCs w:val="21"/>
          <w:u w:val="single"/>
        </w:rPr>
        <w:t>0771-5773606</w:t>
      </w:r>
      <w:r>
        <w:rPr>
          <w:rFonts w:hint="eastAsia" w:ascii="宋体" w:hAnsi="宋体"/>
          <w:szCs w:val="21"/>
          <w:u w:val="single"/>
        </w:rPr>
        <w:t xml:space="preserve"> </w:t>
      </w:r>
    </w:p>
    <w:p>
      <w:pPr>
        <w:spacing w:line="360" w:lineRule="auto"/>
        <w:ind w:firstLine="424" w:firstLineChars="202"/>
        <w:jc w:val="left"/>
        <w:rPr>
          <w:rFonts w:ascii="宋体" w:hAnsi="宋体"/>
          <w:szCs w:val="21"/>
        </w:rPr>
      </w:pPr>
      <w:r>
        <w:rPr>
          <w:rFonts w:hint="eastAsia" w:ascii="宋体" w:hAnsi="宋体" w:cs="宋体"/>
          <w:szCs w:val="21"/>
        </w:rPr>
        <w:t>2.采购代理机构信息</w:t>
      </w:r>
      <w:bookmarkEnd w:id="43"/>
      <w:bookmarkEnd w:id="44"/>
    </w:p>
    <w:p>
      <w:pPr>
        <w:spacing w:line="360" w:lineRule="auto"/>
        <w:ind w:firstLine="424" w:firstLineChars="202"/>
        <w:rPr>
          <w:rFonts w:ascii="宋体" w:hAnsi="宋体"/>
          <w:szCs w:val="21"/>
        </w:rPr>
      </w:pPr>
      <w:r>
        <w:rPr>
          <w:rFonts w:hint="eastAsia" w:ascii="宋体" w:hAnsi="宋体"/>
          <w:szCs w:val="21"/>
        </w:rPr>
        <w:t>名</w:t>
      </w:r>
      <w:r>
        <w:rPr>
          <w:rFonts w:ascii="宋体" w:hAnsi="宋体"/>
          <w:szCs w:val="21"/>
        </w:rPr>
        <w:t xml:space="preserve">    </w:t>
      </w:r>
      <w:r>
        <w:rPr>
          <w:rFonts w:hint="eastAsia" w:ascii="宋体" w:hAnsi="宋体"/>
          <w:szCs w:val="21"/>
        </w:rPr>
        <w:t>称：</w:t>
      </w:r>
      <w:r>
        <w:rPr>
          <w:rFonts w:hint="eastAsia" w:ascii="宋体" w:hAnsi="宋体"/>
          <w:szCs w:val="21"/>
          <w:u w:val="single"/>
        </w:rPr>
        <w:t>中化商务有限公司</w:t>
      </w:r>
    </w:p>
    <w:p>
      <w:pPr>
        <w:spacing w:line="360" w:lineRule="auto"/>
        <w:ind w:firstLine="424" w:firstLineChars="202"/>
        <w:rPr>
          <w:rFonts w:ascii="宋体" w:hAnsi="宋体"/>
          <w:szCs w:val="21"/>
        </w:rPr>
      </w:pPr>
      <w:r>
        <w:rPr>
          <w:rFonts w:hint="eastAsia" w:ascii="宋体" w:hAnsi="宋体"/>
          <w:szCs w:val="21"/>
        </w:rPr>
        <w:t>地</w:t>
      </w:r>
      <w:r>
        <w:rPr>
          <w:rFonts w:ascii="宋体" w:hAnsi="宋体"/>
          <w:szCs w:val="21"/>
        </w:rPr>
        <w:t xml:space="preserve">    </w:t>
      </w:r>
      <w:r>
        <w:rPr>
          <w:rFonts w:hint="eastAsia" w:ascii="宋体" w:hAnsi="宋体"/>
          <w:szCs w:val="21"/>
        </w:rPr>
        <w:t>址：</w:t>
      </w:r>
      <w:r>
        <w:rPr>
          <w:rFonts w:hint="eastAsia" w:ascii="宋体" w:hAnsi="宋体"/>
          <w:szCs w:val="21"/>
          <w:u w:val="single"/>
        </w:rPr>
        <w:t>南宁市良庆区五象大道西段665号南宁环球金融中心T2栋12层1211-1212室</w:t>
      </w:r>
    </w:p>
    <w:p>
      <w:pPr>
        <w:spacing w:line="360" w:lineRule="auto"/>
        <w:ind w:firstLine="420" w:firstLineChars="200"/>
        <w:jc w:val="left"/>
        <w:rPr>
          <w:rFonts w:ascii="宋体" w:hAnsi="宋体"/>
          <w:szCs w:val="21"/>
        </w:rPr>
      </w:pPr>
      <w:r>
        <w:rPr>
          <w:rFonts w:hint="eastAsia" w:ascii="宋体" w:hAnsi="宋体"/>
          <w:szCs w:val="21"/>
        </w:rPr>
        <w:t>项目联系人：</w:t>
      </w:r>
      <w:r>
        <w:rPr>
          <w:rFonts w:hint="eastAsia" w:ascii="宋体" w:hAnsi="宋体"/>
          <w:szCs w:val="21"/>
          <w:u w:val="single"/>
        </w:rPr>
        <w:t>苏炯旭</w:t>
      </w:r>
    </w:p>
    <w:p>
      <w:pPr>
        <w:spacing w:line="360" w:lineRule="auto"/>
        <w:ind w:firstLine="424" w:firstLineChars="202"/>
        <w:rPr>
          <w:rFonts w:ascii="宋体" w:hAnsi="宋体"/>
          <w:szCs w:val="21"/>
        </w:rPr>
      </w:pPr>
      <w:r>
        <w:rPr>
          <w:rFonts w:hint="eastAsia" w:ascii="宋体" w:hAnsi="宋体"/>
          <w:szCs w:val="21"/>
        </w:rPr>
        <w:t>项目联系方式：</w:t>
      </w:r>
      <w:bookmarkStart w:id="45" w:name="_Toc28359010"/>
      <w:bookmarkStart w:id="46" w:name="_Toc28359087"/>
      <w:r>
        <w:rPr>
          <w:rFonts w:hint="eastAsia" w:ascii="宋体" w:hAnsi="宋体"/>
          <w:szCs w:val="21"/>
          <w:u w:val="single"/>
        </w:rPr>
        <w:t>18507816266</w:t>
      </w:r>
    </w:p>
    <w:bookmarkEnd w:id="45"/>
    <w:bookmarkEnd w:id="46"/>
    <w:p>
      <w:pPr>
        <w:pStyle w:val="16"/>
        <w:spacing w:line="360" w:lineRule="auto"/>
        <w:rPr>
          <w:rFonts w:ascii="宋体" w:hAnsi="宋体"/>
          <w:szCs w:val="21"/>
        </w:rPr>
      </w:pPr>
    </w:p>
    <w:p>
      <w:pPr>
        <w:pStyle w:val="16"/>
        <w:spacing w:line="360" w:lineRule="auto"/>
        <w:rPr>
          <w:rFonts w:ascii="宋体" w:hAnsi="宋体"/>
          <w:szCs w:val="21"/>
        </w:rPr>
      </w:pPr>
    </w:p>
    <w:p>
      <w:pPr>
        <w:pStyle w:val="3"/>
        <w:keepNext w:val="0"/>
        <w:keepLines w:val="0"/>
        <w:spacing w:before="0" w:after="0" w:line="360" w:lineRule="auto"/>
        <w:jc w:val="center"/>
        <w:rPr>
          <w:rFonts w:ascii="黑体" w:hAnsi="黑体"/>
        </w:rPr>
      </w:pPr>
      <w:r>
        <w:rPr>
          <w:rFonts w:ascii="仿宋_GB2312" w:hAnsi="宋体" w:eastAsia="仿宋_GB2312"/>
          <w:sz w:val="24"/>
          <w:szCs w:val="20"/>
        </w:rPr>
        <w:br w:type="page"/>
      </w:r>
      <w:bookmarkStart w:id="47" w:name="_Toc19686830"/>
      <w:r>
        <w:rPr>
          <w:rFonts w:hint="eastAsia"/>
        </w:rPr>
        <w:t>第二章  采购需求</w:t>
      </w:r>
      <w:bookmarkEnd w:id="47"/>
    </w:p>
    <w:p>
      <w:pPr>
        <w:spacing w:line="360" w:lineRule="auto"/>
        <w:jc w:val="left"/>
        <w:rPr>
          <w:rFonts w:ascii="宋体" w:hAnsi="宋体" w:cs="宋体"/>
          <w:szCs w:val="21"/>
        </w:rPr>
      </w:pPr>
    </w:p>
    <w:p>
      <w:pPr>
        <w:spacing w:line="360" w:lineRule="auto"/>
        <w:jc w:val="left"/>
        <w:rPr>
          <w:rFonts w:ascii="宋体" w:hAnsi="宋体" w:cs="宋体"/>
          <w:szCs w:val="21"/>
        </w:rPr>
      </w:pPr>
      <w:r>
        <w:rPr>
          <w:rFonts w:hint="eastAsia" w:ascii="宋体" w:hAnsi="宋体" w:cs="宋体"/>
          <w:szCs w:val="21"/>
        </w:rPr>
        <w:t>说明：</w:t>
      </w:r>
    </w:p>
    <w:p>
      <w:pPr>
        <w:spacing w:line="360" w:lineRule="auto"/>
        <w:ind w:firstLine="420" w:firstLineChars="200"/>
        <w:jc w:val="left"/>
      </w:pPr>
      <w:r>
        <w:rPr>
          <w:rFonts w:hint="eastAsia"/>
        </w:rPr>
        <w:t>1. 为落实政府采购政策需满足的要求（根据项目实际情况填写内容）</w:t>
      </w:r>
    </w:p>
    <w:p>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否则投标文件按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根据《关于信息安全产品实施政府采购的通知》（财库〔2010〕48号）的规定，投标人必须在投标文件中提供中国网络安全审查技术与认证中心（原中国信息安全认证中心）授予的有效的信息安全产品认证证书（加盖投标人公章），否则投标文件按无效处理。</w:t>
      </w:r>
    </w:p>
    <w:p>
      <w:pPr>
        <w:spacing w:line="360" w:lineRule="auto"/>
        <w:ind w:firstLine="424" w:firstLineChars="202"/>
        <w:jc w:val="left"/>
        <w:rPr>
          <w:rFonts w:ascii="宋体" w:hAnsi="宋体" w:cs="宋体"/>
          <w:szCs w:val="21"/>
        </w:rPr>
      </w:pPr>
      <w:r>
        <w:rPr>
          <w:rFonts w:hint="eastAsia" w:ascii="宋体" w:hAnsi="宋体" w:cs="宋体"/>
          <w:szCs w:val="21"/>
        </w:rPr>
        <w:t>2.“实质性要求”是指招标文件中已经指明不满足则投标无效的条款，或者不能负偏离的条款，或者采购需求中带“▲”的条款。</w:t>
      </w:r>
    </w:p>
    <w:p>
      <w:pPr>
        <w:spacing w:line="360" w:lineRule="auto"/>
        <w:ind w:firstLine="424" w:firstLineChars="202"/>
        <w:jc w:val="left"/>
        <w:rPr>
          <w:rFonts w:ascii="宋体" w:hAnsi="宋体" w:cs="宋体"/>
          <w:szCs w:val="21"/>
        </w:rPr>
      </w:pPr>
      <w:r>
        <w:rPr>
          <w:rFonts w:hint="eastAsia" w:ascii="宋体" w:hAnsi="宋体" w:cs="宋体"/>
          <w:szCs w:val="21"/>
        </w:rPr>
        <w:t>3.</w:t>
      </w:r>
      <w:bookmarkStart w:id="48" w:name="_Hlk54774389"/>
      <w:r>
        <w:rPr>
          <w:rFonts w:hint="eastAsia" w:ascii="宋体" w:hAnsi="宋体" w:cs="宋体"/>
          <w:szCs w:val="21"/>
        </w:rPr>
        <w:t>服务项目中伴随货物的，</w:t>
      </w:r>
      <w:bookmarkEnd w:id="48"/>
      <w:r>
        <w:rPr>
          <w:rFonts w:hint="eastAsia" w:ascii="宋体" w:hAnsi="宋体" w:cs="宋体"/>
          <w:szCs w:val="21"/>
        </w:rPr>
        <w:t>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pPr>
        <w:spacing w:line="360" w:lineRule="auto"/>
        <w:ind w:firstLine="424" w:firstLineChars="202"/>
        <w:jc w:val="left"/>
      </w:pPr>
      <w:r>
        <w:rPr>
          <w:rFonts w:ascii="宋体" w:hAnsi="宋体" w:cs="宋体"/>
          <w:szCs w:val="21"/>
        </w:rPr>
        <w:t>4.</w:t>
      </w:r>
      <w:r>
        <w:rPr>
          <w:rFonts w:hint="eastAsia"/>
        </w:rPr>
        <w:t>投标人</w:t>
      </w:r>
      <w:r>
        <w:t>必须自行为其</w:t>
      </w:r>
      <w:r>
        <w:rPr>
          <w:rFonts w:hint="eastAsia"/>
        </w:rPr>
        <w:t>投标</w:t>
      </w:r>
      <w:r>
        <w:t>产品侵犯</w:t>
      </w:r>
      <w:r>
        <w:rPr>
          <w:rFonts w:hint="eastAsia"/>
        </w:rPr>
        <w:t>他人的知识产权或者专利成果的行为</w:t>
      </w:r>
      <w:r>
        <w:t>承担相应法律责任</w:t>
      </w:r>
      <w:r>
        <w:rPr>
          <w:rFonts w:hint="eastAsia"/>
        </w:rPr>
        <w:t>。</w:t>
      </w:r>
    </w:p>
    <w:p>
      <w:pPr>
        <w:spacing w:line="360" w:lineRule="auto"/>
        <w:ind w:firstLine="424" w:firstLineChars="202"/>
        <w:jc w:val="left"/>
        <w:rPr>
          <w:rFonts w:ascii="宋体" w:hAnsi="宋体" w:cs="宋体"/>
          <w:szCs w:val="21"/>
        </w:rPr>
      </w:pPr>
      <w:bookmarkStart w:id="49" w:name="_Hlk128646459"/>
      <w:r>
        <w:rPr>
          <w:rFonts w:hint="eastAsia" w:ascii="宋体" w:hAnsi="宋体" w:cs="宋体"/>
          <w:szCs w:val="21"/>
        </w:rPr>
        <w:t>5.本项</w:t>
      </w:r>
      <w:r>
        <w:rPr>
          <w:rFonts w:hint="eastAsia"/>
        </w:rPr>
        <w:t>目标</w:t>
      </w:r>
      <w:r>
        <w:rPr>
          <w:rFonts w:hint="eastAsia" w:ascii="宋体" w:hAnsi="宋体" w:cs="宋体"/>
          <w:szCs w:val="21"/>
        </w:rPr>
        <w:t>的所属行业为：</w:t>
      </w:r>
      <w:r>
        <w:rPr>
          <w:rFonts w:hint="eastAsia" w:ascii="宋体" w:hAnsi="宋体" w:cs="宋体"/>
          <w:bCs/>
          <w:szCs w:val="22"/>
        </w:rPr>
        <w:t>其他未列明行业</w:t>
      </w:r>
      <w:r>
        <w:rPr>
          <w:rFonts w:hint="eastAsia" w:ascii="宋体" w:hAnsi="宋体" w:cs="宋体"/>
          <w:szCs w:val="21"/>
        </w:rPr>
        <w:t>。</w:t>
      </w:r>
    </w:p>
    <w:p>
      <w:pPr>
        <w:snapToGrid w:val="0"/>
        <w:spacing w:line="360" w:lineRule="auto"/>
        <w:jc w:val="center"/>
        <w:rPr>
          <w:rFonts w:ascii="宋体" w:hAnsi="宋体" w:cs="方正小标宋_GBK"/>
          <w:b/>
          <w:bCs/>
          <w:color w:val="000000"/>
          <w:sz w:val="32"/>
          <w:szCs w:val="32"/>
        </w:rPr>
      </w:pPr>
      <w:r>
        <w:rPr>
          <w:rFonts w:ascii="宋体" w:hAnsi="宋体" w:cs="宋体"/>
          <w:szCs w:val="21"/>
        </w:rPr>
        <w:br w:type="page"/>
      </w:r>
      <w:bookmarkEnd w:id="49"/>
      <w:r>
        <w:rPr>
          <w:rFonts w:hint="eastAsia" w:ascii="宋体" w:hAnsi="宋体" w:cs="宋体"/>
          <w:sz w:val="32"/>
          <w:szCs w:val="32"/>
        </w:rPr>
        <w:t>一、</w:t>
      </w:r>
      <w:r>
        <w:rPr>
          <w:rFonts w:hint="eastAsia" w:ascii="宋体" w:hAnsi="宋体" w:cs="方正小标宋_GBK"/>
          <w:b/>
          <w:color w:val="000000"/>
          <w:sz w:val="32"/>
          <w:szCs w:val="32"/>
        </w:rPr>
        <w:t>技术要求</w:t>
      </w:r>
    </w:p>
    <w:p>
      <w:pPr>
        <w:widowControl/>
        <w:adjustRightInd w:val="0"/>
        <w:snapToGrid w:val="0"/>
        <w:spacing w:line="360" w:lineRule="auto"/>
        <w:jc w:val="center"/>
        <w:rPr>
          <w:rFonts w:ascii="宋体" w:hAnsi="宋体"/>
          <w:b/>
          <w:color w:val="000000"/>
          <w:szCs w:val="21"/>
        </w:rPr>
      </w:pPr>
    </w:p>
    <w:p>
      <w:pPr>
        <w:snapToGrid w:val="0"/>
        <w:spacing w:line="360" w:lineRule="auto"/>
        <w:ind w:firstLine="420" w:firstLineChars="200"/>
        <w:rPr>
          <w:rFonts w:ascii="宋体" w:hAnsi="宋体"/>
          <w:szCs w:val="21"/>
        </w:rPr>
      </w:pPr>
      <w:r>
        <w:rPr>
          <w:rFonts w:hint="eastAsia" w:ascii="宋体" w:hAnsi="宋体"/>
          <w:szCs w:val="21"/>
        </w:rPr>
        <w:t>一、</w:t>
      </w:r>
      <w:r>
        <w:rPr>
          <w:rFonts w:ascii="宋体" w:hAnsi="宋体"/>
          <w:szCs w:val="21"/>
        </w:rPr>
        <w:t>项目</w:t>
      </w:r>
      <w:r>
        <w:rPr>
          <w:rFonts w:hint="eastAsia" w:ascii="宋体" w:hAnsi="宋体"/>
          <w:szCs w:val="21"/>
        </w:rPr>
        <w:t>情况简介</w:t>
      </w:r>
    </w:p>
    <w:p>
      <w:pPr>
        <w:snapToGrid w:val="0"/>
        <w:spacing w:line="360" w:lineRule="auto"/>
        <w:ind w:firstLine="420" w:firstLineChars="200"/>
        <w:rPr>
          <w:rFonts w:ascii="宋体" w:hAnsi="宋体"/>
          <w:szCs w:val="21"/>
        </w:rPr>
        <w:sectPr>
          <w:headerReference r:id="rId5" w:type="first"/>
          <w:footerReference r:id="rId8" w:type="first"/>
          <w:headerReference r:id="rId3" w:type="default"/>
          <w:footerReference r:id="rId6" w:type="default"/>
          <w:headerReference r:id="rId4" w:type="even"/>
          <w:footerReference r:id="rId7" w:type="even"/>
          <w:pgSz w:w="11906" w:h="16838"/>
          <w:pgMar w:top="1440" w:right="1361" w:bottom="1701" w:left="1474" w:header="851" w:footer="992" w:gutter="0"/>
          <w:cols w:space="720" w:num="1"/>
          <w:docGrid w:type="lines" w:linePitch="312" w:charSpace="0"/>
        </w:sectPr>
      </w:pPr>
      <w:r>
        <w:rPr>
          <w:rFonts w:ascii="宋体" w:hAnsi="宋体"/>
          <w:szCs w:val="21"/>
        </w:rPr>
        <w:t>自治区环境信息中心作为自治区生态环境厅信息化支撑部门，承担着数据中心和大部分业务系统的运维保障工作。信息系统的正常运行需要7*24小时不间断的监控、巡检，而且需要运维人员具有保障系统安全运行、日常维护等基础知识和运维能力。为保障广西生态环境信息资源中心数据来源稳定，更好地支持厅内各业务正常开展，需采购专业的运维服务提供系统运行维护的技术支持工作，通过专业的运维服务从系统运维的事故预防、日常检查、沟通协调等方面提供保障和支持，辅助信息中心对信息系统进行精细化运维，提高运维主动性和效率。</w:t>
      </w:r>
    </w:p>
    <w:p>
      <w:pPr>
        <w:snapToGrid w:val="0"/>
        <w:spacing w:line="360" w:lineRule="auto"/>
        <w:ind w:firstLine="420" w:firstLineChars="200"/>
        <w:rPr>
          <w:rFonts w:ascii="宋体" w:hAnsi="宋体"/>
          <w:color w:val="000000"/>
          <w:szCs w:val="21"/>
        </w:rPr>
      </w:pPr>
      <w:bookmarkStart w:id="50" w:name="_Toc9684"/>
      <w:bookmarkStart w:id="51" w:name="_Toc21060"/>
      <w:bookmarkStart w:id="52" w:name="_Toc16078"/>
      <w:bookmarkStart w:id="53" w:name="_Toc9430"/>
      <w:bookmarkStart w:id="54" w:name="_Toc27994"/>
      <w:bookmarkStart w:id="55" w:name="_Toc31681"/>
      <w:bookmarkStart w:id="56" w:name="_Toc16285"/>
      <w:bookmarkStart w:id="57" w:name="_Toc3137"/>
      <w:bookmarkStart w:id="58" w:name="_Toc46150914"/>
      <w:bookmarkStart w:id="59" w:name="_Toc5141"/>
      <w:bookmarkStart w:id="60" w:name="_Toc17092"/>
      <w:bookmarkStart w:id="61" w:name="_Toc22241"/>
      <w:bookmarkStart w:id="62" w:name="_Toc5777"/>
      <w:r>
        <w:rPr>
          <w:rFonts w:hint="eastAsia" w:ascii="宋体" w:hAnsi="宋体"/>
          <w:color w:val="000000"/>
          <w:szCs w:val="21"/>
        </w:rPr>
        <w:t>二</w:t>
      </w:r>
      <w:r>
        <w:rPr>
          <w:rFonts w:ascii="宋体" w:hAnsi="宋体"/>
          <w:color w:val="000000"/>
          <w:szCs w:val="21"/>
        </w:rPr>
        <w:t>、</w:t>
      </w:r>
      <w:bookmarkEnd w:id="50"/>
      <w:bookmarkEnd w:id="51"/>
      <w:bookmarkEnd w:id="52"/>
      <w:bookmarkEnd w:id="53"/>
      <w:bookmarkEnd w:id="54"/>
      <w:bookmarkEnd w:id="55"/>
      <w:bookmarkEnd w:id="56"/>
      <w:bookmarkEnd w:id="57"/>
      <w:bookmarkEnd w:id="58"/>
      <w:bookmarkEnd w:id="59"/>
      <w:bookmarkEnd w:id="60"/>
      <w:bookmarkEnd w:id="61"/>
      <w:bookmarkEnd w:id="62"/>
      <w:r>
        <w:rPr>
          <w:rFonts w:ascii="宋体" w:hAnsi="宋体"/>
          <w:color w:val="000000"/>
          <w:szCs w:val="21"/>
        </w:rPr>
        <w:t>运维服务清单及运维期</w:t>
      </w:r>
      <w:r>
        <w:rPr>
          <w:rFonts w:hint="eastAsia" w:ascii="宋体" w:hAnsi="宋体"/>
          <w:color w:val="000000"/>
          <w:szCs w:val="21"/>
        </w:rPr>
        <w:t>表</w:t>
      </w:r>
    </w:p>
    <w:tbl>
      <w:tblPr>
        <w:tblStyle w:val="48"/>
        <w:tblpPr w:leftFromText="180" w:rightFromText="180" w:vertAnchor="text" w:horzAnchor="page" w:tblpX="1431" w:tblpY="377"/>
        <w:tblOverlap w:val="never"/>
        <w:tblW w:w="14174" w:type="dxa"/>
        <w:tblInd w:w="0" w:type="dxa"/>
        <w:tblLayout w:type="fixed"/>
        <w:tblCellMar>
          <w:top w:w="0" w:type="dxa"/>
          <w:left w:w="108" w:type="dxa"/>
          <w:bottom w:w="0" w:type="dxa"/>
          <w:right w:w="108" w:type="dxa"/>
        </w:tblCellMar>
      </w:tblPr>
      <w:tblGrid>
        <w:gridCol w:w="872"/>
        <w:gridCol w:w="1288"/>
        <w:gridCol w:w="3477"/>
        <w:gridCol w:w="2908"/>
        <w:gridCol w:w="5629"/>
      </w:tblGrid>
      <w:tr>
        <w:tblPrEx>
          <w:tblCellMar>
            <w:top w:w="0" w:type="dxa"/>
            <w:left w:w="108" w:type="dxa"/>
            <w:bottom w:w="0" w:type="dxa"/>
            <w:right w:w="108" w:type="dxa"/>
          </w:tblCellMar>
        </w:tblPrEx>
        <w:trPr>
          <w:trHeight w:val="23" w:hRule="atLeast"/>
          <w:tblHeader/>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b/>
                <w:bCs/>
                <w:color w:val="000000"/>
                <w:szCs w:val="21"/>
              </w:rPr>
            </w:pPr>
            <w:r>
              <w:rPr>
                <w:rFonts w:ascii="宋体" w:hAnsi="宋体"/>
                <w:b/>
                <w:bCs/>
                <w:color w:val="000000"/>
                <w:kern w:val="0"/>
                <w:szCs w:val="21"/>
                <w:lang w:bidi="ar"/>
              </w:rPr>
              <w:t>序号</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b/>
                <w:bCs/>
                <w:color w:val="000000"/>
                <w:szCs w:val="21"/>
              </w:rPr>
            </w:pPr>
            <w:r>
              <w:rPr>
                <w:rFonts w:ascii="宋体" w:hAnsi="宋体"/>
                <w:b/>
                <w:bCs/>
                <w:color w:val="000000"/>
                <w:kern w:val="0"/>
                <w:szCs w:val="21"/>
                <w:lang w:bidi="ar"/>
              </w:rPr>
              <w:t>用户单位</w:t>
            </w: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b/>
                <w:bCs/>
                <w:color w:val="000000"/>
                <w:szCs w:val="21"/>
              </w:rPr>
            </w:pPr>
            <w:r>
              <w:rPr>
                <w:rFonts w:ascii="宋体" w:hAnsi="宋体"/>
                <w:b/>
                <w:bCs/>
                <w:color w:val="000000"/>
                <w:kern w:val="0"/>
                <w:szCs w:val="21"/>
                <w:lang w:bidi="ar"/>
              </w:rPr>
              <w:t>信息系统名称</w:t>
            </w:r>
          </w:p>
        </w:tc>
        <w:tc>
          <w:tcPr>
            <w:tcW w:w="290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b/>
                <w:bCs/>
                <w:color w:val="000000"/>
                <w:szCs w:val="21"/>
              </w:rPr>
            </w:pPr>
            <w:r>
              <w:rPr>
                <w:rFonts w:ascii="宋体" w:hAnsi="宋体"/>
                <w:b/>
                <w:bCs/>
                <w:color w:val="000000"/>
                <w:kern w:val="0"/>
                <w:szCs w:val="21"/>
                <w:lang w:bidi="ar"/>
              </w:rPr>
              <w:t>子系统名称</w:t>
            </w:r>
          </w:p>
        </w:tc>
        <w:tc>
          <w:tcPr>
            <w:tcW w:w="5629" w:type="dxa"/>
            <w:tcBorders>
              <w:top w:val="single" w:color="000000" w:sz="4" w:space="0"/>
              <w:left w:val="single" w:color="000000" w:sz="4" w:space="0"/>
              <w:bottom w:val="single" w:color="auto" w:sz="4" w:space="0"/>
              <w:right w:val="single" w:color="000000" w:sz="4" w:space="0"/>
            </w:tcBorders>
            <w:noWrap/>
            <w:vAlign w:val="center"/>
          </w:tcPr>
          <w:p>
            <w:pPr>
              <w:widowControl/>
              <w:snapToGrid w:val="0"/>
              <w:spacing w:line="360" w:lineRule="auto"/>
              <w:jc w:val="center"/>
              <w:textAlignment w:val="center"/>
              <w:rPr>
                <w:rFonts w:ascii="宋体" w:hAnsi="宋体"/>
                <w:b/>
                <w:bCs/>
                <w:color w:val="000000"/>
                <w:kern w:val="0"/>
                <w:szCs w:val="21"/>
                <w:lang w:bidi="ar"/>
              </w:rPr>
            </w:pPr>
            <w:r>
              <w:rPr>
                <w:rFonts w:ascii="宋体" w:hAnsi="宋体"/>
                <w:b/>
                <w:bCs/>
                <w:color w:val="000000"/>
                <w:kern w:val="0"/>
                <w:szCs w:val="21"/>
                <w:lang w:bidi="ar"/>
              </w:rPr>
              <w:t>运维期</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督察办</w:t>
            </w: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生态环境保护督察整改信息管理平台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lang w:val="en"/>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科财处</w:t>
            </w: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广西帮企减污综合服务平台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3</w:t>
            </w:r>
          </w:p>
        </w:tc>
        <w:tc>
          <w:tcPr>
            <w:tcW w:w="128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水处</w:t>
            </w: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广西饮用水水源保护区管理系统</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4</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广西水生态环境大数据管理平台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hint="eastAsia" w:ascii="宋体" w:hAnsi="宋体"/>
                <w:color w:val="000000"/>
                <w:szCs w:val="21"/>
              </w:rPr>
              <w:t>2024年12月</w:t>
            </w:r>
            <w:r>
              <w:rPr>
                <w:rFonts w:ascii="宋体" w:hAnsi="宋体"/>
                <w:color w:val="000000"/>
                <w:szCs w:val="21"/>
                <w:lang w:val="en"/>
              </w:rPr>
              <w:t>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5</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广西入河（湖）排污口数据管理系统</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6</w:t>
            </w:r>
          </w:p>
        </w:tc>
        <w:tc>
          <w:tcPr>
            <w:tcW w:w="128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大气处</w:t>
            </w:r>
          </w:p>
        </w:tc>
        <w:tc>
          <w:tcPr>
            <w:tcW w:w="347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广西机动车排放检验三级联网系统</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广西机动车排放检验三级联网系统</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7</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I/M业务综合数据管理平台</w:t>
            </w:r>
          </w:p>
        </w:tc>
        <w:tc>
          <w:tcPr>
            <w:tcW w:w="56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8</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广西机动车遥感监测平台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广西机动车遥感黑烟车监测执法监管平台</w:t>
            </w:r>
          </w:p>
        </w:tc>
        <w:tc>
          <w:tcPr>
            <w:tcW w:w="56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9</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广西机动车遥感监测平台</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10</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秸秆禁燃监控平台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hint="eastAsia" w:ascii="宋体" w:hAnsi="宋体"/>
                <w:color w:val="000000"/>
                <w:szCs w:val="21"/>
              </w:rPr>
              <w:t>2024年12月</w:t>
            </w:r>
            <w:r>
              <w:rPr>
                <w:rFonts w:ascii="宋体" w:hAnsi="宋体"/>
                <w:color w:val="000000"/>
                <w:szCs w:val="21"/>
                <w:lang w:val="en"/>
              </w:rPr>
              <w:t>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11</w:t>
            </w:r>
          </w:p>
        </w:tc>
        <w:tc>
          <w:tcPr>
            <w:tcW w:w="1288"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核与辐射处</w:t>
            </w: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广西核应急指挥平台（含广西核应急指挥平台APP）</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hint="eastAsia" w:ascii="宋体" w:hAnsi="宋体"/>
                <w:color w:val="000000"/>
                <w:szCs w:val="21"/>
              </w:rPr>
              <w:t>2024年8月</w:t>
            </w:r>
            <w:r>
              <w:rPr>
                <w:rFonts w:ascii="宋体" w:hAnsi="宋体"/>
                <w:color w:val="000000"/>
                <w:szCs w:val="21"/>
                <w:lang w:val="en"/>
              </w:rPr>
              <w:t>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12</w:t>
            </w:r>
          </w:p>
        </w:tc>
        <w:tc>
          <w:tcPr>
            <w:tcW w:w="128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环评处</w:t>
            </w: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广西“三线一单”数据共享及应用平台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13</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广西环保审批信息系统</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14</w:t>
            </w:r>
          </w:p>
        </w:tc>
        <w:tc>
          <w:tcPr>
            <w:tcW w:w="128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hint="eastAsia" w:ascii="宋体" w:hAnsi="宋体"/>
                <w:color w:val="000000"/>
                <w:kern w:val="0"/>
                <w:szCs w:val="21"/>
                <w:lang w:bidi="ar"/>
              </w:rPr>
              <w:t>执法局</w:t>
            </w: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广西固定污染源自动监控平台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15</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广西环境监管移动执法系统（含广西环境监察移动执法系统手持终端APP）</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16</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广西环境监管移动执法系统信访管理模块</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17</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广西生态环保“一码通”程序</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18</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广西环境保护税涉税信息共享平台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19</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广西执法视频监控平台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20</w:t>
            </w:r>
          </w:p>
        </w:tc>
        <w:tc>
          <w:tcPr>
            <w:tcW w:w="1288"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信息中心</w:t>
            </w:r>
          </w:p>
        </w:tc>
        <w:tc>
          <w:tcPr>
            <w:tcW w:w="347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广西环境监管与预警信息系统</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政务信息报送系统</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21</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广西自然生态综合管理系统（含生态示范区创建模块）</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22</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广西生态环境厅公众号有奖问答系统、线上培训系统</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23</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企业污染源监测数据管理系统</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24</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广西环境监测服务社会化机构名录管理系统</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25</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自治区环境信息中心综合行政办公系统(含移动办公)</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26</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自治区纪委监委驻生态环境</w:t>
            </w:r>
            <w:r>
              <w:rPr>
                <w:rFonts w:hint="eastAsia" w:ascii="宋体" w:hAnsi="宋体"/>
                <w:color w:val="000000"/>
                <w:kern w:val="0"/>
                <w:szCs w:val="21"/>
                <w:lang w:eastAsia="zh-CN" w:bidi="ar"/>
              </w:rPr>
              <w:t>厅纪</w:t>
            </w:r>
            <w:r>
              <w:rPr>
                <w:rFonts w:ascii="宋体" w:hAnsi="宋体"/>
                <w:color w:val="000000"/>
                <w:kern w:val="0"/>
                <w:szCs w:val="21"/>
                <w:lang w:bidi="ar"/>
              </w:rPr>
              <w:t>检监察组行政办公系统(含移动办公)</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27</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信用信息双公示系统</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28</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广西土壤环境“互联网+监管”系统</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29</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广西固定污染源管理系统</w:t>
            </w: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textAlignment w:val="center"/>
              <w:rPr>
                <w:rFonts w:ascii="宋体" w:hAnsi="宋体"/>
                <w:color w:val="000000"/>
                <w:kern w:val="0"/>
                <w:szCs w:val="21"/>
                <w:lang w:bidi="ar"/>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30</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生态环境行业电子证照系统</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31</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信息中心项目管理信息模块</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32</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党政机关综合办公系统驻场运维</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r>
        <w:tblPrEx>
          <w:tblCellMar>
            <w:top w:w="0" w:type="dxa"/>
            <w:left w:w="108" w:type="dxa"/>
            <w:bottom w:w="0" w:type="dxa"/>
            <w:right w:w="108" w:type="dxa"/>
          </w:tblCellMar>
        </w:tblPrEx>
        <w:trPr>
          <w:trHeight w:val="23" w:hRule="atLeast"/>
        </w:trPr>
        <w:tc>
          <w:tcPr>
            <w:tcW w:w="872"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33</w:t>
            </w: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rPr>
                <w:rFonts w:ascii="宋体" w:hAnsi="宋体"/>
                <w:color w:val="000000"/>
                <w:szCs w:val="21"/>
              </w:rPr>
            </w:pPr>
          </w:p>
        </w:tc>
        <w:tc>
          <w:tcPr>
            <w:tcW w:w="3477" w:type="dxa"/>
            <w:tcBorders>
              <w:top w:val="single" w:color="000000" w:sz="4" w:space="0"/>
              <w:left w:val="single" w:color="000000" w:sz="4" w:space="0"/>
              <w:bottom w:val="single" w:color="000000" w:sz="4" w:space="0"/>
              <w:right w:val="single" w:color="000000" w:sz="4" w:space="0"/>
            </w:tcBorders>
            <w:noWrap/>
            <w:vAlign w:val="center"/>
          </w:tcPr>
          <w:p>
            <w:pPr>
              <w:widowControl/>
              <w:snapToGrid w:val="0"/>
              <w:spacing w:line="360" w:lineRule="auto"/>
              <w:jc w:val="center"/>
              <w:textAlignment w:val="center"/>
              <w:rPr>
                <w:rFonts w:ascii="宋体" w:hAnsi="宋体"/>
                <w:color w:val="000000"/>
                <w:szCs w:val="21"/>
              </w:rPr>
            </w:pPr>
            <w:r>
              <w:rPr>
                <w:rFonts w:ascii="宋体" w:hAnsi="宋体"/>
                <w:color w:val="000000"/>
                <w:kern w:val="0"/>
                <w:szCs w:val="21"/>
                <w:lang w:bidi="ar"/>
              </w:rPr>
              <w:t>自治区生态环境厅信息系统监控平台</w:t>
            </w:r>
          </w:p>
        </w:tc>
        <w:tc>
          <w:tcPr>
            <w:tcW w:w="2908" w:type="dxa"/>
            <w:tcBorders>
              <w:top w:val="single" w:color="000000" w:sz="4" w:space="0"/>
              <w:left w:val="single" w:color="000000" w:sz="4" w:space="0"/>
              <w:bottom w:val="single" w:color="000000" w:sz="4" w:space="0"/>
              <w:right w:val="single" w:color="auto" w:sz="4" w:space="0"/>
            </w:tcBorders>
            <w:noWrap/>
            <w:vAlign w:val="center"/>
          </w:tcPr>
          <w:p>
            <w:pPr>
              <w:widowControl/>
              <w:snapToGrid w:val="0"/>
              <w:spacing w:line="360" w:lineRule="auto"/>
              <w:jc w:val="center"/>
              <w:rPr>
                <w:rFonts w:ascii="宋体" w:hAnsi="宋体"/>
                <w:color w:val="000000"/>
                <w:szCs w:val="21"/>
              </w:rPr>
            </w:pPr>
          </w:p>
        </w:tc>
        <w:tc>
          <w:tcPr>
            <w:tcW w:w="5629"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宋体" w:hAnsi="宋体"/>
                <w:color w:val="000000"/>
                <w:szCs w:val="21"/>
              </w:rPr>
            </w:pPr>
            <w:r>
              <w:rPr>
                <w:rFonts w:ascii="宋体" w:hAnsi="宋体"/>
                <w:color w:val="000000"/>
                <w:szCs w:val="21"/>
                <w:lang w:val="en"/>
              </w:rPr>
              <w:t>合同签订之日起至2025年6月30日</w:t>
            </w:r>
          </w:p>
        </w:tc>
      </w:tr>
    </w:tbl>
    <w:p>
      <w:pPr>
        <w:snapToGrid w:val="0"/>
        <w:spacing w:line="360" w:lineRule="auto"/>
        <w:ind w:firstLine="422" w:firstLineChars="200"/>
        <w:jc w:val="center"/>
        <w:rPr>
          <w:rFonts w:ascii="宋体" w:hAnsi="宋体"/>
          <w:b/>
          <w:bCs/>
          <w:color w:val="000000"/>
          <w:szCs w:val="21"/>
        </w:rPr>
      </w:pPr>
      <w:r>
        <w:rPr>
          <w:rFonts w:ascii="宋体" w:hAnsi="宋体"/>
          <w:b/>
          <w:bCs/>
          <w:color w:val="000000"/>
          <w:szCs w:val="21"/>
        </w:rPr>
        <w:t xml:space="preserve"> </w:t>
      </w:r>
    </w:p>
    <w:p>
      <w:pPr>
        <w:widowControl/>
        <w:snapToGrid w:val="0"/>
        <w:spacing w:line="360" w:lineRule="auto"/>
        <w:textAlignment w:val="center"/>
        <w:rPr>
          <w:rFonts w:ascii="宋体" w:hAnsi="宋体"/>
          <w:color w:val="000000"/>
          <w:kern w:val="0"/>
          <w:szCs w:val="21"/>
          <w:lang w:bidi="ar"/>
        </w:rPr>
      </w:pPr>
      <w:bookmarkStart w:id="63" w:name="_Toc46150917"/>
      <w:bookmarkStart w:id="64" w:name="_Toc19586"/>
      <w:bookmarkStart w:id="65" w:name="_Toc16257"/>
      <w:bookmarkStart w:id="66" w:name="_Toc28125"/>
      <w:bookmarkStart w:id="67" w:name="_Toc22029"/>
      <w:bookmarkStart w:id="68" w:name="_Toc32331149"/>
      <w:bookmarkStart w:id="69" w:name="_Toc15329"/>
    </w:p>
    <w:p>
      <w:pPr>
        <w:snapToGrid w:val="0"/>
        <w:spacing w:line="360" w:lineRule="auto"/>
        <w:ind w:firstLine="420" w:firstLineChars="200"/>
        <w:rPr>
          <w:rFonts w:ascii="宋体" w:hAnsi="宋体"/>
          <w:color w:val="000000"/>
          <w:szCs w:val="21"/>
        </w:rPr>
        <w:sectPr>
          <w:pgSz w:w="16838" w:h="11906" w:orient="landscape"/>
          <w:pgMar w:top="1803" w:right="1440" w:bottom="1803" w:left="1440" w:header="851" w:footer="992" w:gutter="0"/>
          <w:cols w:space="720" w:num="1"/>
          <w:docGrid w:type="lines" w:linePitch="395" w:charSpace="0"/>
        </w:sectPr>
      </w:pPr>
    </w:p>
    <w:p>
      <w:pPr>
        <w:snapToGrid w:val="0"/>
        <w:spacing w:line="360" w:lineRule="auto"/>
        <w:ind w:firstLine="420" w:firstLineChars="200"/>
        <w:rPr>
          <w:rFonts w:ascii="宋体" w:hAnsi="宋体"/>
          <w:szCs w:val="21"/>
        </w:rPr>
      </w:pPr>
      <w:r>
        <w:rPr>
          <w:rFonts w:hint="eastAsia" w:ascii="宋体" w:hAnsi="宋体"/>
          <w:szCs w:val="21"/>
        </w:rPr>
        <w:t>三</w:t>
      </w:r>
      <w:r>
        <w:rPr>
          <w:rFonts w:ascii="宋体" w:hAnsi="宋体"/>
          <w:szCs w:val="21"/>
        </w:rPr>
        <w:t>、运维服务内容</w:t>
      </w:r>
    </w:p>
    <w:bookmarkEnd w:id="63"/>
    <w:bookmarkEnd w:id="64"/>
    <w:bookmarkEnd w:id="65"/>
    <w:bookmarkEnd w:id="66"/>
    <w:bookmarkEnd w:id="67"/>
    <w:bookmarkEnd w:id="68"/>
    <w:bookmarkEnd w:id="69"/>
    <w:p>
      <w:pPr>
        <w:snapToGrid w:val="0"/>
        <w:spacing w:line="360" w:lineRule="auto"/>
        <w:ind w:firstLine="420" w:firstLineChars="200"/>
        <w:rPr>
          <w:rFonts w:ascii="宋体" w:hAnsi="宋体"/>
          <w:szCs w:val="21"/>
        </w:rPr>
      </w:pPr>
      <w:bookmarkStart w:id="70" w:name="_Toc22149"/>
      <w:bookmarkStart w:id="71" w:name="_Toc8096"/>
      <w:bookmarkStart w:id="72" w:name="_Toc23043"/>
      <w:bookmarkStart w:id="73" w:name="_Toc20026"/>
      <w:bookmarkStart w:id="74" w:name="_Toc32128"/>
      <w:bookmarkStart w:id="75" w:name="_Toc31694"/>
      <w:bookmarkStart w:id="76" w:name="_Toc27857"/>
      <w:r>
        <w:rPr>
          <w:rFonts w:ascii="宋体" w:hAnsi="宋体"/>
          <w:szCs w:val="21"/>
        </w:rPr>
        <w:t>（一）基础运维人员要求</w:t>
      </w:r>
      <w:bookmarkEnd w:id="70"/>
      <w:bookmarkEnd w:id="71"/>
      <w:bookmarkEnd w:id="72"/>
      <w:bookmarkEnd w:id="73"/>
      <w:bookmarkEnd w:id="74"/>
      <w:bookmarkEnd w:id="75"/>
      <w:bookmarkEnd w:id="76"/>
    </w:p>
    <w:p>
      <w:pPr>
        <w:snapToGrid w:val="0"/>
        <w:spacing w:line="360" w:lineRule="auto"/>
        <w:ind w:firstLine="420" w:firstLineChars="200"/>
        <w:rPr>
          <w:rFonts w:ascii="宋体" w:hAnsi="宋体"/>
          <w:szCs w:val="21"/>
        </w:rPr>
      </w:pPr>
      <w:r>
        <w:rPr>
          <w:rFonts w:ascii="宋体" w:hAnsi="宋体"/>
          <w:szCs w:val="21"/>
        </w:rPr>
        <w:t>1.计算机相关专业</w:t>
      </w:r>
      <w:r>
        <w:rPr>
          <w:rFonts w:hint="eastAsia" w:ascii="宋体" w:hAnsi="宋体"/>
          <w:szCs w:val="21"/>
        </w:rPr>
        <w:t>，大专以上学历</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2.具备1年以上的信息化项目开发或</w:t>
      </w:r>
      <w:r>
        <w:rPr>
          <w:rFonts w:hint="eastAsia" w:ascii="宋体" w:hAnsi="宋体"/>
          <w:szCs w:val="21"/>
        </w:rPr>
        <w:t>信息系统</w:t>
      </w:r>
      <w:r>
        <w:rPr>
          <w:rFonts w:ascii="宋体" w:hAnsi="宋体"/>
          <w:szCs w:val="21"/>
        </w:rPr>
        <w:t>运维经验；</w:t>
      </w:r>
    </w:p>
    <w:p>
      <w:pPr>
        <w:snapToGrid w:val="0"/>
        <w:spacing w:line="360" w:lineRule="auto"/>
        <w:ind w:firstLine="420" w:firstLineChars="200"/>
        <w:rPr>
          <w:rFonts w:ascii="宋体" w:hAnsi="宋体"/>
          <w:szCs w:val="21"/>
        </w:rPr>
      </w:pPr>
      <w:r>
        <w:rPr>
          <w:rFonts w:ascii="宋体" w:hAnsi="宋体"/>
          <w:szCs w:val="21"/>
        </w:rPr>
        <w:t>3.负责过3个以上的信息化项目运维；</w:t>
      </w:r>
    </w:p>
    <w:p>
      <w:pPr>
        <w:snapToGrid w:val="0"/>
        <w:spacing w:line="360" w:lineRule="auto"/>
        <w:ind w:firstLine="420" w:firstLineChars="200"/>
        <w:rPr>
          <w:rFonts w:ascii="宋体" w:hAnsi="宋体"/>
          <w:szCs w:val="21"/>
        </w:rPr>
      </w:pPr>
      <w:r>
        <w:rPr>
          <w:rFonts w:ascii="宋体" w:hAnsi="宋体"/>
          <w:szCs w:val="21"/>
        </w:rPr>
        <w:t xml:space="preserve">4.熟悉常用数据库、主流中间件的配置和日常管理； </w:t>
      </w:r>
    </w:p>
    <w:p>
      <w:pPr>
        <w:snapToGrid w:val="0"/>
        <w:spacing w:line="360" w:lineRule="auto"/>
        <w:ind w:firstLine="420" w:firstLineChars="200"/>
        <w:rPr>
          <w:rFonts w:ascii="宋体" w:hAnsi="宋体"/>
          <w:szCs w:val="21"/>
        </w:rPr>
      </w:pPr>
      <w:r>
        <w:rPr>
          <w:rFonts w:ascii="宋体" w:hAnsi="宋体"/>
          <w:szCs w:val="21"/>
        </w:rPr>
        <w:t>5.熟悉容器技术和具有云服务平台管理经验；</w:t>
      </w:r>
    </w:p>
    <w:p>
      <w:pPr>
        <w:snapToGrid w:val="0"/>
        <w:spacing w:line="360" w:lineRule="auto"/>
        <w:ind w:firstLine="420" w:firstLineChars="200"/>
        <w:rPr>
          <w:rFonts w:ascii="宋体" w:hAnsi="宋体"/>
          <w:szCs w:val="21"/>
        </w:rPr>
      </w:pPr>
      <w:r>
        <w:rPr>
          <w:rFonts w:ascii="宋体" w:hAnsi="宋体"/>
          <w:szCs w:val="21"/>
        </w:rPr>
        <w:t>6.具备丰富的信息化项目运维项目经验和技术基础；</w:t>
      </w:r>
    </w:p>
    <w:p>
      <w:pPr>
        <w:snapToGrid w:val="0"/>
        <w:spacing w:line="360" w:lineRule="auto"/>
        <w:ind w:firstLine="420" w:firstLineChars="200"/>
        <w:rPr>
          <w:rFonts w:ascii="宋体" w:hAnsi="宋体"/>
          <w:szCs w:val="21"/>
        </w:rPr>
      </w:pPr>
      <w:r>
        <w:rPr>
          <w:rFonts w:ascii="宋体" w:hAnsi="宋体"/>
          <w:szCs w:val="21"/>
        </w:rPr>
        <w:t>7.自信大方，具备良好的沟通能力及服务意识，责任心强。</w:t>
      </w:r>
    </w:p>
    <w:p>
      <w:pPr>
        <w:snapToGrid w:val="0"/>
        <w:spacing w:line="360" w:lineRule="auto"/>
        <w:ind w:firstLine="420" w:firstLineChars="200"/>
        <w:rPr>
          <w:rFonts w:ascii="宋体" w:hAnsi="宋体"/>
          <w:szCs w:val="21"/>
        </w:rPr>
      </w:pPr>
      <w:bookmarkStart w:id="77" w:name="_Toc10680"/>
      <w:bookmarkStart w:id="78" w:name="_Toc2932"/>
      <w:bookmarkStart w:id="79" w:name="_Toc21089"/>
      <w:bookmarkStart w:id="80" w:name="_Toc8727"/>
      <w:bookmarkStart w:id="81" w:name="_Toc7740"/>
      <w:bookmarkStart w:id="82" w:name="_Toc32016"/>
      <w:bookmarkStart w:id="83" w:name="_Toc24675"/>
      <w:bookmarkStart w:id="84" w:name="_Toc11890"/>
      <w:bookmarkStart w:id="85" w:name="_Toc2824"/>
      <w:bookmarkStart w:id="86" w:name="_Toc19858"/>
      <w:bookmarkStart w:id="87" w:name="_Toc13099"/>
      <w:bookmarkStart w:id="88" w:name="_Toc18123"/>
      <w:r>
        <w:rPr>
          <w:rFonts w:ascii="宋体" w:hAnsi="宋体"/>
          <w:szCs w:val="21"/>
        </w:rPr>
        <w:t>（二）基础运维内容</w:t>
      </w:r>
      <w:bookmarkEnd w:id="77"/>
      <w:bookmarkEnd w:id="78"/>
      <w:bookmarkEnd w:id="79"/>
      <w:bookmarkEnd w:id="80"/>
      <w:bookmarkEnd w:id="81"/>
      <w:bookmarkEnd w:id="82"/>
      <w:bookmarkEnd w:id="83"/>
    </w:p>
    <w:p>
      <w:pPr>
        <w:snapToGrid w:val="0"/>
        <w:spacing w:line="360" w:lineRule="auto"/>
        <w:ind w:firstLine="420" w:firstLineChars="200"/>
        <w:rPr>
          <w:rFonts w:ascii="宋体" w:hAnsi="宋体"/>
          <w:szCs w:val="21"/>
        </w:rPr>
      </w:pPr>
      <w:r>
        <w:rPr>
          <w:rFonts w:ascii="宋体" w:hAnsi="宋体"/>
          <w:szCs w:val="21"/>
        </w:rPr>
        <w:t>1.负责系统的运维技术人员对服务器、数据库、应用系统、中间件进行日常巡检，发现问题及时处理，并做好巡检记录，运维应用系统、数据库，保障系统安全、运维培训服务在系统运行维护期内做好运维记录，每周输出日常巡检记录。</w:t>
      </w:r>
    </w:p>
    <w:p>
      <w:pPr>
        <w:snapToGrid w:val="0"/>
        <w:spacing w:line="360" w:lineRule="auto"/>
        <w:ind w:firstLine="420" w:firstLineChars="200"/>
        <w:rPr>
          <w:rFonts w:ascii="宋体" w:hAnsi="宋体"/>
          <w:szCs w:val="21"/>
        </w:rPr>
      </w:pPr>
      <w:r>
        <w:rPr>
          <w:rFonts w:ascii="宋体" w:hAnsi="宋体"/>
          <w:szCs w:val="21"/>
        </w:rPr>
        <w:t>2.每月、每季度、每年提供运维报告，对期间内的运维工作进行总结，并以邮件和纸质报告的方式提交。</w:t>
      </w:r>
    </w:p>
    <w:p>
      <w:pPr>
        <w:snapToGrid w:val="0"/>
        <w:spacing w:line="360" w:lineRule="auto"/>
        <w:ind w:firstLine="420" w:firstLineChars="200"/>
        <w:rPr>
          <w:rFonts w:ascii="宋体" w:hAnsi="宋体"/>
          <w:szCs w:val="21"/>
        </w:rPr>
      </w:pPr>
      <w:r>
        <w:rPr>
          <w:rFonts w:ascii="宋体" w:hAnsi="宋体"/>
          <w:szCs w:val="21"/>
        </w:rPr>
        <w:t>3.为建设单位提供5</w:t>
      </w:r>
      <w:r>
        <w:rPr>
          <w:rFonts w:hint="eastAsia" w:ascii="宋体" w:hAnsi="宋体"/>
          <w:szCs w:val="21"/>
        </w:rPr>
        <w:t>*</w:t>
      </w:r>
      <w:r>
        <w:rPr>
          <w:rFonts w:ascii="宋体" w:hAnsi="宋体"/>
          <w:szCs w:val="21"/>
        </w:rPr>
        <w:t>8小时的</w:t>
      </w:r>
      <w:r>
        <w:rPr>
          <w:rFonts w:hint="eastAsia" w:ascii="宋体" w:hAnsi="宋体"/>
          <w:szCs w:val="21"/>
        </w:rPr>
        <w:t>故障即时诊断、7</w:t>
      </w:r>
      <w:r>
        <w:rPr>
          <w:rFonts w:ascii="宋体" w:hAnsi="宋体"/>
          <w:szCs w:val="21"/>
        </w:rPr>
        <w:t>*</w:t>
      </w:r>
      <w:r>
        <w:rPr>
          <w:rFonts w:hint="eastAsia" w:ascii="宋体" w:hAnsi="宋体"/>
          <w:szCs w:val="21"/>
        </w:rPr>
        <w:t>24</w:t>
      </w:r>
      <w:r>
        <w:rPr>
          <w:rFonts w:ascii="宋体" w:hAnsi="宋体"/>
          <w:szCs w:val="21"/>
        </w:rPr>
        <w:t>小时</w:t>
      </w:r>
      <w:r>
        <w:rPr>
          <w:rFonts w:hint="eastAsia" w:ascii="宋体" w:hAnsi="宋体"/>
          <w:szCs w:val="21"/>
        </w:rPr>
        <w:t>电话服务或远程技术支持等服务，不限次数</w:t>
      </w:r>
      <w:r>
        <w:rPr>
          <w:rFonts w:ascii="宋体" w:hAnsi="宋体"/>
          <w:szCs w:val="21"/>
        </w:rPr>
        <w:t>。</w:t>
      </w:r>
    </w:p>
    <w:p>
      <w:pPr>
        <w:snapToGrid w:val="0"/>
        <w:spacing w:line="360" w:lineRule="auto"/>
        <w:ind w:firstLine="420" w:firstLineChars="200"/>
        <w:rPr>
          <w:rFonts w:ascii="宋体" w:hAnsi="宋体"/>
          <w:szCs w:val="21"/>
        </w:rPr>
      </w:pPr>
      <w:bookmarkStart w:id="89" w:name="_Toc23711"/>
      <w:bookmarkStart w:id="90" w:name="_Toc21975"/>
      <w:bookmarkStart w:id="91" w:name="_Toc30908"/>
      <w:bookmarkStart w:id="92" w:name="_Toc32515"/>
      <w:bookmarkStart w:id="93" w:name="_Toc27635"/>
      <w:bookmarkStart w:id="94" w:name="_Toc20471"/>
      <w:bookmarkStart w:id="95" w:name="_Toc32492"/>
      <w:r>
        <w:rPr>
          <w:rFonts w:ascii="宋体" w:hAnsi="宋体"/>
          <w:szCs w:val="21"/>
        </w:rPr>
        <w:t>（三）系统日常巡检</w:t>
      </w:r>
      <w:bookmarkEnd w:id="84"/>
      <w:bookmarkEnd w:id="85"/>
      <w:bookmarkEnd w:id="86"/>
      <w:bookmarkEnd w:id="87"/>
      <w:bookmarkEnd w:id="88"/>
      <w:bookmarkEnd w:id="89"/>
      <w:bookmarkEnd w:id="90"/>
      <w:bookmarkEnd w:id="91"/>
      <w:bookmarkEnd w:id="92"/>
      <w:bookmarkEnd w:id="93"/>
      <w:bookmarkEnd w:id="94"/>
      <w:bookmarkEnd w:id="95"/>
    </w:p>
    <w:p>
      <w:pPr>
        <w:snapToGrid w:val="0"/>
        <w:spacing w:line="360" w:lineRule="auto"/>
        <w:ind w:firstLine="420" w:firstLineChars="200"/>
        <w:rPr>
          <w:rFonts w:ascii="宋体" w:hAnsi="宋体"/>
          <w:szCs w:val="21"/>
        </w:rPr>
      </w:pPr>
      <w:r>
        <w:rPr>
          <w:rFonts w:ascii="宋体" w:hAnsi="宋体"/>
          <w:szCs w:val="21"/>
        </w:rPr>
        <w:t>运维技术人员对服务器、数据库、应用系统、中间件进行日常巡检，发现问题及时处理，并做好巡检记录。巡检内容如下各表。</w:t>
      </w:r>
    </w:p>
    <w:p>
      <w:pPr>
        <w:snapToGrid w:val="0"/>
        <w:spacing w:line="360" w:lineRule="auto"/>
        <w:ind w:firstLine="422" w:firstLineChars="200"/>
        <w:jc w:val="center"/>
        <w:rPr>
          <w:rFonts w:ascii="宋体" w:hAnsi="宋体"/>
          <w:b/>
          <w:bCs/>
          <w:color w:val="000000"/>
          <w:szCs w:val="21"/>
        </w:rPr>
      </w:pPr>
      <w:r>
        <w:rPr>
          <w:rFonts w:ascii="宋体" w:hAnsi="宋体"/>
          <w:b/>
          <w:bCs/>
          <w:color w:val="000000"/>
          <w:szCs w:val="21"/>
        </w:rPr>
        <w:t>服务器巡检内容表</w:t>
      </w:r>
    </w:p>
    <w:tbl>
      <w:tblPr>
        <w:tblStyle w:val="4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684"/>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blHeader/>
          <w:jc w:val="center"/>
        </w:trPr>
        <w:tc>
          <w:tcPr>
            <w:tcW w:w="846"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序号</w:t>
            </w:r>
          </w:p>
        </w:tc>
        <w:tc>
          <w:tcPr>
            <w:tcW w:w="4684"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工作内容</w:t>
            </w:r>
          </w:p>
        </w:tc>
        <w:tc>
          <w:tcPr>
            <w:tcW w:w="2766" w:type="dxa"/>
            <w:gridSpan w:val="3"/>
          </w:tcPr>
          <w:p>
            <w:pPr>
              <w:snapToGrid w:val="0"/>
              <w:spacing w:line="360" w:lineRule="auto"/>
              <w:jc w:val="center"/>
              <w:rPr>
                <w:rFonts w:ascii="宋体" w:hAnsi="宋体"/>
                <w:b/>
                <w:bCs/>
                <w:color w:val="000000"/>
                <w:szCs w:val="21"/>
              </w:rPr>
            </w:pPr>
            <w:r>
              <w:rPr>
                <w:rFonts w:ascii="宋体" w:hAnsi="宋体"/>
                <w:b/>
                <w:bCs/>
                <w:color w:val="000000"/>
                <w:szCs w:val="21"/>
              </w:rPr>
              <w:t>执行周期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blHeader/>
          <w:jc w:val="center"/>
        </w:trPr>
        <w:tc>
          <w:tcPr>
            <w:tcW w:w="846" w:type="dxa"/>
            <w:vMerge w:val="continue"/>
          </w:tcPr>
          <w:p>
            <w:pPr>
              <w:snapToGrid w:val="0"/>
              <w:spacing w:line="360" w:lineRule="auto"/>
              <w:jc w:val="center"/>
              <w:rPr>
                <w:rFonts w:ascii="宋体" w:hAnsi="宋体"/>
                <w:b/>
                <w:bCs/>
                <w:color w:val="000000"/>
                <w:szCs w:val="21"/>
              </w:rPr>
            </w:pPr>
          </w:p>
        </w:tc>
        <w:tc>
          <w:tcPr>
            <w:tcW w:w="4684" w:type="dxa"/>
            <w:vMerge w:val="continue"/>
          </w:tcPr>
          <w:p>
            <w:pPr>
              <w:snapToGrid w:val="0"/>
              <w:spacing w:line="360" w:lineRule="auto"/>
              <w:jc w:val="center"/>
              <w:rPr>
                <w:rFonts w:ascii="宋体" w:hAnsi="宋体"/>
                <w:b/>
                <w:bCs/>
                <w:color w:val="000000"/>
                <w:szCs w:val="21"/>
              </w:rPr>
            </w:pP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日</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周</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1</w:t>
            </w:r>
          </w:p>
        </w:tc>
        <w:tc>
          <w:tcPr>
            <w:tcW w:w="4684" w:type="dxa"/>
          </w:tcPr>
          <w:p>
            <w:pPr>
              <w:snapToGrid w:val="0"/>
              <w:spacing w:line="360" w:lineRule="auto"/>
              <w:rPr>
                <w:rFonts w:ascii="宋体" w:hAnsi="宋体"/>
                <w:color w:val="000000"/>
                <w:szCs w:val="21"/>
              </w:rPr>
            </w:pPr>
            <w:r>
              <w:rPr>
                <w:rFonts w:ascii="宋体" w:hAnsi="宋体"/>
                <w:color w:val="000000"/>
                <w:szCs w:val="21"/>
              </w:rPr>
              <w:t>运行状态、故障情况巡检</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2</w:t>
            </w:r>
          </w:p>
        </w:tc>
        <w:tc>
          <w:tcPr>
            <w:tcW w:w="4684" w:type="dxa"/>
          </w:tcPr>
          <w:p>
            <w:pPr>
              <w:snapToGrid w:val="0"/>
              <w:spacing w:line="360" w:lineRule="auto"/>
              <w:rPr>
                <w:rFonts w:ascii="宋体" w:hAnsi="宋体"/>
                <w:color w:val="000000"/>
                <w:szCs w:val="21"/>
              </w:rPr>
            </w:pPr>
            <w:r>
              <w:rPr>
                <w:rFonts w:ascii="宋体" w:hAnsi="宋体"/>
                <w:color w:val="000000"/>
                <w:szCs w:val="21"/>
              </w:rPr>
              <w:t>异常进程、网络响应情况</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3</w:t>
            </w:r>
          </w:p>
        </w:tc>
        <w:tc>
          <w:tcPr>
            <w:tcW w:w="4684" w:type="dxa"/>
          </w:tcPr>
          <w:p>
            <w:pPr>
              <w:snapToGrid w:val="0"/>
              <w:spacing w:line="360" w:lineRule="auto"/>
              <w:rPr>
                <w:rFonts w:ascii="宋体" w:hAnsi="宋体"/>
                <w:color w:val="000000"/>
                <w:szCs w:val="21"/>
              </w:rPr>
            </w:pPr>
            <w:r>
              <w:rPr>
                <w:rFonts w:ascii="宋体" w:hAnsi="宋体"/>
                <w:color w:val="000000"/>
                <w:szCs w:val="21"/>
              </w:rPr>
              <w:t>可用性情况及健康状况</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4</w:t>
            </w:r>
          </w:p>
        </w:tc>
        <w:tc>
          <w:tcPr>
            <w:tcW w:w="4684" w:type="dxa"/>
          </w:tcPr>
          <w:p>
            <w:pPr>
              <w:snapToGrid w:val="0"/>
              <w:spacing w:line="360" w:lineRule="auto"/>
              <w:rPr>
                <w:rFonts w:ascii="宋体" w:hAnsi="宋体"/>
                <w:color w:val="000000"/>
                <w:szCs w:val="21"/>
              </w:rPr>
            </w:pPr>
            <w:r>
              <w:rPr>
                <w:rFonts w:ascii="宋体" w:hAnsi="宋体"/>
                <w:color w:val="000000"/>
                <w:szCs w:val="21"/>
              </w:rPr>
              <w:t>系统盘、数据盘空间使用情况</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5</w:t>
            </w:r>
          </w:p>
        </w:tc>
        <w:tc>
          <w:tcPr>
            <w:tcW w:w="4684" w:type="dxa"/>
          </w:tcPr>
          <w:p>
            <w:pPr>
              <w:snapToGrid w:val="0"/>
              <w:spacing w:line="360" w:lineRule="auto"/>
              <w:rPr>
                <w:rFonts w:ascii="宋体" w:hAnsi="宋体"/>
                <w:color w:val="000000"/>
                <w:szCs w:val="21"/>
              </w:rPr>
            </w:pPr>
            <w:r>
              <w:rPr>
                <w:rFonts w:ascii="宋体" w:hAnsi="宋体"/>
                <w:color w:val="000000"/>
                <w:szCs w:val="21"/>
              </w:rPr>
              <w:t>防毒软件病毒库更新情况</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6</w:t>
            </w:r>
          </w:p>
        </w:tc>
        <w:tc>
          <w:tcPr>
            <w:tcW w:w="4684" w:type="dxa"/>
          </w:tcPr>
          <w:p>
            <w:pPr>
              <w:snapToGrid w:val="0"/>
              <w:spacing w:line="360" w:lineRule="auto"/>
              <w:rPr>
                <w:rFonts w:ascii="宋体" w:hAnsi="宋体"/>
                <w:color w:val="000000"/>
                <w:szCs w:val="21"/>
              </w:rPr>
            </w:pPr>
            <w:r>
              <w:rPr>
                <w:rFonts w:ascii="宋体" w:hAnsi="宋体"/>
                <w:color w:val="000000"/>
                <w:szCs w:val="21"/>
              </w:rPr>
              <w:t>口令安全预防性</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7</w:t>
            </w:r>
          </w:p>
        </w:tc>
        <w:tc>
          <w:tcPr>
            <w:tcW w:w="4684" w:type="dxa"/>
          </w:tcPr>
          <w:p>
            <w:pPr>
              <w:snapToGrid w:val="0"/>
              <w:spacing w:line="360" w:lineRule="auto"/>
              <w:rPr>
                <w:rFonts w:ascii="宋体" w:hAnsi="宋体"/>
                <w:color w:val="000000"/>
                <w:szCs w:val="21"/>
              </w:rPr>
            </w:pPr>
            <w:r>
              <w:rPr>
                <w:rFonts w:ascii="宋体" w:hAnsi="宋体"/>
                <w:color w:val="000000"/>
                <w:szCs w:val="21"/>
              </w:rPr>
              <w:t>病毒定期查杀</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8</w:t>
            </w:r>
          </w:p>
        </w:tc>
        <w:tc>
          <w:tcPr>
            <w:tcW w:w="4684" w:type="dxa"/>
          </w:tcPr>
          <w:p>
            <w:pPr>
              <w:snapToGrid w:val="0"/>
              <w:spacing w:line="360" w:lineRule="auto"/>
              <w:rPr>
                <w:rFonts w:ascii="宋体" w:hAnsi="宋体"/>
                <w:color w:val="000000"/>
                <w:szCs w:val="21"/>
              </w:rPr>
            </w:pPr>
            <w:r>
              <w:rPr>
                <w:rFonts w:ascii="宋体" w:hAnsi="宋体"/>
                <w:color w:val="000000"/>
                <w:szCs w:val="21"/>
              </w:rPr>
              <w:t>关键操作日志审查</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bl>
    <w:p>
      <w:pPr>
        <w:snapToGrid w:val="0"/>
        <w:spacing w:line="360" w:lineRule="auto"/>
        <w:ind w:firstLine="420" w:firstLineChars="200"/>
        <w:rPr>
          <w:rFonts w:ascii="宋体" w:hAnsi="宋体"/>
          <w:color w:val="000000"/>
          <w:szCs w:val="21"/>
        </w:rPr>
      </w:pPr>
    </w:p>
    <w:p>
      <w:pPr>
        <w:snapToGrid w:val="0"/>
        <w:spacing w:line="360" w:lineRule="auto"/>
        <w:ind w:firstLine="422" w:firstLineChars="200"/>
        <w:jc w:val="center"/>
        <w:rPr>
          <w:rFonts w:ascii="宋体" w:hAnsi="宋体"/>
          <w:b/>
          <w:bCs/>
          <w:color w:val="000000"/>
          <w:szCs w:val="21"/>
        </w:rPr>
      </w:pPr>
      <w:r>
        <w:rPr>
          <w:rFonts w:ascii="宋体" w:hAnsi="宋体"/>
          <w:b/>
          <w:bCs/>
          <w:color w:val="000000"/>
          <w:szCs w:val="21"/>
        </w:rPr>
        <w:br w:type="page"/>
      </w:r>
      <w:r>
        <w:rPr>
          <w:rFonts w:ascii="宋体" w:hAnsi="宋体"/>
          <w:b/>
          <w:bCs/>
          <w:color w:val="000000"/>
          <w:szCs w:val="21"/>
        </w:rPr>
        <w:t>数据库巡检内容表</w:t>
      </w:r>
    </w:p>
    <w:tbl>
      <w:tblPr>
        <w:tblStyle w:val="4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684"/>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序号</w:t>
            </w:r>
          </w:p>
        </w:tc>
        <w:tc>
          <w:tcPr>
            <w:tcW w:w="4684"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工作内容</w:t>
            </w:r>
          </w:p>
        </w:tc>
        <w:tc>
          <w:tcPr>
            <w:tcW w:w="2766" w:type="dxa"/>
            <w:gridSpan w:val="3"/>
          </w:tcPr>
          <w:p>
            <w:pPr>
              <w:snapToGrid w:val="0"/>
              <w:spacing w:line="360" w:lineRule="auto"/>
              <w:jc w:val="center"/>
              <w:rPr>
                <w:rFonts w:ascii="宋体" w:hAnsi="宋体"/>
                <w:b/>
                <w:bCs/>
                <w:color w:val="000000"/>
                <w:szCs w:val="21"/>
              </w:rPr>
            </w:pPr>
            <w:r>
              <w:rPr>
                <w:rFonts w:ascii="宋体" w:hAnsi="宋体"/>
                <w:b/>
                <w:bCs/>
                <w:color w:val="000000"/>
                <w:szCs w:val="21"/>
              </w:rPr>
              <w:t>执行周期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Pr>
          <w:p>
            <w:pPr>
              <w:snapToGrid w:val="0"/>
              <w:spacing w:line="360" w:lineRule="auto"/>
              <w:jc w:val="center"/>
              <w:rPr>
                <w:rFonts w:ascii="宋体" w:hAnsi="宋体"/>
                <w:b/>
                <w:bCs/>
                <w:color w:val="000000"/>
                <w:szCs w:val="21"/>
              </w:rPr>
            </w:pPr>
          </w:p>
        </w:tc>
        <w:tc>
          <w:tcPr>
            <w:tcW w:w="4684" w:type="dxa"/>
            <w:vMerge w:val="continue"/>
          </w:tcPr>
          <w:p>
            <w:pPr>
              <w:snapToGrid w:val="0"/>
              <w:spacing w:line="360" w:lineRule="auto"/>
              <w:jc w:val="center"/>
              <w:rPr>
                <w:rFonts w:ascii="宋体" w:hAnsi="宋体"/>
                <w:b/>
                <w:bCs/>
                <w:color w:val="000000"/>
                <w:szCs w:val="21"/>
              </w:rPr>
            </w:pP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日</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周</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1</w:t>
            </w:r>
          </w:p>
        </w:tc>
        <w:tc>
          <w:tcPr>
            <w:tcW w:w="4684" w:type="dxa"/>
          </w:tcPr>
          <w:p>
            <w:pPr>
              <w:snapToGrid w:val="0"/>
              <w:spacing w:line="360" w:lineRule="auto"/>
              <w:rPr>
                <w:rFonts w:ascii="宋体" w:hAnsi="宋体"/>
                <w:color w:val="000000"/>
                <w:szCs w:val="21"/>
              </w:rPr>
            </w:pPr>
            <w:r>
              <w:rPr>
                <w:rFonts w:ascii="宋体" w:hAnsi="宋体"/>
                <w:color w:val="000000"/>
                <w:szCs w:val="21"/>
              </w:rPr>
              <w:t>运行状态、故障情况巡检</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2</w:t>
            </w:r>
          </w:p>
        </w:tc>
        <w:tc>
          <w:tcPr>
            <w:tcW w:w="4684" w:type="dxa"/>
          </w:tcPr>
          <w:p>
            <w:pPr>
              <w:snapToGrid w:val="0"/>
              <w:spacing w:line="360" w:lineRule="auto"/>
              <w:rPr>
                <w:rFonts w:ascii="宋体" w:hAnsi="宋体"/>
                <w:color w:val="000000"/>
                <w:szCs w:val="21"/>
              </w:rPr>
            </w:pPr>
            <w:r>
              <w:rPr>
                <w:rFonts w:ascii="宋体" w:hAnsi="宋体"/>
                <w:color w:val="000000"/>
                <w:szCs w:val="21"/>
              </w:rPr>
              <w:t>可用性情况及健康状况</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3</w:t>
            </w:r>
          </w:p>
        </w:tc>
        <w:tc>
          <w:tcPr>
            <w:tcW w:w="4684" w:type="dxa"/>
          </w:tcPr>
          <w:p>
            <w:pPr>
              <w:snapToGrid w:val="0"/>
              <w:spacing w:line="360" w:lineRule="auto"/>
              <w:rPr>
                <w:rFonts w:ascii="宋体" w:hAnsi="宋体"/>
                <w:color w:val="000000"/>
                <w:szCs w:val="21"/>
              </w:rPr>
            </w:pPr>
            <w:r>
              <w:rPr>
                <w:rFonts w:ascii="宋体" w:hAnsi="宋体"/>
                <w:color w:val="000000"/>
                <w:szCs w:val="21"/>
              </w:rPr>
              <w:t>检查数据库空间使用情况</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4</w:t>
            </w:r>
          </w:p>
        </w:tc>
        <w:tc>
          <w:tcPr>
            <w:tcW w:w="4684" w:type="dxa"/>
          </w:tcPr>
          <w:p>
            <w:pPr>
              <w:snapToGrid w:val="0"/>
              <w:spacing w:line="360" w:lineRule="auto"/>
              <w:rPr>
                <w:rFonts w:ascii="宋体" w:hAnsi="宋体"/>
                <w:color w:val="000000"/>
                <w:szCs w:val="21"/>
              </w:rPr>
            </w:pPr>
            <w:r>
              <w:rPr>
                <w:rFonts w:ascii="宋体" w:hAnsi="宋体"/>
                <w:color w:val="000000"/>
                <w:szCs w:val="21"/>
              </w:rPr>
              <w:t>增量备份</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5</w:t>
            </w:r>
          </w:p>
        </w:tc>
        <w:tc>
          <w:tcPr>
            <w:tcW w:w="4684" w:type="dxa"/>
          </w:tcPr>
          <w:p>
            <w:pPr>
              <w:snapToGrid w:val="0"/>
              <w:spacing w:line="360" w:lineRule="auto"/>
              <w:rPr>
                <w:rFonts w:ascii="宋体" w:hAnsi="宋体"/>
                <w:color w:val="000000"/>
                <w:szCs w:val="21"/>
              </w:rPr>
            </w:pPr>
            <w:r>
              <w:rPr>
                <w:rFonts w:ascii="宋体" w:hAnsi="宋体"/>
                <w:color w:val="000000"/>
                <w:szCs w:val="21"/>
              </w:rPr>
              <w:t>全量备份及还原测试</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6</w:t>
            </w:r>
          </w:p>
        </w:tc>
        <w:tc>
          <w:tcPr>
            <w:tcW w:w="4684" w:type="dxa"/>
          </w:tcPr>
          <w:p>
            <w:pPr>
              <w:snapToGrid w:val="0"/>
              <w:spacing w:line="360" w:lineRule="auto"/>
              <w:rPr>
                <w:rFonts w:ascii="宋体" w:hAnsi="宋体"/>
                <w:color w:val="000000"/>
                <w:szCs w:val="21"/>
              </w:rPr>
            </w:pPr>
            <w:r>
              <w:rPr>
                <w:rFonts w:ascii="宋体" w:hAnsi="宋体"/>
                <w:color w:val="000000"/>
                <w:szCs w:val="21"/>
              </w:rPr>
              <w:t>检查并分析日志排除错误隐患</w:t>
            </w:r>
          </w:p>
        </w:tc>
        <w:tc>
          <w:tcPr>
            <w:tcW w:w="2766" w:type="dxa"/>
            <w:gridSpan w:val="3"/>
          </w:tcPr>
          <w:p>
            <w:pPr>
              <w:snapToGrid w:val="0"/>
              <w:spacing w:line="360" w:lineRule="auto"/>
              <w:jc w:val="center"/>
              <w:rPr>
                <w:rFonts w:ascii="宋体" w:hAnsi="宋体"/>
                <w:color w:val="000000"/>
                <w:szCs w:val="21"/>
              </w:rPr>
            </w:pPr>
            <w:r>
              <w:rPr>
                <w:rFonts w:ascii="宋体" w:hAnsi="宋体"/>
                <w:color w:val="000000"/>
                <w:szCs w:val="21"/>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7</w:t>
            </w:r>
          </w:p>
        </w:tc>
        <w:tc>
          <w:tcPr>
            <w:tcW w:w="4684" w:type="dxa"/>
          </w:tcPr>
          <w:p>
            <w:pPr>
              <w:snapToGrid w:val="0"/>
              <w:spacing w:line="360" w:lineRule="auto"/>
              <w:rPr>
                <w:rFonts w:ascii="宋体" w:hAnsi="宋体"/>
                <w:color w:val="000000"/>
                <w:szCs w:val="21"/>
              </w:rPr>
            </w:pPr>
            <w:r>
              <w:rPr>
                <w:rFonts w:ascii="宋体" w:hAnsi="宋体"/>
                <w:color w:val="000000"/>
                <w:szCs w:val="21"/>
              </w:rPr>
              <w:t>检查是否需要更新最新补丁集</w:t>
            </w:r>
          </w:p>
        </w:tc>
        <w:tc>
          <w:tcPr>
            <w:tcW w:w="2766" w:type="dxa"/>
            <w:gridSpan w:val="3"/>
          </w:tcPr>
          <w:p>
            <w:pPr>
              <w:snapToGrid w:val="0"/>
              <w:spacing w:line="360" w:lineRule="auto"/>
              <w:jc w:val="center"/>
              <w:rPr>
                <w:rFonts w:ascii="宋体" w:hAnsi="宋体"/>
                <w:color w:val="000000"/>
                <w:szCs w:val="21"/>
              </w:rPr>
            </w:pPr>
            <w:r>
              <w:rPr>
                <w:rFonts w:ascii="宋体" w:hAnsi="宋体"/>
                <w:color w:val="000000"/>
                <w:szCs w:val="21"/>
              </w:rPr>
              <w:t>按需</w:t>
            </w:r>
          </w:p>
        </w:tc>
      </w:tr>
    </w:tbl>
    <w:p>
      <w:pPr>
        <w:snapToGrid w:val="0"/>
        <w:spacing w:line="360" w:lineRule="auto"/>
        <w:ind w:firstLine="422" w:firstLineChars="200"/>
        <w:jc w:val="center"/>
        <w:rPr>
          <w:rFonts w:ascii="宋体" w:hAnsi="宋体"/>
          <w:b/>
          <w:bCs/>
          <w:color w:val="000000"/>
          <w:szCs w:val="21"/>
        </w:rPr>
      </w:pPr>
      <w:r>
        <w:rPr>
          <w:rFonts w:ascii="宋体" w:hAnsi="宋体"/>
          <w:b/>
          <w:bCs/>
          <w:color w:val="000000"/>
          <w:szCs w:val="21"/>
        </w:rPr>
        <w:t>应用系统巡检内容表</w:t>
      </w:r>
    </w:p>
    <w:tbl>
      <w:tblPr>
        <w:tblStyle w:val="4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684"/>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序号</w:t>
            </w:r>
          </w:p>
        </w:tc>
        <w:tc>
          <w:tcPr>
            <w:tcW w:w="4684"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工作内容</w:t>
            </w:r>
          </w:p>
        </w:tc>
        <w:tc>
          <w:tcPr>
            <w:tcW w:w="2766" w:type="dxa"/>
            <w:gridSpan w:val="3"/>
          </w:tcPr>
          <w:p>
            <w:pPr>
              <w:snapToGrid w:val="0"/>
              <w:spacing w:line="360" w:lineRule="auto"/>
              <w:jc w:val="center"/>
              <w:rPr>
                <w:rFonts w:ascii="宋体" w:hAnsi="宋体"/>
                <w:b/>
                <w:bCs/>
                <w:color w:val="000000"/>
                <w:szCs w:val="21"/>
              </w:rPr>
            </w:pPr>
            <w:r>
              <w:rPr>
                <w:rFonts w:ascii="宋体" w:hAnsi="宋体"/>
                <w:b/>
                <w:bCs/>
                <w:color w:val="000000"/>
                <w:szCs w:val="21"/>
              </w:rPr>
              <w:t>执行周期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vMerge w:val="continue"/>
          </w:tcPr>
          <w:p>
            <w:pPr>
              <w:snapToGrid w:val="0"/>
              <w:spacing w:line="360" w:lineRule="auto"/>
              <w:jc w:val="center"/>
              <w:rPr>
                <w:rFonts w:ascii="宋体" w:hAnsi="宋体"/>
                <w:b/>
                <w:bCs/>
                <w:color w:val="000000"/>
                <w:szCs w:val="21"/>
              </w:rPr>
            </w:pPr>
          </w:p>
        </w:tc>
        <w:tc>
          <w:tcPr>
            <w:tcW w:w="4684" w:type="dxa"/>
            <w:vMerge w:val="continue"/>
          </w:tcPr>
          <w:p>
            <w:pPr>
              <w:snapToGrid w:val="0"/>
              <w:spacing w:line="360" w:lineRule="auto"/>
              <w:jc w:val="center"/>
              <w:rPr>
                <w:rFonts w:ascii="宋体" w:hAnsi="宋体"/>
                <w:b/>
                <w:bCs/>
                <w:color w:val="000000"/>
                <w:szCs w:val="21"/>
              </w:rPr>
            </w:pP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日</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周</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1</w:t>
            </w:r>
          </w:p>
        </w:tc>
        <w:tc>
          <w:tcPr>
            <w:tcW w:w="4684" w:type="dxa"/>
          </w:tcPr>
          <w:p>
            <w:pPr>
              <w:snapToGrid w:val="0"/>
              <w:spacing w:line="360" w:lineRule="auto"/>
              <w:rPr>
                <w:rFonts w:ascii="宋体" w:hAnsi="宋体"/>
                <w:color w:val="000000"/>
                <w:szCs w:val="21"/>
              </w:rPr>
            </w:pPr>
            <w:r>
              <w:rPr>
                <w:rFonts w:ascii="宋体" w:hAnsi="宋体"/>
                <w:color w:val="000000"/>
                <w:szCs w:val="21"/>
              </w:rPr>
              <w:t>系统服务运行状态、故障情况巡检</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2</w:t>
            </w:r>
          </w:p>
        </w:tc>
        <w:tc>
          <w:tcPr>
            <w:tcW w:w="4684" w:type="dxa"/>
          </w:tcPr>
          <w:p>
            <w:pPr>
              <w:snapToGrid w:val="0"/>
              <w:spacing w:line="360" w:lineRule="auto"/>
              <w:rPr>
                <w:rFonts w:ascii="宋体" w:hAnsi="宋体"/>
                <w:color w:val="000000"/>
                <w:szCs w:val="21"/>
              </w:rPr>
            </w:pPr>
            <w:r>
              <w:rPr>
                <w:rFonts w:ascii="宋体" w:hAnsi="宋体"/>
                <w:color w:val="000000"/>
                <w:szCs w:val="21"/>
              </w:rPr>
              <w:t>客户端运行状态、故障情况巡检</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3</w:t>
            </w:r>
          </w:p>
        </w:tc>
        <w:tc>
          <w:tcPr>
            <w:tcW w:w="4684" w:type="dxa"/>
          </w:tcPr>
          <w:p>
            <w:pPr>
              <w:snapToGrid w:val="0"/>
              <w:spacing w:line="360" w:lineRule="auto"/>
              <w:rPr>
                <w:rFonts w:ascii="宋体" w:hAnsi="宋体"/>
                <w:color w:val="000000"/>
                <w:szCs w:val="21"/>
              </w:rPr>
            </w:pPr>
            <w:r>
              <w:rPr>
                <w:rFonts w:ascii="宋体" w:hAnsi="宋体"/>
                <w:color w:val="000000"/>
                <w:szCs w:val="21"/>
              </w:rPr>
              <w:t>可用性情况及健康状况</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4</w:t>
            </w:r>
          </w:p>
        </w:tc>
        <w:tc>
          <w:tcPr>
            <w:tcW w:w="4684" w:type="dxa"/>
          </w:tcPr>
          <w:p>
            <w:pPr>
              <w:snapToGrid w:val="0"/>
              <w:spacing w:line="360" w:lineRule="auto"/>
              <w:rPr>
                <w:rFonts w:ascii="宋体" w:hAnsi="宋体"/>
                <w:color w:val="000000"/>
                <w:szCs w:val="21"/>
              </w:rPr>
            </w:pPr>
            <w:r>
              <w:rPr>
                <w:rFonts w:ascii="宋体" w:hAnsi="宋体"/>
                <w:color w:val="000000"/>
                <w:szCs w:val="21"/>
              </w:rPr>
              <w:t>系统服务错误日志跟踪</w:t>
            </w:r>
          </w:p>
        </w:tc>
        <w:tc>
          <w:tcPr>
            <w:tcW w:w="2766" w:type="dxa"/>
            <w:gridSpan w:val="3"/>
          </w:tcPr>
          <w:p>
            <w:pPr>
              <w:snapToGrid w:val="0"/>
              <w:spacing w:line="360" w:lineRule="auto"/>
              <w:jc w:val="center"/>
              <w:rPr>
                <w:rFonts w:ascii="宋体" w:hAnsi="宋体"/>
                <w:color w:val="000000"/>
                <w:szCs w:val="21"/>
              </w:rPr>
            </w:pPr>
            <w:r>
              <w:rPr>
                <w:rFonts w:ascii="宋体" w:hAnsi="宋体"/>
                <w:color w:val="000000"/>
                <w:szCs w:val="21"/>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5</w:t>
            </w:r>
          </w:p>
        </w:tc>
        <w:tc>
          <w:tcPr>
            <w:tcW w:w="4684" w:type="dxa"/>
          </w:tcPr>
          <w:p>
            <w:pPr>
              <w:snapToGrid w:val="0"/>
              <w:spacing w:line="360" w:lineRule="auto"/>
              <w:rPr>
                <w:rFonts w:ascii="宋体" w:hAnsi="宋体"/>
                <w:color w:val="000000"/>
                <w:szCs w:val="21"/>
              </w:rPr>
            </w:pPr>
            <w:r>
              <w:rPr>
                <w:rFonts w:ascii="宋体" w:hAnsi="宋体"/>
                <w:color w:val="000000"/>
                <w:szCs w:val="21"/>
              </w:rPr>
              <w:t>业务日志文件审查及清理</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6</w:t>
            </w:r>
          </w:p>
        </w:tc>
        <w:tc>
          <w:tcPr>
            <w:tcW w:w="4684" w:type="dxa"/>
          </w:tcPr>
          <w:p>
            <w:pPr>
              <w:snapToGrid w:val="0"/>
              <w:spacing w:line="360" w:lineRule="auto"/>
              <w:rPr>
                <w:rFonts w:ascii="宋体" w:hAnsi="宋体"/>
                <w:color w:val="000000"/>
                <w:szCs w:val="21"/>
              </w:rPr>
            </w:pPr>
            <w:r>
              <w:rPr>
                <w:rFonts w:ascii="宋体" w:hAnsi="宋体"/>
                <w:color w:val="000000"/>
                <w:szCs w:val="21"/>
              </w:rPr>
              <w:t>系统服务更新</w:t>
            </w:r>
          </w:p>
        </w:tc>
        <w:tc>
          <w:tcPr>
            <w:tcW w:w="2766" w:type="dxa"/>
            <w:gridSpan w:val="3"/>
          </w:tcPr>
          <w:p>
            <w:pPr>
              <w:snapToGrid w:val="0"/>
              <w:spacing w:line="360" w:lineRule="auto"/>
              <w:jc w:val="center"/>
              <w:rPr>
                <w:rFonts w:ascii="宋体" w:hAnsi="宋体"/>
                <w:color w:val="000000"/>
                <w:szCs w:val="21"/>
              </w:rPr>
            </w:pPr>
            <w:r>
              <w:rPr>
                <w:rFonts w:ascii="宋体" w:hAnsi="宋体"/>
                <w:color w:val="000000"/>
                <w:szCs w:val="21"/>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7</w:t>
            </w:r>
          </w:p>
        </w:tc>
        <w:tc>
          <w:tcPr>
            <w:tcW w:w="4684" w:type="dxa"/>
          </w:tcPr>
          <w:p>
            <w:pPr>
              <w:snapToGrid w:val="0"/>
              <w:spacing w:line="360" w:lineRule="auto"/>
              <w:rPr>
                <w:rFonts w:ascii="宋体" w:hAnsi="宋体"/>
                <w:color w:val="000000"/>
                <w:szCs w:val="21"/>
              </w:rPr>
            </w:pPr>
            <w:r>
              <w:rPr>
                <w:rFonts w:ascii="宋体" w:hAnsi="宋体"/>
                <w:color w:val="000000"/>
                <w:szCs w:val="21"/>
              </w:rPr>
              <w:t>客户端更新</w:t>
            </w:r>
          </w:p>
        </w:tc>
        <w:tc>
          <w:tcPr>
            <w:tcW w:w="2766" w:type="dxa"/>
            <w:gridSpan w:val="3"/>
          </w:tcPr>
          <w:p>
            <w:pPr>
              <w:snapToGrid w:val="0"/>
              <w:spacing w:line="360" w:lineRule="auto"/>
              <w:jc w:val="center"/>
              <w:rPr>
                <w:rFonts w:ascii="宋体" w:hAnsi="宋体"/>
                <w:color w:val="000000"/>
                <w:szCs w:val="21"/>
              </w:rPr>
            </w:pPr>
            <w:r>
              <w:rPr>
                <w:rFonts w:ascii="宋体" w:hAnsi="宋体"/>
                <w:color w:val="000000"/>
                <w:szCs w:val="21"/>
              </w:rPr>
              <w:t>按需</w:t>
            </w:r>
          </w:p>
        </w:tc>
      </w:tr>
    </w:tbl>
    <w:p>
      <w:pPr>
        <w:snapToGrid w:val="0"/>
        <w:spacing w:line="360" w:lineRule="auto"/>
        <w:ind w:firstLine="420" w:firstLineChars="200"/>
        <w:rPr>
          <w:rFonts w:ascii="宋体" w:hAnsi="宋体"/>
          <w:color w:val="000000"/>
          <w:szCs w:val="21"/>
        </w:rPr>
      </w:pPr>
    </w:p>
    <w:p>
      <w:pPr>
        <w:snapToGrid w:val="0"/>
        <w:spacing w:line="360" w:lineRule="auto"/>
        <w:ind w:firstLine="422" w:firstLineChars="200"/>
        <w:jc w:val="center"/>
        <w:rPr>
          <w:rFonts w:ascii="宋体" w:hAnsi="宋体"/>
          <w:b/>
          <w:bCs/>
          <w:color w:val="000000"/>
          <w:szCs w:val="21"/>
        </w:rPr>
      </w:pPr>
      <w:r>
        <w:rPr>
          <w:rFonts w:ascii="宋体" w:hAnsi="宋体"/>
          <w:b/>
          <w:bCs/>
          <w:color w:val="000000"/>
          <w:szCs w:val="21"/>
        </w:rPr>
        <w:t>中间件巡检内容表</w:t>
      </w:r>
    </w:p>
    <w:tbl>
      <w:tblPr>
        <w:tblStyle w:val="4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684"/>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序号</w:t>
            </w:r>
          </w:p>
        </w:tc>
        <w:tc>
          <w:tcPr>
            <w:tcW w:w="4684"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工作内容</w:t>
            </w:r>
          </w:p>
        </w:tc>
        <w:tc>
          <w:tcPr>
            <w:tcW w:w="2766" w:type="dxa"/>
            <w:gridSpan w:val="3"/>
          </w:tcPr>
          <w:p>
            <w:pPr>
              <w:snapToGrid w:val="0"/>
              <w:spacing w:line="360" w:lineRule="auto"/>
              <w:jc w:val="center"/>
              <w:rPr>
                <w:rFonts w:ascii="宋体" w:hAnsi="宋体"/>
                <w:b/>
                <w:bCs/>
                <w:color w:val="000000"/>
                <w:szCs w:val="21"/>
              </w:rPr>
            </w:pPr>
            <w:r>
              <w:rPr>
                <w:rFonts w:ascii="宋体" w:hAnsi="宋体"/>
                <w:b/>
                <w:bCs/>
                <w:color w:val="000000"/>
                <w:szCs w:val="21"/>
              </w:rPr>
              <w:t>执行周期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vMerge w:val="continue"/>
          </w:tcPr>
          <w:p>
            <w:pPr>
              <w:snapToGrid w:val="0"/>
              <w:spacing w:line="360" w:lineRule="auto"/>
              <w:jc w:val="center"/>
              <w:rPr>
                <w:rFonts w:ascii="宋体" w:hAnsi="宋体"/>
                <w:b/>
                <w:bCs/>
                <w:color w:val="000000"/>
                <w:szCs w:val="21"/>
              </w:rPr>
            </w:pPr>
          </w:p>
        </w:tc>
        <w:tc>
          <w:tcPr>
            <w:tcW w:w="4684" w:type="dxa"/>
            <w:vMerge w:val="continue"/>
          </w:tcPr>
          <w:p>
            <w:pPr>
              <w:snapToGrid w:val="0"/>
              <w:spacing w:line="360" w:lineRule="auto"/>
              <w:jc w:val="center"/>
              <w:rPr>
                <w:rFonts w:ascii="宋体" w:hAnsi="宋体"/>
                <w:b/>
                <w:bCs/>
                <w:color w:val="000000"/>
                <w:szCs w:val="21"/>
              </w:rPr>
            </w:pP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日</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周</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1</w:t>
            </w:r>
          </w:p>
        </w:tc>
        <w:tc>
          <w:tcPr>
            <w:tcW w:w="4684" w:type="dxa"/>
          </w:tcPr>
          <w:p>
            <w:pPr>
              <w:snapToGrid w:val="0"/>
              <w:spacing w:line="360" w:lineRule="auto"/>
              <w:rPr>
                <w:rFonts w:ascii="宋体" w:hAnsi="宋体"/>
                <w:color w:val="000000"/>
                <w:szCs w:val="21"/>
              </w:rPr>
            </w:pPr>
            <w:r>
              <w:rPr>
                <w:rFonts w:ascii="宋体" w:hAnsi="宋体"/>
                <w:color w:val="000000"/>
                <w:szCs w:val="21"/>
              </w:rPr>
              <w:t>运行状态、故障情况巡检</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2</w:t>
            </w:r>
          </w:p>
        </w:tc>
        <w:tc>
          <w:tcPr>
            <w:tcW w:w="4684" w:type="dxa"/>
          </w:tcPr>
          <w:p>
            <w:pPr>
              <w:snapToGrid w:val="0"/>
              <w:spacing w:line="360" w:lineRule="auto"/>
              <w:rPr>
                <w:rFonts w:ascii="宋体" w:hAnsi="宋体"/>
                <w:color w:val="000000"/>
                <w:szCs w:val="21"/>
              </w:rPr>
            </w:pPr>
            <w:r>
              <w:rPr>
                <w:rFonts w:ascii="宋体" w:hAnsi="宋体"/>
                <w:color w:val="000000"/>
                <w:szCs w:val="21"/>
              </w:rPr>
              <w:t>可用性情况及健康状况</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3</w:t>
            </w:r>
          </w:p>
        </w:tc>
        <w:tc>
          <w:tcPr>
            <w:tcW w:w="4684" w:type="dxa"/>
          </w:tcPr>
          <w:p>
            <w:pPr>
              <w:snapToGrid w:val="0"/>
              <w:spacing w:line="360" w:lineRule="auto"/>
              <w:rPr>
                <w:rFonts w:ascii="宋体" w:hAnsi="宋体"/>
                <w:color w:val="000000"/>
                <w:szCs w:val="21"/>
              </w:rPr>
            </w:pPr>
            <w:r>
              <w:rPr>
                <w:rFonts w:ascii="宋体" w:hAnsi="宋体"/>
                <w:color w:val="000000"/>
                <w:szCs w:val="21"/>
              </w:rPr>
              <w:t>运行性能优化及预防性检查</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4</w:t>
            </w:r>
          </w:p>
        </w:tc>
        <w:tc>
          <w:tcPr>
            <w:tcW w:w="4684" w:type="dxa"/>
          </w:tcPr>
          <w:p>
            <w:pPr>
              <w:snapToGrid w:val="0"/>
              <w:spacing w:line="360" w:lineRule="auto"/>
              <w:rPr>
                <w:rFonts w:ascii="宋体" w:hAnsi="宋体"/>
                <w:color w:val="000000"/>
                <w:szCs w:val="21"/>
              </w:rPr>
            </w:pPr>
            <w:r>
              <w:rPr>
                <w:rFonts w:ascii="宋体" w:hAnsi="宋体"/>
                <w:color w:val="000000"/>
                <w:szCs w:val="21"/>
              </w:rPr>
              <w:t>日志文件审查及清理</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5</w:t>
            </w:r>
          </w:p>
        </w:tc>
        <w:tc>
          <w:tcPr>
            <w:tcW w:w="4684" w:type="dxa"/>
          </w:tcPr>
          <w:p>
            <w:pPr>
              <w:snapToGrid w:val="0"/>
              <w:spacing w:line="360" w:lineRule="auto"/>
              <w:rPr>
                <w:rFonts w:ascii="宋体" w:hAnsi="宋体"/>
                <w:color w:val="000000"/>
                <w:szCs w:val="21"/>
              </w:rPr>
            </w:pPr>
            <w:r>
              <w:rPr>
                <w:rFonts w:ascii="宋体" w:hAnsi="宋体"/>
                <w:color w:val="000000"/>
                <w:szCs w:val="21"/>
              </w:rPr>
              <w:t>检查是否需要更新最新补丁集</w:t>
            </w:r>
          </w:p>
        </w:tc>
        <w:tc>
          <w:tcPr>
            <w:tcW w:w="2766" w:type="dxa"/>
            <w:gridSpan w:val="3"/>
          </w:tcPr>
          <w:p>
            <w:pPr>
              <w:snapToGrid w:val="0"/>
              <w:spacing w:line="360" w:lineRule="auto"/>
              <w:jc w:val="center"/>
              <w:rPr>
                <w:rFonts w:ascii="宋体" w:hAnsi="宋体"/>
                <w:color w:val="000000"/>
                <w:szCs w:val="21"/>
              </w:rPr>
            </w:pPr>
            <w:r>
              <w:rPr>
                <w:rFonts w:ascii="宋体" w:hAnsi="宋体"/>
                <w:color w:val="000000"/>
                <w:szCs w:val="21"/>
              </w:rPr>
              <w:t>按需</w:t>
            </w:r>
          </w:p>
        </w:tc>
      </w:tr>
    </w:tbl>
    <w:p>
      <w:pPr>
        <w:snapToGrid w:val="0"/>
        <w:spacing w:line="360" w:lineRule="auto"/>
        <w:ind w:firstLine="422" w:firstLineChars="200"/>
        <w:jc w:val="center"/>
        <w:rPr>
          <w:rFonts w:ascii="宋体" w:hAnsi="宋体"/>
          <w:b/>
          <w:bCs/>
          <w:color w:val="000000"/>
          <w:szCs w:val="21"/>
        </w:rPr>
      </w:pPr>
      <w:bookmarkStart w:id="96" w:name="_Toc29597"/>
    </w:p>
    <w:p>
      <w:pPr>
        <w:snapToGrid w:val="0"/>
        <w:spacing w:line="360" w:lineRule="auto"/>
        <w:ind w:firstLine="422" w:firstLineChars="200"/>
        <w:jc w:val="center"/>
        <w:rPr>
          <w:rFonts w:ascii="宋体" w:hAnsi="宋体"/>
          <w:b/>
          <w:bCs/>
          <w:color w:val="000000"/>
          <w:szCs w:val="21"/>
        </w:rPr>
      </w:pPr>
    </w:p>
    <w:p>
      <w:pPr>
        <w:snapToGrid w:val="0"/>
        <w:spacing w:line="360" w:lineRule="auto"/>
        <w:ind w:firstLine="422" w:firstLineChars="200"/>
        <w:jc w:val="center"/>
        <w:rPr>
          <w:rFonts w:ascii="宋体" w:hAnsi="宋体"/>
          <w:b/>
          <w:bCs/>
          <w:color w:val="000000"/>
          <w:szCs w:val="21"/>
        </w:rPr>
      </w:pPr>
      <w:r>
        <w:rPr>
          <w:rFonts w:ascii="宋体" w:hAnsi="宋体"/>
          <w:b/>
          <w:bCs/>
          <w:color w:val="000000"/>
          <w:szCs w:val="21"/>
        </w:rPr>
        <w:br w:type="page"/>
      </w:r>
      <w:r>
        <w:rPr>
          <w:rFonts w:ascii="宋体" w:hAnsi="宋体"/>
          <w:b/>
          <w:bCs/>
          <w:color w:val="000000"/>
          <w:szCs w:val="21"/>
        </w:rPr>
        <w:t>安全检查内容及周期表</w:t>
      </w:r>
    </w:p>
    <w:tbl>
      <w:tblPr>
        <w:tblStyle w:val="4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684"/>
        <w:gridCol w:w="922"/>
        <w:gridCol w:w="922"/>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5"/>
          </w:tcPr>
          <w:p>
            <w:pPr>
              <w:snapToGrid w:val="0"/>
              <w:spacing w:line="360" w:lineRule="auto"/>
              <w:jc w:val="center"/>
              <w:rPr>
                <w:rFonts w:ascii="宋体" w:hAnsi="宋体"/>
                <w:b/>
                <w:bCs/>
                <w:color w:val="000000"/>
                <w:szCs w:val="21"/>
              </w:rPr>
            </w:pPr>
            <w:r>
              <w:rPr>
                <w:rFonts w:ascii="宋体" w:hAnsi="宋体"/>
                <w:b/>
                <w:bCs/>
                <w:color w:val="000000"/>
                <w:szCs w:val="21"/>
              </w:rPr>
              <w:t>安全检查（需保存检查截图）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序号</w:t>
            </w:r>
          </w:p>
        </w:tc>
        <w:tc>
          <w:tcPr>
            <w:tcW w:w="4684" w:type="dxa"/>
            <w:vMerge w:val="restart"/>
            <w:vAlign w:val="center"/>
          </w:tcPr>
          <w:p>
            <w:pPr>
              <w:snapToGrid w:val="0"/>
              <w:spacing w:line="360" w:lineRule="auto"/>
              <w:jc w:val="center"/>
              <w:rPr>
                <w:rFonts w:ascii="宋体" w:hAnsi="宋体"/>
                <w:b/>
                <w:bCs/>
                <w:color w:val="000000"/>
                <w:szCs w:val="21"/>
              </w:rPr>
            </w:pPr>
            <w:r>
              <w:rPr>
                <w:rFonts w:ascii="宋体" w:hAnsi="宋体"/>
                <w:b/>
                <w:bCs/>
                <w:color w:val="000000"/>
                <w:szCs w:val="21"/>
              </w:rPr>
              <w:t>工作内容</w:t>
            </w:r>
          </w:p>
        </w:tc>
        <w:tc>
          <w:tcPr>
            <w:tcW w:w="2766" w:type="dxa"/>
            <w:gridSpan w:val="3"/>
          </w:tcPr>
          <w:p>
            <w:pPr>
              <w:snapToGrid w:val="0"/>
              <w:spacing w:line="360" w:lineRule="auto"/>
              <w:jc w:val="center"/>
              <w:rPr>
                <w:rFonts w:ascii="宋体" w:hAnsi="宋体"/>
                <w:b/>
                <w:bCs/>
                <w:color w:val="000000"/>
                <w:szCs w:val="21"/>
              </w:rPr>
            </w:pPr>
            <w:r>
              <w:rPr>
                <w:rFonts w:ascii="宋体" w:hAnsi="宋体"/>
                <w:b/>
                <w:bCs/>
                <w:color w:val="000000"/>
                <w:szCs w:val="21"/>
              </w:rPr>
              <w:t>执行周期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Pr>
          <w:p>
            <w:pPr>
              <w:snapToGrid w:val="0"/>
              <w:spacing w:line="360" w:lineRule="auto"/>
              <w:jc w:val="center"/>
              <w:rPr>
                <w:rFonts w:ascii="宋体" w:hAnsi="宋体"/>
                <w:b/>
                <w:bCs/>
                <w:color w:val="000000"/>
                <w:szCs w:val="21"/>
              </w:rPr>
            </w:pPr>
          </w:p>
        </w:tc>
        <w:tc>
          <w:tcPr>
            <w:tcW w:w="4684" w:type="dxa"/>
            <w:vMerge w:val="continue"/>
          </w:tcPr>
          <w:p>
            <w:pPr>
              <w:snapToGrid w:val="0"/>
              <w:spacing w:line="360" w:lineRule="auto"/>
              <w:jc w:val="center"/>
              <w:rPr>
                <w:rFonts w:ascii="宋体" w:hAnsi="宋体"/>
                <w:b/>
                <w:bCs/>
                <w:color w:val="000000"/>
                <w:szCs w:val="21"/>
              </w:rPr>
            </w:pP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日</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周</w:t>
            </w:r>
          </w:p>
        </w:tc>
        <w:tc>
          <w:tcPr>
            <w:tcW w:w="922" w:type="dxa"/>
          </w:tcPr>
          <w:p>
            <w:pPr>
              <w:snapToGrid w:val="0"/>
              <w:spacing w:line="360" w:lineRule="auto"/>
              <w:jc w:val="center"/>
              <w:rPr>
                <w:rFonts w:ascii="宋体" w:hAnsi="宋体"/>
                <w:b/>
                <w:bCs/>
                <w:color w:val="000000"/>
                <w:szCs w:val="21"/>
              </w:rPr>
            </w:pPr>
            <w:r>
              <w:rPr>
                <w:rFonts w:ascii="宋体" w:hAnsi="宋体"/>
                <w:b/>
                <w:bCs/>
                <w:color w:val="000000"/>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1</w:t>
            </w:r>
          </w:p>
        </w:tc>
        <w:tc>
          <w:tcPr>
            <w:tcW w:w="4684" w:type="dxa"/>
          </w:tcPr>
          <w:p>
            <w:pPr>
              <w:snapToGrid w:val="0"/>
              <w:spacing w:line="360" w:lineRule="auto"/>
              <w:jc w:val="left"/>
              <w:rPr>
                <w:rFonts w:ascii="宋体" w:hAnsi="宋体"/>
                <w:color w:val="000000"/>
                <w:szCs w:val="21"/>
              </w:rPr>
            </w:pPr>
            <w:r>
              <w:rPr>
                <w:rFonts w:ascii="宋体" w:hAnsi="宋体"/>
                <w:color w:val="000000"/>
                <w:szCs w:val="21"/>
              </w:rPr>
              <w:t>应用备份</w:t>
            </w: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c>
          <w:tcPr>
            <w:tcW w:w="922" w:type="dxa"/>
          </w:tcPr>
          <w:p>
            <w:pPr>
              <w:snapToGrid w:val="0"/>
              <w:spacing w:line="360" w:lineRule="auto"/>
              <w:jc w:val="center"/>
              <w:rPr>
                <w:rFonts w:ascii="宋体" w:hAnsi="宋体"/>
                <w:color w:val="000000"/>
                <w:szCs w:val="21"/>
              </w:rPr>
            </w:pPr>
          </w:p>
        </w:tc>
        <w:tc>
          <w:tcPr>
            <w:tcW w:w="922" w:type="dxa"/>
          </w:tcPr>
          <w:p>
            <w:pPr>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napToGrid w:val="0"/>
              <w:spacing w:line="360" w:lineRule="auto"/>
              <w:jc w:val="center"/>
              <w:rPr>
                <w:rFonts w:ascii="宋体" w:hAnsi="宋体"/>
                <w:color w:val="000000"/>
                <w:szCs w:val="21"/>
              </w:rPr>
            </w:pPr>
            <w:r>
              <w:rPr>
                <w:rFonts w:ascii="宋体" w:hAnsi="宋体"/>
                <w:color w:val="000000"/>
                <w:szCs w:val="21"/>
              </w:rPr>
              <w:t>2</w:t>
            </w:r>
          </w:p>
        </w:tc>
        <w:tc>
          <w:tcPr>
            <w:tcW w:w="4684" w:type="dxa"/>
          </w:tcPr>
          <w:p>
            <w:pPr>
              <w:snapToGrid w:val="0"/>
              <w:spacing w:line="360" w:lineRule="auto"/>
              <w:jc w:val="left"/>
              <w:rPr>
                <w:rFonts w:ascii="宋体" w:hAnsi="宋体"/>
                <w:color w:val="000000"/>
                <w:szCs w:val="21"/>
              </w:rPr>
            </w:pPr>
            <w:r>
              <w:rPr>
                <w:rFonts w:ascii="宋体" w:hAnsi="宋体"/>
                <w:color w:val="000000"/>
                <w:szCs w:val="21"/>
              </w:rPr>
              <w:t>杀毒软件升级</w:t>
            </w:r>
          </w:p>
        </w:tc>
        <w:tc>
          <w:tcPr>
            <w:tcW w:w="922" w:type="dxa"/>
          </w:tcPr>
          <w:p>
            <w:pPr>
              <w:snapToGrid w:val="0"/>
              <w:spacing w:line="360" w:lineRule="auto"/>
              <w:rPr>
                <w:rFonts w:ascii="宋体" w:hAnsi="宋体"/>
                <w:color w:val="000000"/>
                <w:szCs w:val="21"/>
              </w:rPr>
            </w:pPr>
          </w:p>
        </w:tc>
        <w:tc>
          <w:tcPr>
            <w:tcW w:w="922" w:type="dxa"/>
          </w:tcPr>
          <w:p>
            <w:pPr>
              <w:snapToGrid w:val="0"/>
              <w:spacing w:line="360" w:lineRule="auto"/>
              <w:jc w:val="center"/>
              <w:rPr>
                <w:rFonts w:ascii="宋体" w:hAnsi="宋体"/>
                <w:color w:val="000000"/>
                <w:szCs w:val="21"/>
              </w:rPr>
            </w:pPr>
          </w:p>
        </w:tc>
        <w:tc>
          <w:tcPr>
            <w:tcW w:w="922" w:type="dxa"/>
          </w:tcPr>
          <w:p>
            <w:pPr>
              <w:snapToGrid w:val="0"/>
              <w:spacing w:line="360" w:lineRule="auto"/>
              <w:jc w:val="center"/>
              <w:rPr>
                <w:rFonts w:ascii="宋体" w:hAnsi="宋体"/>
                <w:color w:val="000000"/>
                <w:szCs w:val="21"/>
              </w:rPr>
            </w:pPr>
            <w:r>
              <w:rPr>
                <w:rFonts w:ascii="宋体" w:hAnsi="宋体"/>
                <w:color w:val="000000"/>
                <w:szCs w:val="21"/>
              </w:rPr>
              <w:t>√</w:t>
            </w:r>
          </w:p>
        </w:tc>
      </w:tr>
    </w:tbl>
    <w:p>
      <w:pPr>
        <w:snapToGrid w:val="0"/>
        <w:spacing w:line="360" w:lineRule="auto"/>
        <w:ind w:firstLine="420" w:firstLineChars="200"/>
        <w:rPr>
          <w:rFonts w:ascii="宋体" w:hAnsi="宋体"/>
          <w:szCs w:val="21"/>
        </w:rPr>
      </w:pPr>
      <w:bookmarkStart w:id="97" w:name="_Toc14692"/>
      <w:bookmarkStart w:id="98" w:name="_Toc637"/>
      <w:bookmarkStart w:id="99" w:name="_Toc7117"/>
      <w:bookmarkStart w:id="100" w:name="_Toc498"/>
      <w:bookmarkStart w:id="101" w:name="_Toc18804"/>
      <w:bookmarkStart w:id="102" w:name="_Toc7177"/>
      <w:bookmarkStart w:id="103" w:name="_Toc30566"/>
      <w:bookmarkStart w:id="104" w:name="_Toc27251"/>
      <w:bookmarkStart w:id="105" w:name="_Toc9633"/>
      <w:bookmarkStart w:id="106" w:name="_Toc20328"/>
      <w:bookmarkStart w:id="107" w:name="_Toc28107"/>
      <w:r>
        <w:rPr>
          <w:rFonts w:ascii="宋体" w:hAnsi="宋体"/>
          <w:szCs w:val="21"/>
        </w:rPr>
        <w:t>（四）应用系统运维</w:t>
      </w:r>
      <w:bookmarkEnd w:id="96"/>
      <w:bookmarkEnd w:id="97"/>
      <w:bookmarkEnd w:id="98"/>
      <w:bookmarkEnd w:id="99"/>
      <w:bookmarkEnd w:id="100"/>
      <w:bookmarkEnd w:id="101"/>
      <w:bookmarkEnd w:id="102"/>
      <w:bookmarkEnd w:id="103"/>
      <w:bookmarkEnd w:id="104"/>
      <w:bookmarkEnd w:id="105"/>
      <w:bookmarkEnd w:id="106"/>
      <w:bookmarkEnd w:id="107"/>
    </w:p>
    <w:p>
      <w:pPr>
        <w:snapToGrid w:val="0"/>
        <w:spacing w:line="360" w:lineRule="auto"/>
        <w:ind w:firstLine="420" w:firstLineChars="200"/>
        <w:rPr>
          <w:rFonts w:ascii="宋体" w:hAnsi="宋体"/>
          <w:szCs w:val="21"/>
        </w:rPr>
      </w:pPr>
      <w:r>
        <w:rPr>
          <w:rFonts w:ascii="宋体" w:hAnsi="宋体"/>
          <w:szCs w:val="21"/>
        </w:rPr>
        <w:t>1.权限调整</w:t>
      </w:r>
    </w:p>
    <w:p>
      <w:pPr>
        <w:snapToGrid w:val="0"/>
        <w:spacing w:line="360" w:lineRule="auto"/>
        <w:ind w:firstLine="420" w:firstLineChars="200"/>
        <w:rPr>
          <w:rFonts w:ascii="宋体" w:hAnsi="宋体"/>
          <w:szCs w:val="21"/>
        </w:rPr>
      </w:pPr>
      <w:r>
        <w:rPr>
          <w:rFonts w:ascii="宋体" w:hAnsi="宋体"/>
          <w:szCs w:val="21"/>
        </w:rPr>
        <w:t>负责维护系统菜单权限变更，人员权限变更，新增、删除、修改用户信息等后台管理功能。</w:t>
      </w:r>
    </w:p>
    <w:p>
      <w:pPr>
        <w:snapToGrid w:val="0"/>
        <w:spacing w:line="360" w:lineRule="auto"/>
        <w:ind w:firstLine="420" w:firstLineChars="200"/>
        <w:rPr>
          <w:rFonts w:ascii="宋体" w:hAnsi="宋体"/>
          <w:szCs w:val="21"/>
        </w:rPr>
      </w:pPr>
      <w:r>
        <w:rPr>
          <w:rFonts w:ascii="宋体" w:hAnsi="宋体"/>
          <w:szCs w:val="21"/>
        </w:rPr>
        <w:t>2.业务咨询</w:t>
      </w:r>
    </w:p>
    <w:p>
      <w:pPr>
        <w:snapToGrid w:val="0"/>
        <w:spacing w:line="360" w:lineRule="auto"/>
        <w:ind w:firstLine="420" w:firstLineChars="200"/>
        <w:rPr>
          <w:rFonts w:ascii="宋体" w:hAnsi="宋体"/>
          <w:szCs w:val="21"/>
        </w:rPr>
      </w:pPr>
      <w:r>
        <w:rPr>
          <w:rFonts w:ascii="宋体" w:hAnsi="宋体"/>
          <w:szCs w:val="21"/>
        </w:rPr>
        <w:t>如系统操作、流程流转、字段含义、系统功能使用、某项新功能的相关业务、技术实现情况等。</w:t>
      </w:r>
    </w:p>
    <w:p>
      <w:pPr>
        <w:snapToGrid w:val="0"/>
        <w:spacing w:line="360" w:lineRule="auto"/>
        <w:ind w:firstLine="420" w:firstLineChars="200"/>
        <w:rPr>
          <w:rFonts w:ascii="宋体" w:hAnsi="宋体"/>
          <w:szCs w:val="21"/>
        </w:rPr>
      </w:pPr>
      <w:r>
        <w:rPr>
          <w:rFonts w:ascii="宋体" w:hAnsi="宋体"/>
          <w:szCs w:val="21"/>
        </w:rPr>
        <w:t>3.系统缺陷</w:t>
      </w:r>
    </w:p>
    <w:p>
      <w:pPr>
        <w:snapToGrid w:val="0"/>
        <w:spacing w:line="360" w:lineRule="auto"/>
        <w:ind w:firstLine="420" w:firstLineChars="200"/>
        <w:rPr>
          <w:rFonts w:ascii="宋体" w:hAnsi="宋体"/>
          <w:szCs w:val="21"/>
        </w:rPr>
      </w:pPr>
      <w:r>
        <w:rPr>
          <w:rFonts w:ascii="宋体" w:hAnsi="宋体"/>
          <w:szCs w:val="21"/>
        </w:rPr>
        <w:t>对系统或应用在电脑端（含国产电脑）、移动端上运行时存在的缺陷进行处理、记录、反馈。</w:t>
      </w:r>
    </w:p>
    <w:p>
      <w:pPr>
        <w:snapToGrid w:val="0"/>
        <w:spacing w:line="360" w:lineRule="auto"/>
        <w:ind w:firstLine="420" w:firstLineChars="200"/>
        <w:rPr>
          <w:rFonts w:ascii="宋体" w:hAnsi="宋体"/>
          <w:szCs w:val="21"/>
        </w:rPr>
      </w:pPr>
      <w:r>
        <w:rPr>
          <w:rFonts w:ascii="宋体" w:hAnsi="宋体"/>
          <w:szCs w:val="21"/>
        </w:rPr>
        <w:t>4.数据调整</w:t>
      </w:r>
    </w:p>
    <w:p>
      <w:pPr>
        <w:snapToGrid w:val="0"/>
        <w:spacing w:line="360" w:lineRule="auto"/>
        <w:ind w:firstLine="420" w:firstLineChars="200"/>
        <w:rPr>
          <w:rFonts w:ascii="宋体" w:hAnsi="宋体"/>
          <w:szCs w:val="21"/>
        </w:rPr>
      </w:pPr>
      <w:r>
        <w:rPr>
          <w:rFonts w:ascii="宋体" w:hAnsi="宋体"/>
          <w:szCs w:val="21"/>
        </w:rPr>
        <w:t>用户使用系统存在录入错误、数据调整信息，需要修改、删除数据。</w:t>
      </w:r>
    </w:p>
    <w:p>
      <w:pPr>
        <w:snapToGrid w:val="0"/>
        <w:spacing w:line="360" w:lineRule="auto"/>
        <w:ind w:firstLine="420" w:firstLineChars="200"/>
        <w:rPr>
          <w:rFonts w:ascii="宋体" w:hAnsi="宋体"/>
          <w:szCs w:val="21"/>
        </w:rPr>
      </w:pPr>
      <w:r>
        <w:rPr>
          <w:rFonts w:ascii="宋体" w:hAnsi="宋体"/>
          <w:szCs w:val="21"/>
        </w:rPr>
        <w:t>5.工作配合</w:t>
      </w:r>
    </w:p>
    <w:p>
      <w:pPr>
        <w:snapToGrid w:val="0"/>
        <w:spacing w:line="360" w:lineRule="auto"/>
        <w:ind w:firstLine="420" w:firstLineChars="200"/>
        <w:rPr>
          <w:rFonts w:ascii="宋体" w:hAnsi="宋体"/>
          <w:szCs w:val="21"/>
        </w:rPr>
      </w:pPr>
      <w:r>
        <w:rPr>
          <w:rFonts w:ascii="宋体" w:hAnsi="宋体"/>
          <w:szCs w:val="21"/>
        </w:rPr>
        <w:t>协助处理表格、文档的编写、数据汇总统计、数据流转、流程退回、提供操作手册等具体工作。建立系统服务器、操作系统、系统数据库、系统中间件、软件基础平台和服务器网络策略开通情况等信息清单，并及时更新清单数据。</w:t>
      </w:r>
    </w:p>
    <w:p>
      <w:pPr>
        <w:snapToGrid w:val="0"/>
        <w:spacing w:line="360" w:lineRule="auto"/>
        <w:ind w:firstLine="420" w:firstLineChars="200"/>
        <w:rPr>
          <w:rFonts w:ascii="宋体" w:hAnsi="宋体"/>
          <w:szCs w:val="21"/>
        </w:rPr>
      </w:pPr>
      <w:r>
        <w:rPr>
          <w:rFonts w:ascii="宋体" w:hAnsi="宋体"/>
          <w:szCs w:val="21"/>
        </w:rPr>
        <w:t>6.功能调整</w:t>
      </w:r>
    </w:p>
    <w:p>
      <w:pPr>
        <w:snapToGrid w:val="0"/>
        <w:spacing w:line="360" w:lineRule="auto"/>
        <w:ind w:firstLine="420" w:firstLineChars="200"/>
        <w:rPr>
          <w:rFonts w:ascii="宋体" w:hAnsi="宋体"/>
          <w:szCs w:val="21"/>
        </w:rPr>
      </w:pPr>
      <w:r>
        <w:rPr>
          <w:rFonts w:ascii="宋体" w:hAnsi="宋体"/>
          <w:szCs w:val="21"/>
        </w:rPr>
        <w:t>根据实际业务需求，对不偏离原项目建设内容和系统功能10%的内容进行系统调整。包括但不限于：由于人员变动、业务变动、政策变动等原因，引起的需要额外增加业务功能模块、系统升级或与自治区、国家等第三方系统进行对接等。</w:t>
      </w:r>
    </w:p>
    <w:p>
      <w:pPr>
        <w:snapToGrid w:val="0"/>
        <w:spacing w:line="360" w:lineRule="auto"/>
        <w:ind w:firstLine="420" w:firstLineChars="200"/>
        <w:rPr>
          <w:rFonts w:ascii="宋体" w:hAnsi="宋体"/>
          <w:szCs w:val="21"/>
        </w:rPr>
      </w:pPr>
      <w:bookmarkStart w:id="108" w:name="_Toc22844"/>
      <w:bookmarkStart w:id="109" w:name="_Toc10723"/>
      <w:bookmarkStart w:id="110" w:name="_Toc24994"/>
      <w:bookmarkStart w:id="111" w:name="_Toc32447"/>
      <w:bookmarkStart w:id="112" w:name="_Toc18399"/>
      <w:bookmarkStart w:id="113" w:name="_Toc30514"/>
      <w:bookmarkStart w:id="114" w:name="_Toc12433"/>
      <w:bookmarkStart w:id="115" w:name="_Toc19859"/>
      <w:bookmarkStart w:id="116" w:name="_Toc30147"/>
      <w:bookmarkStart w:id="117" w:name="_Toc3494"/>
      <w:bookmarkStart w:id="118" w:name="_Toc22121"/>
      <w:bookmarkStart w:id="119" w:name="_Toc27768"/>
      <w:r>
        <w:rPr>
          <w:rFonts w:ascii="宋体" w:hAnsi="宋体"/>
          <w:szCs w:val="21"/>
        </w:rPr>
        <w:t>7.数据库运维</w:t>
      </w:r>
      <w:bookmarkEnd w:id="108"/>
      <w:bookmarkEnd w:id="109"/>
      <w:bookmarkEnd w:id="110"/>
      <w:bookmarkEnd w:id="111"/>
      <w:bookmarkEnd w:id="112"/>
      <w:bookmarkEnd w:id="113"/>
      <w:bookmarkEnd w:id="114"/>
      <w:bookmarkEnd w:id="115"/>
      <w:bookmarkEnd w:id="116"/>
      <w:bookmarkEnd w:id="117"/>
      <w:bookmarkEnd w:id="118"/>
      <w:bookmarkEnd w:id="119"/>
    </w:p>
    <w:p>
      <w:pPr>
        <w:snapToGrid w:val="0"/>
        <w:spacing w:line="360" w:lineRule="auto"/>
        <w:ind w:firstLine="420" w:firstLineChars="200"/>
        <w:rPr>
          <w:rFonts w:ascii="宋体" w:hAnsi="宋体"/>
          <w:szCs w:val="21"/>
        </w:rPr>
      </w:pPr>
      <w:r>
        <w:rPr>
          <w:rFonts w:ascii="宋体" w:hAnsi="宋体"/>
          <w:szCs w:val="21"/>
        </w:rPr>
        <w:t>根据实际需求，负责维护各系统数据库的备份/还原、监控、故障处理、性能优化、容灾、升级/迁移等问题。</w:t>
      </w:r>
    </w:p>
    <w:p>
      <w:pPr>
        <w:snapToGrid w:val="0"/>
        <w:spacing w:line="360" w:lineRule="auto"/>
        <w:ind w:firstLine="420" w:firstLineChars="200"/>
        <w:rPr>
          <w:rFonts w:ascii="宋体" w:hAnsi="宋体"/>
          <w:szCs w:val="21"/>
        </w:rPr>
      </w:pPr>
      <w:r>
        <w:rPr>
          <w:rFonts w:ascii="宋体" w:hAnsi="宋体"/>
          <w:szCs w:val="21"/>
        </w:rPr>
        <w:t>8.数据备份/还原</w:t>
      </w:r>
    </w:p>
    <w:p>
      <w:pPr>
        <w:snapToGrid w:val="0"/>
        <w:spacing w:line="360" w:lineRule="auto"/>
        <w:ind w:firstLine="420" w:firstLineChars="200"/>
        <w:rPr>
          <w:rFonts w:ascii="宋体" w:hAnsi="宋体"/>
          <w:szCs w:val="21"/>
        </w:rPr>
      </w:pPr>
      <w:r>
        <w:rPr>
          <w:rFonts w:ascii="宋体" w:hAnsi="宋体"/>
          <w:szCs w:val="21"/>
        </w:rPr>
        <w:t>针对不同的服务器制定不同类型的备份，备份策略设置为每日两次增量备份和全量备份。在运维服务期间，应按照备份策略进行备份。对数据备份情况进行跟踪，检查频率为每周一次，并在提交的运维报告中记录。</w:t>
      </w:r>
    </w:p>
    <w:p>
      <w:pPr>
        <w:snapToGrid w:val="0"/>
        <w:spacing w:line="360" w:lineRule="auto"/>
        <w:ind w:firstLine="420" w:firstLineChars="200"/>
        <w:rPr>
          <w:rFonts w:ascii="宋体" w:hAnsi="宋体"/>
          <w:szCs w:val="21"/>
        </w:rPr>
      </w:pPr>
      <w:r>
        <w:rPr>
          <w:rFonts w:ascii="宋体" w:hAnsi="宋体"/>
          <w:szCs w:val="21"/>
        </w:rPr>
        <w:t>备份数据包括基础数据、业务数据，图片、视频等非结构化数据等。可根据数据内容的不同分为人工手动备份和备份软件自动备份。</w:t>
      </w:r>
    </w:p>
    <w:p>
      <w:pPr>
        <w:snapToGrid w:val="0"/>
        <w:spacing w:line="360" w:lineRule="auto"/>
        <w:ind w:firstLine="420" w:firstLineChars="200"/>
        <w:rPr>
          <w:rFonts w:ascii="宋体" w:hAnsi="宋体"/>
          <w:szCs w:val="21"/>
        </w:rPr>
      </w:pPr>
      <w:r>
        <w:rPr>
          <w:rFonts w:ascii="宋体" w:hAnsi="宋体"/>
          <w:szCs w:val="21"/>
        </w:rPr>
        <w:t>应用程序出错则采用最近一次的备份数据恢复相关内容。</w:t>
      </w:r>
    </w:p>
    <w:p>
      <w:pPr>
        <w:snapToGrid w:val="0"/>
        <w:spacing w:line="360" w:lineRule="auto"/>
        <w:ind w:firstLine="420" w:firstLineChars="200"/>
        <w:rPr>
          <w:rFonts w:ascii="宋体" w:hAnsi="宋体"/>
          <w:szCs w:val="21"/>
        </w:rPr>
      </w:pPr>
      <w:r>
        <w:rPr>
          <w:rFonts w:ascii="宋体" w:hAnsi="宋体"/>
          <w:szCs w:val="21"/>
        </w:rPr>
        <w:t>9.数据库监控</w:t>
      </w:r>
    </w:p>
    <w:p>
      <w:pPr>
        <w:snapToGrid w:val="0"/>
        <w:spacing w:line="360" w:lineRule="auto"/>
        <w:ind w:firstLine="420" w:firstLineChars="200"/>
        <w:rPr>
          <w:rFonts w:ascii="宋体" w:hAnsi="宋体"/>
          <w:szCs w:val="21"/>
        </w:rPr>
      </w:pPr>
      <w:r>
        <w:rPr>
          <w:rFonts w:ascii="宋体" w:hAnsi="宋体"/>
          <w:szCs w:val="21"/>
        </w:rPr>
        <w:t>对数据库进行监控，保证数据库系统安全、稳定及性能优化，进行健康检查。完善数据库存活和性能监控，及时了解数据库运行状态及故障。</w:t>
      </w:r>
    </w:p>
    <w:p>
      <w:pPr>
        <w:snapToGrid w:val="0"/>
        <w:spacing w:line="360" w:lineRule="auto"/>
        <w:ind w:firstLine="420" w:firstLineChars="200"/>
        <w:rPr>
          <w:rFonts w:ascii="宋体" w:hAnsi="宋体"/>
          <w:szCs w:val="21"/>
        </w:rPr>
      </w:pPr>
      <w:r>
        <w:rPr>
          <w:rFonts w:ascii="宋体" w:hAnsi="宋体"/>
          <w:szCs w:val="21"/>
        </w:rPr>
        <w:t>10.数据库安全</w:t>
      </w:r>
    </w:p>
    <w:p>
      <w:pPr>
        <w:snapToGrid w:val="0"/>
        <w:spacing w:line="360" w:lineRule="auto"/>
        <w:ind w:firstLine="420" w:firstLineChars="200"/>
        <w:rPr>
          <w:rFonts w:ascii="宋体" w:hAnsi="宋体"/>
          <w:szCs w:val="21"/>
        </w:rPr>
      </w:pPr>
      <w:r>
        <w:rPr>
          <w:rFonts w:ascii="宋体" w:hAnsi="宋体"/>
          <w:szCs w:val="21"/>
        </w:rPr>
        <w:t>建设数据库账号体系，严格控制账号权限与开放范围，降低误操作和数据泄露的风险；加强离线备份数据的管理，降低数据泄露的风险。</w:t>
      </w:r>
    </w:p>
    <w:p>
      <w:pPr>
        <w:snapToGrid w:val="0"/>
        <w:spacing w:line="360" w:lineRule="auto"/>
        <w:ind w:firstLine="420" w:firstLineChars="200"/>
        <w:rPr>
          <w:rFonts w:ascii="宋体" w:hAnsi="宋体"/>
          <w:szCs w:val="21"/>
        </w:rPr>
      </w:pPr>
      <w:bookmarkStart w:id="120" w:name="_Toc11693"/>
      <w:bookmarkStart w:id="121" w:name="_Toc641"/>
      <w:bookmarkStart w:id="122" w:name="_Toc15685"/>
      <w:bookmarkStart w:id="123" w:name="_Toc21218"/>
      <w:bookmarkStart w:id="124" w:name="_Toc30333"/>
      <w:bookmarkStart w:id="125" w:name="_Toc3139"/>
      <w:bookmarkStart w:id="126" w:name="_Toc22458"/>
      <w:bookmarkStart w:id="127" w:name="_Toc12777"/>
      <w:bookmarkStart w:id="128" w:name="_Toc25279"/>
      <w:bookmarkStart w:id="129" w:name="_Toc31430"/>
      <w:bookmarkStart w:id="130" w:name="_Toc23800"/>
      <w:bookmarkStart w:id="131" w:name="_Toc2567"/>
      <w:r>
        <w:rPr>
          <w:rFonts w:ascii="宋体" w:hAnsi="宋体"/>
          <w:szCs w:val="21"/>
        </w:rPr>
        <w:t>（五）系统安全保障</w:t>
      </w:r>
      <w:bookmarkEnd w:id="120"/>
      <w:bookmarkEnd w:id="121"/>
      <w:bookmarkEnd w:id="122"/>
      <w:bookmarkEnd w:id="123"/>
      <w:bookmarkEnd w:id="124"/>
      <w:bookmarkEnd w:id="125"/>
      <w:bookmarkEnd w:id="126"/>
      <w:bookmarkEnd w:id="127"/>
      <w:bookmarkEnd w:id="128"/>
      <w:bookmarkEnd w:id="129"/>
      <w:bookmarkEnd w:id="130"/>
      <w:bookmarkEnd w:id="131"/>
    </w:p>
    <w:p>
      <w:pPr>
        <w:snapToGrid w:val="0"/>
        <w:spacing w:line="360" w:lineRule="auto"/>
        <w:ind w:firstLine="420" w:firstLineChars="200"/>
        <w:rPr>
          <w:rFonts w:ascii="宋体" w:hAnsi="宋体"/>
          <w:szCs w:val="21"/>
        </w:rPr>
      </w:pPr>
      <w:r>
        <w:rPr>
          <w:rFonts w:ascii="宋体" w:hAnsi="宋体"/>
          <w:szCs w:val="21"/>
        </w:rPr>
        <w:t>1.数据备份</w:t>
      </w:r>
    </w:p>
    <w:p>
      <w:pPr>
        <w:snapToGrid w:val="0"/>
        <w:spacing w:line="360" w:lineRule="auto"/>
        <w:ind w:firstLine="420" w:firstLineChars="200"/>
        <w:rPr>
          <w:rFonts w:ascii="宋体" w:hAnsi="宋体"/>
          <w:szCs w:val="21"/>
        </w:rPr>
      </w:pPr>
      <w:r>
        <w:rPr>
          <w:rFonts w:ascii="宋体" w:hAnsi="宋体"/>
          <w:szCs w:val="21"/>
        </w:rPr>
        <w:t>确保应用数量、应用备份配置情况、应用异地备份情况及数据的安全性和完整性。在系统出现问题时，及时进行数据恢复，保证系统的正常运行。</w:t>
      </w:r>
    </w:p>
    <w:p>
      <w:pPr>
        <w:snapToGrid w:val="0"/>
        <w:spacing w:line="360" w:lineRule="auto"/>
        <w:ind w:firstLine="420" w:firstLineChars="200"/>
        <w:rPr>
          <w:rFonts w:ascii="宋体" w:hAnsi="宋体"/>
          <w:szCs w:val="21"/>
        </w:rPr>
      </w:pPr>
      <w:r>
        <w:rPr>
          <w:rFonts w:ascii="宋体" w:hAnsi="宋体"/>
          <w:szCs w:val="21"/>
        </w:rPr>
        <w:t>2.系统更新与升级</w:t>
      </w:r>
    </w:p>
    <w:p>
      <w:pPr>
        <w:snapToGrid w:val="0"/>
        <w:spacing w:line="360" w:lineRule="auto"/>
        <w:ind w:firstLine="420" w:firstLineChars="200"/>
        <w:rPr>
          <w:rFonts w:ascii="宋体" w:hAnsi="宋体"/>
          <w:szCs w:val="21"/>
        </w:rPr>
      </w:pPr>
      <w:r>
        <w:rPr>
          <w:rFonts w:ascii="宋体" w:hAnsi="宋体"/>
          <w:szCs w:val="21"/>
        </w:rPr>
        <w:t>根据系统的需求和厂商的发布，及时更新和升级系统，以提高系统的性能和安全性。</w:t>
      </w:r>
    </w:p>
    <w:p>
      <w:pPr>
        <w:snapToGrid w:val="0"/>
        <w:spacing w:line="360" w:lineRule="auto"/>
        <w:ind w:firstLine="420" w:firstLineChars="200"/>
        <w:rPr>
          <w:rFonts w:ascii="宋体" w:hAnsi="宋体"/>
          <w:szCs w:val="21"/>
        </w:rPr>
      </w:pPr>
      <w:r>
        <w:rPr>
          <w:rFonts w:ascii="宋体" w:hAnsi="宋体"/>
          <w:szCs w:val="21"/>
        </w:rPr>
        <w:t>3.杀毒软件升级情况</w:t>
      </w:r>
    </w:p>
    <w:p>
      <w:pPr>
        <w:snapToGrid w:val="0"/>
        <w:spacing w:line="360" w:lineRule="auto"/>
        <w:ind w:firstLine="420" w:firstLineChars="200"/>
        <w:rPr>
          <w:rFonts w:ascii="宋体" w:hAnsi="宋体"/>
          <w:szCs w:val="21"/>
        </w:rPr>
      </w:pPr>
      <w:r>
        <w:rPr>
          <w:rFonts w:ascii="宋体" w:hAnsi="宋体"/>
          <w:szCs w:val="21"/>
        </w:rPr>
        <w:t>按信息中心要求安装相应的杀毒软件</w:t>
      </w:r>
      <w:r>
        <w:rPr>
          <w:rFonts w:hint="eastAsia" w:ascii="宋体" w:hAnsi="宋体"/>
          <w:szCs w:val="21"/>
        </w:rPr>
        <w:t>、插件、组件等</w:t>
      </w:r>
      <w:r>
        <w:rPr>
          <w:rFonts w:ascii="宋体" w:hAnsi="宋体"/>
          <w:szCs w:val="21"/>
        </w:rPr>
        <w:t>，并及时进行版本更新，定期检查、汇报。</w:t>
      </w:r>
    </w:p>
    <w:p>
      <w:pPr>
        <w:snapToGrid w:val="0"/>
        <w:spacing w:line="360" w:lineRule="auto"/>
        <w:ind w:firstLine="420" w:firstLineChars="200"/>
        <w:rPr>
          <w:rFonts w:ascii="宋体" w:hAnsi="宋体"/>
          <w:szCs w:val="21"/>
        </w:rPr>
      </w:pPr>
      <w:r>
        <w:rPr>
          <w:rFonts w:ascii="宋体" w:hAnsi="宋体"/>
          <w:szCs w:val="21"/>
        </w:rPr>
        <w:t>4.等保测评情况</w:t>
      </w:r>
    </w:p>
    <w:p>
      <w:pPr>
        <w:snapToGrid w:val="0"/>
        <w:spacing w:line="360" w:lineRule="auto"/>
        <w:ind w:firstLine="420" w:firstLineChars="200"/>
        <w:rPr>
          <w:rFonts w:ascii="宋体" w:hAnsi="宋体"/>
          <w:szCs w:val="21"/>
        </w:rPr>
      </w:pPr>
      <w:r>
        <w:rPr>
          <w:rFonts w:ascii="宋体" w:hAnsi="宋体"/>
          <w:szCs w:val="21"/>
        </w:rPr>
        <w:t>根据等保测评或第三方检测机构检测出的安全问题和信息中心要求对系统进行整改。</w:t>
      </w:r>
    </w:p>
    <w:p>
      <w:pPr>
        <w:snapToGrid w:val="0"/>
        <w:spacing w:line="360" w:lineRule="auto"/>
        <w:ind w:firstLine="420" w:firstLineChars="200"/>
        <w:rPr>
          <w:rFonts w:ascii="宋体" w:hAnsi="宋体"/>
          <w:szCs w:val="21"/>
        </w:rPr>
      </w:pPr>
      <w:r>
        <w:rPr>
          <w:rFonts w:ascii="宋体" w:hAnsi="宋体"/>
          <w:szCs w:val="21"/>
        </w:rPr>
        <w:t>5.修复扫描的安全漏洞</w:t>
      </w:r>
      <w:bookmarkStart w:id="132" w:name="_Toc20767"/>
      <w:bookmarkStart w:id="133" w:name="_Toc25203"/>
      <w:bookmarkStart w:id="134" w:name="_Toc63"/>
      <w:bookmarkStart w:id="135" w:name="_Toc11310"/>
      <w:bookmarkStart w:id="136" w:name="_Toc19753"/>
      <w:bookmarkStart w:id="137" w:name="_Toc32278"/>
      <w:bookmarkStart w:id="138" w:name="_Toc11712"/>
      <w:bookmarkStart w:id="139" w:name="_Toc22400"/>
      <w:bookmarkStart w:id="140" w:name="_Toc11022"/>
      <w:bookmarkStart w:id="141" w:name="_Toc7718"/>
    </w:p>
    <w:p>
      <w:pPr>
        <w:snapToGrid w:val="0"/>
        <w:spacing w:line="360" w:lineRule="auto"/>
        <w:ind w:firstLine="420" w:firstLineChars="200"/>
        <w:rPr>
          <w:rFonts w:ascii="宋体" w:hAnsi="宋体"/>
          <w:szCs w:val="21"/>
        </w:rPr>
      </w:pPr>
      <w:r>
        <w:rPr>
          <w:rFonts w:ascii="宋体" w:hAnsi="宋体"/>
          <w:szCs w:val="21"/>
        </w:rPr>
        <w:t>由自治区环境信息中心针对33个业务系统的平台系统进行漏洞扫描，每个系统每月</w:t>
      </w:r>
      <w:r>
        <w:rPr>
          <w:rFonts w:hint="eastAsia" w:ascii="宋体" w:hAnsi="宋体"/>
          <w:szCs w:val="21"/>
        </w:rPr>
        <w:t>至少</w:t>
      </w:r>
      <w:r>
        <w:rPr>
          <w:rFonts w:ascii="宋体" w:hAnsi="宋体"/>
          <w:szCs w:val="21"/>
        </w:rPr>
        <w:t>1次，运维供应商在5天内完成修复漏扫的问题。需</w:t>
      </w:r>
      <w:r>
        <w:rPr>
          <w:rFonts w:hint="eastAsia" w:ascii="宋体" w:hAnsi="宋体"/>
          <w:szCs w:val="21"/>
        </w:rPr>
        <w:t>对</w:t>
      </w:r>
      <w:r>
        <w:rPr>
          <w:rFonts w:ascii="宋体" w:hAnsi="宋体"/>
          <w:szCs w:val="21"/>
        </w:rPr>
        <w:t>漏洞扫描结果进行分析，根据漏洞的严重程度和影响范围，对其进行评估和分类，立即进行漏洞修复（优先解决高风险漏洞，根据安全影响的层面和信息中心要求处理中、低风险漏洞），应用适当的修补程序或补丁修复漏洞，并进行测试验证。在进行安全漏洞扫描及修复时，采取自动扫描工具，和风险评估、手动检查并行，及时更新系统和软件，确保系统安全稳定运行。</w:t>
      </w:r>
    </w:p>
    <w:p>
      <w:pPr>
        <w:snapToGrid w:val="0"/>
        <w:spacing w:line="360" w:lineRule="auto"/>
        <w:ind w:firstLine="420" w:firstLineChars="200"/>
        <w:rPr>
          <w:rFonts w:ascii="宋体" w:hAnsi="宋体"/>
          <w:szCs w:val="21"/>
        </w:rPr>
      </w:pPr>
      <w:r>
        <w:rPr>
          <w:rFonts w:ascii="宋体" w:hAnsi="宋体"/>
          <w:szCs w:val="21"/>
        </w:rPr>
        <w:t>6.处理代码审计的缺陷</w:t>
      </w:r>
    </w:p>
    <w:p>
      <w:pPr>
        <w:snapToGrid w:val="0"/>
        <w:spacing w:line="360" w:lineRule="auto"/>
        <w:ind w:firstLine="420" w:firstLineChars="200"/>
        <w:rPr>
          <w:rFonts w:ascii="宋体" w:hAnsi="宋体"/>
          <w:szCs w:val="21"/>
        </w:rPr>
      </w:pPr>
      <w:r>
        <w:rPr>
          <w:rFonts w:ascii="宋体" w:hAnsi="宋体"/>
          <w:szCs w:val="21"/>
        </w:rPr>
        <w:t>供应商对自治区环境信息中心33个系统</w:t>
      </w:r>
      <w:r>
        <w:rPr>
          <w:rFonts w:hint="eastAsia" w:ascii="宋体" w:hAnsi="宋体"/>
          <w:szCs w:val="21"/>
        </w:rPr>
        <w:t>开展的</w:t>
      </w:r>
      <w:r>
        <w:rPr>
          <w:rFonts w:ascii="宋体" w:hAnsi="宋体"/>
          <w:szCs w:val="21"/>
        </w:rPr>
        <w:t>代码审计出的问题代码及漏洞要求1个月内完成修复。对审计的问题进行确认和分类，深入分析问题的原因、类型，制定详细的解决方案</w:t>
      </w:r>
      <w:r>
        <w:rPr>
          <w:rFonts w:hint="eastAsia" w:ascii="宋体" w:hAnsi="宋体"/>
          <w:szCs w:val="21"/>
        </w:rPr>
        <w:t>，确保有效解决问题，并且不会引入新的错误和漏洞</w:t>
      </w:r>
      <w:r>
        <w:rPr>
          <w:rFonts w:ascii="宋体" w:hAnsi="宋体"/>
          <w:szCs w:val="21"/>
        </w:rPr>
        <w:t>。</w:t>
      </w:r>
    </w:p>
    <w:p>
      <w:pPr>
        <w:snapToGrid w:val="0"/>
        <w:spacing w:line="360" w:lineRule="auto"/>
        <w:ind w:firstLine="420" w:firstLineChars="200"/>
        <w:rPr>
          <w:rFonts w:ascii="宋体" w:hAnsi="宋体"/>
          <w:szCs w:val="21"/>
        </w:rPr>
      </w:pPr>
      <w:bookmarkStart w:id="142" w:name="_Toc4169"/>
      <w:bookmarkStart w:id="143" w:name="_Toc29054"/>
      <w:r>
        <w:rPr>
          <w:rFonts w:ascii="宋体" w:hAnsi="宋体"/>
          <w:szCs w:val="21"/>
        </w:rPr>
        <w:t>7.运维培训服务</w:t>
      </w:r>
      <w:bookmarkEnd w:id="132"/>
      <w:bookmarkEnd w:id="133"/>
      <w:bookmarkEnd w:id="134"/>
      <w:bookmarkEnd w:id="135"/>
      <w:bookmarkEnd w:id="136"/>
      <w:bookmarkEnd w:id="137"/>
      <w:bookmarkEnd w:id="138"/>
      <w:bookmarkEnd w:id="139"/>
      <w:bookmarkEnd w:id="140"/>
      <w:bookmarkEnd w:id="141"/>
      <w:bookmarkEnd w:id="142"/>
      <w:bookmarkEnd w:id="143"/>
    </w:p>
    <w:p>
      <w:pPr>
        <w:snapToGrid w:val="0"/>
        <w:spacing w:line="360" w:lineRule="auto"/>
        <w:ind w:firstLine="420" w:firstLineChars="200"/>
        <w:rPr>
          <w:rFonts w:ascii="宋体" w:hAnsi="宋体"/>
          <w:szCs w:val="21"/>
        </w:rPr>
      </w:pPr>
      <w:r>
        <w:rPr>
          <w:rFonts w:ascii="宋体" w:hAnsi="宋体"/>
          <w:szCs w:val="21"/>
        </w:rPr>
        <w:t>运维团队将不定期对服务人员的服务意识规范、服务用语规范、服务响应、专业技能等进行专业的培训，以保证服务人员的服务态度及技能。</w:t>
      </w:r>
    </w:p>
    <w:p>
      <w:pPr>
        <w:snapToGrid w:val="0"/>
        <w:spacing w:line="360" w:lineRule="auto"/>
        <w:ind w:firstLine="420" w:firstLineChars="200"/>
        <w:rPr>
          <w:rFonts w:ascii="宋体" w:hAnsi="宋体"/>
          <w:szCs w:val="21"/>
        </w:rPr>
      </w:pPr>
      <w:r>
        <w:rPr>
          <w:rFonts w:ascii="宋体" w:hAnsi="宋体"/>
          <w:szCs w:val="21"/>
        </w:rPr>
        <w:t>针对信息中心各科室用户提供系统软件产品和应用系统的技术培训。提供具有相应专业知识、实际工作和培训经验的人员和相应的教材。</w:t>
      </w:r>
    </w:p>
    <w:p>
      <w:pPr>
        <w:snapToGrid w:val="0"/>
        <w:spacing w:line="360" w:lineRule="auto"/>
        <w:ind w:firstLine="420" w:firstLineChars="200"/>
        <w:rPr>
          <w:rFonts w:ascii="宋体" w:hAnsi="宋体"/>
          <w:szCs w:val="21"/>
        </w:rPr>
      </w:pPr>
      <w:r>
        <w:rPr>
          <w:rFonts w:ascii="宋体" w:hAnsi="宋体"/>
          <w:szCs w:val="21"/>
        </w:rPr>
        <w:t>现场培训：系统运行期间根据</w:t>
      </w:r>
      <w:r>
        <w:rPr>
          <w:rFonts w:hint="eastAsia" w:ascii="宋体" w:hAnsi="宋体"/>
          <w:szCs w:val="21"/>
        </w:rPr>
        <w:t>信息</w:t>
      </w:r>
      <w:r>
        <w:rPr>
          <w:rFonts w:ascii="宋体" w:hAnsi="宋体"/>
          <w:szCs w:val="21"/>
        </w:rPr>
        <w:t>中心需求提供现场培训，使全体人员能熟练地使用终端设备和应用软件系统。</w:t>
      </w:r>
    </w:p>
    <w:p>
      <w:pPr>
        <w:snapToGrid w:val="0"/>
        <w:spacing w:line="360" w:lineRule="auto"/>
        <w:ind w:firstLine="420" w:firstLineChars="200"/>
        <w:rPr>
          <w:rFonts w:ascii="宋体" w:hAnsi="宋体"/>
          <w:szCs w:val="21"/>
        </w:rPr>
      </w:pPr>
      <w:r>
        <w:rPr>
          <w:rFonts w:ascii="宋体" w:hAnsi="宋体"/>
          <w:szCs w:val="21"/>
        </w:rPr>
        <w:t>网络培训：定期对常见问题进行分析总结，制作出常见问题解决办法或系统操作视频，通过在线或远程等方式提供培训、指导服务。</w:t>
      </w:r>
    </w:p>
    <w:p>
      <w:pPr>
        <w:snapToGrid w:val="0"/>
        <w:spacing w:line="360" w:lineRule="auto"/>
        <w:ind w:firstLine="420" w:firstLineChars="200"/>
        <w:rPr>
          <w:rFonts w:ascii="宋体" w:hAnsi="宋体"/>
          <w:szCs w:val="21"/>
        </w:rPr>
      </w:pPr>
      <w:bookmarkStart w:id="144" w:name="_Toc25153"/>
      <w:bookmarkStart w:id="145" w:name="_Toc4842"/>
      <w:bookmarkStart w:id="146" w:name="_Toc22143"/>
      <w:bookmarkStart w:id="147" w:name="_Toc20523"/>
      <w:bookmarkStart w:id="148" w:name="_Toc7258"/>
      <w:bookmarkStart w:id="149" w:name="_Toc7919"/>
      <w:bookmarkStart w:id="150" w:name="_Toc18893"/>
      <w:bookmarkStart w:id="151" w:name="_Toc23845"/>
      <w:bookmarkStart w:id="152" w:name="_Toc5146"/>
      <w:bookmarkStart w:id="153" w:name="_Toc17156"/>
      <w:bookmarkStart w:id="154" w:name="_Toc22731"/>
      <w:bookmarkStart w:id="155" w:name="_Toc22516"/>
      <w:r>
        <w:rPr>
          <w:rFonts w:ascii="宋体" w:hAnsi="宋体"/>
          <w:szCs w:val="21"/>
        </w:rPr>
        <w:t>8.系统运维记录和报告</w:t>
      </w:r>
      <w:bookmarkEnd w:id="144"/>
      <w:bookmarkEnd w:id="145"/>
      <w:bookmarkEnd w:id="146"/>
      <w:bookmarkEnd w:id="147"/>
      <w:bookmarkEnd w:id="148"/>
      <w:bookmarkEnd w:id="149"/>
      <w:bookmarkEnd w:id="150"/>
      <w:bookmarkEnd w:id="151"/>
      <w:bookmarkEnd w:id="152"/>
      <w:bookmarkEnd w:id="153"/>
      <w:bookmarkEnd w:id="154"/>
      <w:bookmarkEnd w:id="155"/>
    </w:p>
    <w:p>
      <w:pPr>
        <w:snapToGrid w:val="0"/>
        <w:spacing w:line="360" w:lineRule="auto"/>
        <w:ind w:firstLine="420" w:firstLineChars="200"/>
        <w:rPr>
          <w:rFonts w:ascii="宋体" w:hAnsi="宋体"/>
          <w:szCs w:val="21"/>
        </w:rPr>
      </w:pPr>
      <w:r>
        <w:rPr>
          <w:rFonts w:ascii="宋体" w:hAnsi="宋体"/>
          <w:szCs w:val="21"/>
        </w:rPr>
        <w:t>在系统运行维护期内做好运维记录，每周输出日常巡检记录。</w:t>
      </w:r>
    </w:p>
    <w:p>
      <w:pPr>
        <w:snapToGrid w:val="0"/>
        <w:spacing w:line="360" w:lineRule="auto"/>
        <w:ind w:firstLine="420" w:firstLineChars="200"/>
        <w:rPr>
          <w:rFonts w:ascii="宋体" w:hAnsi="宋体"/>
          <w:szCs w:val="21"/>
        </w:rPr>
      </w:pPr>
      <w:r>
        <w:rPr>
          <w:rFonts w:ascii="宋体" w:hAnsi="宋体"/>
          <w:szCs w:val="21"/>
        </w:rPr>
        <w:t>每月、每季度、每年提供运维报告，对期间内的运维工作进行总结，并以邮件和纸质报告的方式提交。</w:t>
      </w:r>
    </w:p>
    <w:p>
      <w:pPr>
        <w:snapToGrid w:val="0"/>
        <w:spacing w:line="360" w:lineRule="auto"/>
        <w:ind w:firstLine="420" w:firstLineChars="200"/>
        <w:rPr>
          <w:rFonts w:ascii="宋体" w:hAnsi="宋体"/>
          <w:szCs w:val="21"/>
        </w:rPr>
      </w:pPr>
      <w:r>
        <w:rPr>
          <w:rFonts w:ascii="宋体" w:hAnsi="宋体"/>
          <w:szCs w:val="21"/>
        </w:rPr>
        <w:t>在运维服务过程中将产生包括但不限于以下的记录和报告：</w:t>
      </w:r>
    </w:p>
    <w:p>
      <w:pPr>
        <w:snapToGrid w:val="0"/>
        <w:spacing w:line="360" w:lineRule="auto"/>
        <w:ind w:firstLine="420" w:firstLineChars="200"/>
        <w:rPr>
          <w:rFonts w:ascii="宋体" w:hAnsi="宋体"/>
          <w:szCs w:val="21"/>
        </w:rPr>
      </w:pPr>
      <w:r>
        <w:rPr>
          <w:rFonts w:ascii="宋体" w:hAnsi="宋体"/>
          <w:szCs w:val="21"/>
        </w:rPr>
        <w:t>《运维项目服务明细计划表》；</w:t>
      </w:r>
    </w:p>
    <w:p>
      <w:pPr>
        <w:snapToGrid w:val="0"/>
        <w:spacing w:line="360" w:lineRule="auto"/>
        <w:ind w:firstLine="420" w:firstLineChars="200"/>
        <w:rPr>
          <w:rFonts w:ascii="宋体" w:hAnsi="宋体"/>
          <w:szCs w:val="21"/>
        </w:rPr>
      </w:pPr>
      <w:r>
        <w:rPr>
          <w:rFonts w:ascii="宋体" w:hAnsi="宋体"/>
          <w:szCs w:val="21"/>
        </w:rPr>
        <w:t>《运维日常巡检记录》；</w:t>
      </w:r>
    </w:p>
    <w:p>
      <w:pPr>
        <w:snapToGrid w:val="0"/>
        <w:spacing w:line="360" w:lineRule="auto"/>
        <w:ind w:firstLine="420" w:firstLineChars="200"/>
        <w:rPr>
          <w:rFonts w:ascii="宋体" w:hAnsi="宋体"/>
          <w:szCs w:val="21"/>
        </w:rPr>
      </w:pPr>
      <w:r>
        <w:rPr>
          <w:rFonts w:ascii="宋体" w:hAnsi="宋体"/>
          <w:szCs w:val="21"/>
        </w:rPr>
        <w:t>《运维服务月报》；</w:t>
      </w:r>
    </w:p>
    <w:p>
      <w:pPr>
        <w:snapToGrid w:val="0"/>
        <w:spacing w:line="360" w:lineRule="auto"/>
        <w:ind w:firstLine="420" w:firstLineChars="200"/>
        <w:rPr>
          <w:rFonts w:ascii="宋体" w:hAnsi="宋体"/>
          <w:szCs w:val="21"/>
        </w:rPr>
      </w:pPr>
      <w:r>
        <w:rPr>
          <w:rFonts w:ascii="宋体" w:hAnsi="宋体"/>
          <w:szCs w:val="21"/>
        </w:rPr>
        <w:t>《运维服务季报》；</w:t>
      </w:r>
    </w:p>
    <w:p>
      <w:pPr>
        <w:snapToGrid w:val="0"/>
        <w:spacing w:line="360" w:lineRule="auto"/>
        <w:ind w:firstLine="420" w:firstLineChars="200"/>
        <w:rPr>
          <w:rFonts w:ascii="宋体" w:hAnsi="宋体"/>
          <w:szCs w:val="21"/>
        </w:rPr>
      </w:pPr>
      <w:r>
        <w:rPr>
          <w:rFonts w:ascii="宋体" w:hAnsi="宋体"/>
          <w:szCs w:val="21"/>
        </w:rPr>
        <w:t>《巡维服务年度总结报告》；</w:t>
      </w:r>
    </w:p>
    <w:p>
      <w:pPr>
        <w:snapToGrid w:val="0"/>
        <w:spacing w:line="360" w:lineRule="auto"/>
        <w:ind w:firstLine="420" w:firstLineChars="200"/>
        <w:rPr>
          <w:rFonts w:ascii="宋体" w:hAnsi="宋体"/>
          <w:szCs w:val="21"/>
        </w:rPr>
      </w:pPr>
      <w:r>
        <w:rPr>
          <w:rFonts w:ascii="宋体" w:hAnsi="宋体"/>
          <w:szCs w:val="21"/>
        </w:rPr>
        <w:t>《重大故障记录报告》；</w:t>
      </w:r>
    </w:p>
    <w:p>
      <w:pPr>
        <w:snapToGrid w:val="0"/>
        <w:spacing w:line="360" w:lineRule="auto"/>
        <w:ind w:firstLine="420" w:firstLineChars="200"/>
        <w:rPr>
          <w:rFonts w:ascii="宋体" w:hAnsi="宋体"/>
          <w:szCs w:val="21"/>
        </w:rPr>
      </w:pPr>
      <w:r>
        <w:rPr>
          <w:rFonts w:ascii="宋体" w:hAnsi="宋体"/>
          <w:szCs w:val="21"/>
        </w:rPr>
        <w:t>《服务资产明细清单》；</w:t>
      </w:r>
    </w:p>
    <w:p>
      <w:pPr>
        <w:snapToGrid w:val="0"/>
        <w:spacing w:line="360" w:lineRule="auto"/>
        <w:ind w:firstLine="420" w:firstLineChars="200"/>
        <w:rPr>
          <w:rFonts w:ascii="宋体" w:hAnsi="宋体"/>
          <w:szCs w:val="21"/>
        </w:rPr>
      </w:pPr>
      <w:r>
        <w:rPr>
          <w:rFonts w:ascii="宋体" w:hAnsi="宋体"/>
          <w:szCs w:val="21"/>
        </w:rPr>
        <w:t>《服务器信息清单》；</w:t>
      </w:r>
    </w:p>
    <w:p>
      <w:pPr>
        <w:snapToGrid w:val="0"/>
        <w:spacing w:line="360" w:lineRule="auto"/>
        <w:ind w:firstLine="420" w:firstLineChars="200"/>
        <w:rPr>
          <w:rFonts w:ascii="宋体" w:hAnsi="宋体"/>
          <w:szCs w:val="21"/>
        </w:rPr>
      </w:pPr>
      <w:r>
        <w:rPr>
          <w:rFonts w:ascii="宋体" w:hAnsi="宋体"/>
          <w:szCs w:val="21"/>
        </w:rPr>
        <w:t>《操作系统信息清单》；</w:t>
      </w:r>
    </w:p>
    <w:p>
      <w:pPr>
        <w:snapToGrid w:val="0"/>
        <w:spacing w:line="360" w:lineRule="auto"/>
        <w:ind w:firstLine="420" w:firstLineChars="200"/>
        <w:rPr>
          <w:rFonts w:ascii="宋体" w:hAnsi="宋体"/>
          <w:szCs w:val="21"/>
        </w:rPr>
      </w:pPr>
      <w:r>
        <w:rPr>
          <w:rFonts w:ascii="宋体" w:hAnsi="宋体"/>
          <w:szCs w:val="21"/>
        </w:rPr>
        <w:t>《系统数据库信息清单》；</w:t>
      </w:r>
    </w:p>
    <w:p>
      <w:pPr>
        <w:snapToGrid w:val="0"/>
        <w:spacing w:line="360" w:lineRule="auto"/>
        <w:ind w:firstLine="420" w:firstLineChars="200"/>
        <w:rPr>
          <w:rFonts w:ascii="宋体" w:hAnsi="宋体"/>
          <w:szCs w:val="21"/>
        </w:rPr>
      </w:pPr>
      <w:r>
        <w:rPr>
          <w:rFonts w:ascii="宋体" w:hAnsi="宋体"/>
          <w:szCs w:val="21"/>
        </w:rPr>
        <w:t>《系统中间件信息清单》；</w:t>
      </w:r>
    </w:p>
    <w:p>
      <w:pPr>
        <w:snapToGrid w:val="0"/>
        <w:spacing w:line="360" w:lineRule="auto"/>
        <w:ind w:firstLine="420" w:firstLineChars="200"/>
        <w:rPr>
          <w:rFonts w:ascii="宋体" w:hAnsi="宋体"/>
          <w:szCs w:val="21"/>
        </w:rPr>
      </w:pPr>
      <w:r>
        <w:rPr>
          <w:rFonts w:ascii="宋体" w:hAnsi="宋体"/>
          <w:szCs w:val="21"/>
        </w:rPr>
        <w:t>《软件基础平台信息清单》；</w:t>
      </w:r>
    </w:p>
    <w:p>
      <w:pPr>
        <w:snapToGrid w:val="0"/>
        <w:spacing w:line="360" w:lineRule="auto"/>
        <w:ind w:firstLine="420" w:firstLineChars="200"/>
        <w:rPr>
          <w:rFonts w:ascii="宋体" w:hAnsi="宋体"/>
          <w:szCs w:val="21"/>
        </w:rPr>
      </w:pPr>
      <w:r>
        <w:rPr>
          <w:rFonts w:ascii="宋体" w:hAnsi="宋体"/>
          <w:szCs w:val="21"/>
        </w:rPr>
        <w:t>《服务器网络策略开通情况清单》；</w:t>
      </w:r>
    </w:p>
    <w:p>
      <w:pPr>
        <w:snapToGrid w:val="0"/>
        <w:spacing w:line="360" w:lineRule="auto"/>
        <w:ind w:firstLine="420" w:firstLineChars="200"/>
        <w:rPr>
          <w:rFonts w:ascii="宋体" w:hAnsi="宋体"/>
          <w:szCs w:val="21"/>
        </w:rPr>
      </w:pPr>
      <w:bookmarkStart w:id="156" w:name="_Toc6276"/>
      <w:bookmarkStart w:id="157" w:name="_Toc29268"/>
      <w:bookmarkStart w:id="158" w:name="_Toc6582"/>
      <w:bookmarkStart w:id="159" w:name="_Toc9299"/>
      <w:bookmarkStart w:id="160" w:name="_Toc9150"/>
      <w:bookmarkStart w:id="161" w:name="_Toc14313"/>
      <w:bookmarkStart w:id="162" w:name="_Toc3567"/>
      <w:bookmarkStart w:id="163" w:name="_Toc9793"/>
      <w:bookmarkStart w:id="164" w:name="_Toc31296"/>
      <w:bookmarkStart w:id="165" w:name="_Toc20193"/>
      <w:bookmarkStart w:id="166" w:name="_Toc6204"/>
      <w:bookmarkStart w:id="167" w:name="_Toc17660"/>
      <w:r>
        <w:rPr>
          <w:rFonts w:hint="eastAsia" w:ascii="宋体" w:hAnsi="宋体"/>
          <w:szCs w:val="21"/>
        </w:rPr>
        <w:t>四</w:t>
      </w:r>
      <w:r>
        <w:rPr>
          <w:rFonts w:ascii="宋体" w:hAnsi="宋体"/>
          <w:szCs w:val="21"/>
        </w:rPr>
        <w:t>、驻场人员服务</w:t>
      </w:r>
      <w:bookmarkEnd w:id="156"/>
      <w:bookmarkEnd w:id="157"/>
    </w:p>
    <w:p>
      <w:pPr>
        <w:snapToGrid w:val="0"/>
        <w:spacing w:line="360" w:lineRule="auto"/>
        <w:ind w:firstLine="420" w:firstLineChars="200"/>
        <w:rPr>
          <w:rFonts w:ascii="宋体" w:hAnsi="宋体"/>
          <w:szCs w:val="21"/>
        </w:rPr>
      </w:pPr>
      <w:r>
        <w:rPr>
          <w:rFonts w:ascii="宋体" w:hAnsi="宋体"/>
          <w:szCs w:val="21"/>
        </w:rPr>
        <w:t>运维</w:t>
      </w:r>
      <w:r>
        <w:rPr>
          <w:rFonts w:hint="eastAsia" w:ascii="宋体" w:hAnsi="宋体"/>
          <w:szCs w:val="21"/>
        </w:rPr>
        <w:t>供应商</w:t>
      </w:r>
      <w:r>
        <w:rPr>
          <w:rFonts w:ascii="宋体" w:hAnsi="宋体"/>
          <w:szCs w:val="21"/>
        </w:rPr>
        <w:t>至少派9名可以现场处理一般问题的技术人员到中心驻场，提供5*8小时的现场故障诊断、处理，以及7*24小时电话或远程技术支持服务</w:t>
      </w:r>
      <w:r>
        <w:rPr>
          <w:rFonts w:hint="eastAsia" w:ascii="宋体" w:hAnsi="宋体"/>
          <w:szCs w:val="21"/>
        </w:rPr>
        <w:t>，驻场人员要求应不低于基础运维人员要求。</w:t>
      </w:r>
    </w:p>
    <w:p>
      <w:pPr>
        <w:snapToGrid w:val="0"/>
        <w:spacing w:line="360" w:lineRule="auto"/>
        <w:ind w:firstLine="420" w:firstLineChars="200"/>
        <w:rPr>
          <w:rFonts w:ascii="宋体" w:hAnsi="宋体"/>
          <w:szCs w:val="21"/>
        </w:rPr>
      </w:pPr>
      <w:r>
        <w:rPr>
          <w:rFonts w:hint="eastAsia" w:ascii="宋体" w:hAnsi="宋体"/>
          <w:szCs w:val="21"/>
        </w:rPr>
        <w:t>驻场人员</w:t>
      </w:r>
      <w:r>
        <w:rPr>
          <w:rFonts w:ascii="宋体" w:hAnsi="宋体"/>
          <w:szCs w:val="21"/>
        </w:rPr>
        <w:t>主要负责在现场进行系统维护和故障排除，解决涉及软件系统功能性讲解，以及解决使用中遇到的问题。此外，还包括软件系统服务器的运维工作，如系统运行、系统备份、错误日志、服务器状态、数据库状态、服务器安全措施等。</w:t>
      </w:r>
    </w:p>
    <w:p>
      <w:pPr>
        <w:snapToGrid w:val="0"/>
        <w:spacing w:line="360" w:lineRule="auto"/>
        <w:ind w:firstLine="420" w:firstLineChars="200"/>
        <w:rPr>
          <w:rFonts w:ascii="宋体" w:hAnsi="宋体"/>
          <w:szCs w:val="21"/>
        </w:rPr>
      </w:pPr>
      <w:r>
        <w:rPr>
          <w:rFonts w:ascii="宋体" w:hAnsi="宋体"/>
          <w:szCs w:val="21"/>
        </w:rPr>
        <w:t>具体服务内容根据所负责的具体系统有所差异。具体如下：</w:t>
      </w:r>
    </w:p>
    <w:p>
      <w:pPr>
        <w:snapToGrid w:val="0"/>
        <w:spacing w:line="360" w:lineRule="auto"/>
        <w:ind w:firstLine="420" w:firstLineChars="200"/>
        <w:rPr>
          <w:rFonts w:ascii="宋体" w:hAnsi="宋体"/>
          <w:szCs w:val="21"/>
        </w:rPr>
      </w:pPr>
      <w:r>
        <w:rPr>
          <w:rFonts w:ascii="宋体" w:hAnsi="宋体"/>
          <w:szCs w:val="21"/>
        </w:rPr>
        <w:t>（一）广西固定污染源自动监控平台（</w:t>
      </w:r>
      <w:r>
        <w:rPr>
          <w:rFonts w:hint="eastAsia" w:ascii="宋体" w:hAnsi="宋体"/>
          <w:szCs w:val="21"/>
        </w:rPr>
        <w:t>驻场地点：广西壮族自治区生态环境厅生态环境保护综合行政执法局</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1.配合现场端实施点位接入调测，协助联系相关单位（排污企业）解决存在问题；分析现场数采仪报送数据的缺陷，提出工作建议，提高数据传输有效率等相关指标、提高平台监测数据的联网率和数据质量。</w:t>
      </w:r>
    </w:p>
    <w:p>
      <w:pPr>
        <w:snapToGrid w:val="0"/>
        <w:spacing w:line="360" w:lineRule="auto"/>
        <w:ind w:firstLine="420" w:firstLineChars="200"/>
        <w:rPr>
          <w:rFonts w:ascii="宋体" w:hAnsi="宋体"/>
          <w:szCs w:val="21"/>
        </w:rPr>
      </w:pPr>
      <w:r>
        <w:rPr>
          <w:rFonts w:ascii="宋体" w:hAnsi="宋体"/>
          <w:szCs w:val="21"/>
        </w:rPr>
        <w:t>2.通过反控功能对平台缺失的数据进行补采，避免或减少数据缺失情况。</w:t>
      </w:r>
    </w:p>
    <w:p>
      <w:pPr>
        <w:snapToGrid w:val="0"/>
        <w:spacing w:line="360" w:lineRule="auto"/>
        <w:ind w:firstLine="420" w:firstLineChars="200"/>
        <w:rPr>
          <w:rFonts w:ascii="宋体" w:hAnsi="宋体"/>
          <w:szCs w:val="21"/>
        </w:rPr>
      </w:pPr>
      <w:r>
        <w:rPr>
          <w:rFonts w:ascii="宋体" w:hAnsi="宋体"/>
          <w:szCs w:val="21"/>
        </w:rPr>
        <w:t>3.汇总编制数据传输情况、超标情况报告，按时提交日常维护报告。</w:t>
      </w:r>
    </w:p>
    <w:p>
      <w:pPr>
        <w:snapToGrid w:val="0"/>
        <w:spacing w:line="360" w:lineRule="auto"/>
        <w:ind w:firstLine="420" w:firstLineChars="200"/>
        <w:rPr>
          <w:rFonts w:ascii="宋体" w:hAnsi="宋体"/>
          <w:szCs w:val="21"/>
        </w:rPr>
      </w:pPr>
      <w:r>
        <w:rPr>
          <w:rFonts w:ascii="宋体" w:hAnsi="宋体"/>
          <w:szCs w:val="21"/>
        </w:rPr>
        <w:t xml:space="preserve">4.原有排污单位、新增MN号分配并汇总成表。 </w:t>
      </w:r>
    </w:p>
    <w:p>
      <w:pPr>
        <w:snapToGrid w:val="0"/>
        <w:spacing w:line="360" w:lineRule="auto"/>
        <w:ind w:firstLine="420" w:firstLineChars="200"/>
        <w:rPr>
          <w:rFonts w:ascii="宋体" w:hAnsi="宋体"/>
          <w:szCs w:val="21"/>
        </w:rPr>
      </w:pPr>
      <w:r>
        <w:rPr>
          <w:rFonts w:ascii="宋体" w:hAnsi="宋体"/>
          <w:szCs w:val="21"/>
        </w:rPr>
        <w:t>5.排污单位基本信息检查更新及备案。</w:t>
      </w:r>
    </w:p>
    <w:p>
      <w:pPr>
        <w:snapToGrid w:val="0"/>
        <w:spacing w:line="360" w:lineRule="auto"/>
        <w:ind w:firstLine="420" w:firstLineChars="200"/>
        <w:rPr>
          <w:rFonts w:ascii="宋体" w:hAnsi="宋体"/>
          <w:szCs w:val="21"/>
        </w:rPr>
      </w:pPr>
      <w:r>
        <w:rPr>
          <w:rFonts w:ascii="宋体" w:hAnsi="宋体"/>
          <w:szCs w:val="21"/>
        </w:rPr>
        <w:t>6.确保重点行业重点地区污染源数据上传，督促地市完成相关信息完善。</w:t>
      </w:r>
    </w:p>
    <w:p>
      <w:pPr>
        <w:snapToGrid w:val="0"/>
        <w:spacing w:line="360" w:lineRule="auto"/>
        <w:ind w:firstLine="420" w:firstLineChars="200"/>
        <w:rPr>
          <w:rFonts w:ascii="宋体" w:hAnsi="宋体"/>
          <w:szCs w:val="21"/>
        </w:rPr>
      </w:pPr>
      <w:r>
        <w:rPr>
          <w:rFonts w:ascii="宋体" w:hAnsi="宋体"/>
          <w:szCs w:val="21"/>
        </w:rPr>
        <w:t>7.每日对超标排污单位进行汇总分析，如超标汇总、无效数据汇总。</w:t>
      </w:r>
    </w:p>
    <w:p>
      <w:pPr>
        <w:snapToGrid w:val="0"/>
        <w:spacing w:line="360" w:lineRule="auto"/>
        <w:ind w:firstLine="420" w:firstLineChars="200"/>
        <w:rPr>
          <w:rFonts w:ascii="宋体" w:hAnsi="宋体"/>
          <w:szCs w:val="21"/>
        </w:rPr>
      </w:pPr>
      <w:r>
        <w:rPr>
          <w:rFonts w:ascii="宋体" w:hAnsi="宋体"/>
          <w:szCs w:val="21"/>
        </w:rPr>
        <w:t>8.对辖区内某一时段缺失数据、未标记数据等各类情况统计分析。</w:t>
      </w:r>
    </w:p>
    <w:p>
      <w:pPr>
        <w:snapToGrid w:val="0"/>
        <w:spacing w:line="360" w:lineRule="auto"/>
        <w:ind w:firstLine="420" w:firstLineChars="200"/>
        <w:rPr>
          <w:rFonts w:ascii="宋体" w:hAnsi="宋体"/>
          <w:szCs w:val="21"/>
        </w:rPr>
      </w:pPr>
      <w:r>
        <w:rPr>
          <w:rFonts w:ascii="宋体" w:hAnsi="宋体"/>
          <w:szCs w:val="21"/>
        </w:rPr>
        <w:t>9.根据业务新增情况，对新增业务进行数据查询分析。</w:t>
      </w:r>
    </w:p>
    <w:p>
      <w:pPr>
        <w:snapToGrid w:val="0"/>
        <w:spacing w:line="360" w:lineRule="auto"/>
        <w:ind w:firstLine="420" w:firstLineChars="200"/>
        <w:rPr>
          <w:rFonts w:ascii="宋体" w:hAnsi="宋体"/>
          <w:szCs w:val="21"/>
        </w:rPr>
      </w:pPr>
      <w:r>
        <w:rPr>
          <w:rFonts w:ascii="宋体" w:hAnsi="宋体"/>
          <w:szCs w:val="21"/>
        </w:rPr>
        <w:t>10.及时提供共享数据接口，保障数据接口的数据推送。</w:t>
      </w:r>
    </w:p>
    <w:p>
      <w:pPr>
        <w:snapToGrid w:val="0"/>
        <w:spacing w:line="360" w:lineRule="auto"/>
        <w:ind w:firstLine="420" w:firstLineChars="200"/>
        <w:rPr>
          <w:rFonts w:ascii="宋体" w:hAnsi="宋体"/>
          <w:szCs w:val="21"/>
        </w:rPr>
      </w:pPr>
      <w:r>
        <w:rPr>
          <w:rFonts w:ascii="宋体" w:hAnsi="宋体"/>
          <w:szCs w:val="21"/>
        </w:rPr>
        <w:t>11.根据</w:t>
      </w:r>
      <w:r>
        <w:rPr>
          <w:rFonts w:hint="eastAsia" w:ascii="宋体" w:hAnsi="宋体"/>
          <w:szCs w:val="21"/>
        </w:rPr>
        <w:t>采购人</w:t>
      </w:r>
      <w:r>
        <w:rPr>
          <w:rFonts w:ascii="宋体" w:hAnsi="宋体"/>
          <w:szCs w:val="21"/>
        </w:rPr>
        <w:t>实际工作要求，对于应急性非日常性应用报表，服务人员通过SQL进行数据库查询。</w:t>
      </w:r>
    </w:p>
    <w:p>
      <w:pPr>
        <w:snapToGrid w:val="0"/>
        <w:spacing w:line="360" w:lineRule="auto"/>
        <w:ind w:firstLine="420" w:firstLineChars="200"/>
        <w:rPr>
          <w:rFonts w:ascii="宋体" w:hAnsi="宋体"/>
          <w:szCs w:val="21"/>
        </w:rPr>
      </w:pPr>
      <w:r>
        <w:rPr>
          <w:rFonts w:ascii="宋体" w:hAnsi="宋体"/>
          <w:szCs w:val="21"/>
        </w:rPr>
        <w:t>12.根据用户要求定期对可疑数据分析、汇总。</w:t>
      </w:r>
    </w:p>
    <w:p>
      <w:pPr>
        <w:snapToGrid w:val="0"/>
        <w:spacing w:line="360" w:lineRule="auto"/>
        <w:ind w:firstLine="420" w:firstLineChars="200"/>
        <w:rPr>
          <w:rFonts w:ascii="宋体" w:hAnsi="宋体"/>
          <w:szCs w:val="21"/>
        </w:rPr>
      </w:pPr>
      <w:r>
        <w:rPr>
          <w:rFonts w:ascii="宋体" w:hAnsi="宋体"/>
          <w:szCs w:val="21"/>
        </w:rPr>
        <w:t>13.确保数据接口或共享箱正常运行，</w:t>
      </w:r>
      <w:r>
        <w:rPr>
          <w:rFonts w:hint="eastAsia" w:ascii="宋体" w:hAnsi="宋体"/>
          <w:szCs w:val="21"/>
        </w:rPr>
        <w:t>供应商</w:t>
      </w:r>
      <w:r>
        <w:rPr>
          <w:rFonts w:ascii="宋体" w:hAnsi="宋体"/>
          <w:szCs w:val="21"/>
        </w:rPr>
        <w:t>通过接口运维服务方式按照用户要求数据字段、推送频次，确保数据正常推送到接口或共享箱，第三方用户通过访问数据接口或共享箱获取监控数据。</w:t>
      </w:r>
    </w:p>
    <w:p>
      <w:pPr>
        <w:snapToGrid w:val="0"/>
        <w:spacing w:line="360" w:lineRule="auto"/>
        <w:ind w:firstLine="420" w:firstLineChars="200"/>
        <w:rPr>
          <w:rFonts w:ascii="宋体" w:hAnsi="宋体"/>
          <w:szCs w:val="21"/>
        </w:rPr>
      </w:pPr>
      <w:r>
        <w:rPr>
          <w:rFonts w:ascii="宋体" w:hAnsi="宋体"/>
          <w:szCs w:val="21"/>
        </w:rPr>
        <w:t>14.对操作系统故障、数据库软件出错、软件运行所在的服务器（或PC机）网络通讯故障等问题，造成的平台软件不能正常运行故障事件进行及时应急处理。保证在24小时内解决问题。</w:t>
      </w:r>
    </w:p>
    <w:p>
      <w:pPr>
        <w:snapToGrid w:val="0"/>
        <w:spacing w:line="360" w:lineRule="auto"/>
        <w:ind w:firstLine="420" w:firstLineChars="200"/>
        <w:rPr>
          <w:rFonts w:ascii="宋体" w:hAnsi="宋体"/>
          <w:szCs w:val="21"/>
        </w:rPr>
      </w:pPr>
      <w:r>
        <w:rPr>
          <w:rFonts w:ascii="宋体" w:hAnsi="宋体"/>
          <w:szCs w:val="21"/>
        </w:rPr>
        <w:t>（二）广西环境监管移动执法系统、广西生态环保“一码通”程序（</w:t>
      </w:r>
      <w:r>
        <w:rPr>
          <w:rFonts w:hint="eastAsia" w:ascii="宋体" w:hAnsi="宋体"/>
          <w:szCs w:val="21"/>
        </w:rPr>
        <w:t>驻场地点：广西壮族自治区生态环境厅生态环境保护综合行政执法局</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1.业务咨询：如系统操作、流程流转、字段含义、系统功能使用、某项新功能的相关业务、技术实现情况等。</w:t>
      </w:r>
    </w:p>
    <w:p>
      <w:pPr>
        <w:snapToGrid w:val="0"/>
        <w:spacing w:line="360" w:lineRule="auto"/>
        <w:ind w:firstLine="420" w:firstLineChars="200"/>
        <w:rPr>
          <w:rFonts w:ascii="宋体" w:hAnsi="宋体"/>
          <w:szCs w:val="21"/>
        </w:rPr>
      </w:pPr>
      <w:r>
        <w:rPr>
          <w:rFonts w:ascii="宋体" w:hAnsi="宋体"/>
          <w:szCs w:val="21"/>
        </w:rPr>
        <w:t>2.系统缺陷：对系统或应用在电脑端（含国产电脑）、移动端上运行时存在的缺陷进行处理、记录、反馈。</w:t>
      </w:r>
    </w:p>
    <w:p>
      <w:pPr>
        <w:snapToGrid w:val="0"/>
        <w:spacing w:line="360" w:lineRule="auto"/>
        <w:ind w:firstLine="420" w:firstLineChars="200"/>
        <w:rPr>
          <w:rFonts w:ascii="宋体" w:hAnsi="宋体"/>
          <w:szCs w:val="21"/>
        </w:rPr>
      </w:pPr>
      <w:r>
        <w:rPr>
          <w:rFonts w:ascii="宋体" w:hAnsi="宋体"/>
          <w:szCs w:val="21"/>
        </w:rPr>
        <w:t>3.数据调整：用户使用系统存在录入错误、数据调整信息，需要修改、删除数据。</w:t>
      </w:r>
    </w:p>
    <w:p>
      <w:pPr>
        <w:snapToGrid w:val="0"/>
        <w:spacing w:line="360" w:lineRule="auto"/>
        <w:ind w:firstLine="420" w:firstLineChars="200"/>
        <w:rPr>
          <w:rFonts w:ascii="宋体" w:hAnsi="宋体"/>
          <w:szCs w:val="21"/>
        </w:rPr>
      </w:pPr>
      <w:r>
        <w:rPr>
          <w:rFonts w:ascii="宋体" w:hAnsi="宋体"/>
          <w:szCs w:val="21"/>
        </w:rPr>
        <w:t>4.工作配合：协助处理表格、文档的编写、数据汇总统计、数据流转、流程退回、提供操作手册等具体工作。</w:t>
      </w:r>
    </w:p>
    <w:p>
      <w:pPr>
        <w:snapToGrid w:val="0"/>
        <w:spacing w:line="360" w:lineRule="auto"/>
        <w:ind w:firstLine="420" w:firstLineChars="200"/>
        <w:rPr>
          <w:rFonts w:ascii="宋体" w:hAnsi="宋体"/>
          <w:szCs w:val="21"/>
        </w:rPr>
      </w:pPr>
      <w:r>
        <w:rPr>
          <w:rFonts w:ascii="宋体" w:hAnsi="宋体"/>
          <w:szCs w:val="21"/>
        </w:rPr>
        <w:t>5.功能调整：包括但不限于由于人员变动、业务变动、政策变动等原因，引起的需要额外增加业务功能模块、系统升级或与自治区、国家等第三方系统进行对接等。</w:t>
      </w:r>
    </w:p>
    <w:p>
      <w:pPr>
        <w:snapToGrid w:val="0"/>
        <w:spacing w:line="360" w:lineRule="auto"/>
        <w:ind w:firstLine="420" w:firstLineChars="200"/>
        <w:rPr>
          <w:rFonts w:ascii="宋体" w:hAnsi="宋体"/>
          <w:szCs w:val="21"/>
        </w:rPr>
      </w:pPr>
      <w:r>
        <w:rPr>
          <w:rFonts w:ascii="宋体" w:hAnsi="宋体"/>
          <w:szCs w:val="21"/>
        </w:rPr>
        <w:t>6.数据库监控：对数据库进行监控，保证数据库系统安全、稳定及性能优化，进行健康检查。完善数据库存活和性能监控，及时了解数据库运行状态及故障。</w:t>
      </w:r>
    </w:p>
    <w:p>
      <w:pPr>
        <w:snapToGrid w:val="0"/>
        <w:spacing w:line="360" w:lineRule="auto"/>
        <w:ind w:firstLine="420" w:firstLineChars="200"/>
        <w:rPr>
          <w:rFonts w:ascii="宋体" w:hAnsi="宋体"/>
          <w:szCs w:val="21"/>
        </w:rPr>
      </w:pPr>
      <w:r>
        <w:rPr>
          <w:rFonts w:ascii="宋体" w:hAnsi="宋体"/>
          <w:szCs w:val="21"/>
        </w:rPr>
        <w:t>7.数据库安全：建设数据库账号体系，严格控制账号权限与开放范围，降低误操作和数据泄露的风险；加强离线备份数据的管理，降低数据泄露的风险。</w:t>
      </w:r>
    </w:p>
    <w:p>
      <w:pPr>
        <w:snapToGrid w:val="0"/>
        <w:spacing w:line="360" w:lineRule="auto"/>
        <w:ind w:firstLine="420" w:firstLineChars="200"/>
        <w:rPr>
          <w:rFonts w:ascii="宋体" w:hAnsi="宋体"/>
          <w:szCs w:val="21"/>
        </w:rPr>
      </w:pPr>
      <w:r>
        <w:rPr>
          <w:rFonts w:ascii="宋体" w:hAnsi="宋体"/>
          <w:szCs w:val="21"/>
        </w:rPr>
        <w:t>8.应用备份情况：应用数量、应用备份配置情况、应用异地备份情况。</w:t>
      </w:r>
    </w:p>
    <w:p>
      <w:pPr>
        <w:snapToGrid w:val="0"/>
        <w:spacing w:line="360" w:lineRule="auto"/>
        <w:ind w:firstLine="420" w:firstLineChars="200"/>
        <w:rPr>
          <w:rFonts w:ascii="宋体" w:hAnsi="宋体"/>
          <w:szCs w:val="21"/>
        </w:rPr>
      </w:pPr>
      <w:r>
        <w:rPr>
          <w:rFonts w:ascii="宋体" w:hAnsi="宋体"/>
          <w:szCs w:val="21"/>
        </w:rPr>
        <w:t>（三）广西环境监管移动执法系统信访管理模块（</w:t>
      </w:r>
      <w:r>
        <w:rPr>
          <w:rFonts w:hint="eastAsia" w:ascii="宋体" w:hAnsi="宋体"/>
          <w:szCs w:val="21"/>
        </w:rPr>
        <w:t>驻场地点：广西壮族自治区生态环境厅生态环境保护综合行政执法局</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1.系统优化。根据日常软件维护服务，保障系统运行稳定。结合使用情况以及客户需求进行部分功能优化调整。</w:t>
      </w:r>
    </w:p>
    <w:p>
      <w:pPr>
        <w:snapToGrid w:val="0"/>
        <w:spacing w:line="360" w:lineRule="auto"/>
        <w:ind w:firstLine="420" w:firstLineChars="200"/>
        <w:rPr>
          <w:rFonts w:ascii="宋体" w:hAnsi="宋体"/>
          <w:szCs w:val="21"/>
        </w:rPr>
      </w:pPr>
      <w:r>
        <w:rPr>
          <w:rFonts w:ascii="宋体" w:hAnsi="宋体"/>
          <w:szCs w:val="21"/>
        </w:rPr>
        <w:t>2.基础数据和数据库维护。针对系统中使用的预设信息及相关基础信息定期进行更新维护。</w:t>
      </w:r>
    </w:p>
    <w:p>
      <w:pPr>
        <w:snapToGrid w:val="0"/>
        <w:spacing w:line="360" w:lineRule="auto"/>
        <w:ind w:firstLine="420" w:firstLineChars="200"/>
        <w:rPr>
          <w:rFonts w:ascii="宋体" w:hAnsi="宋体"/>
          <w:szCs w:val="21"/>
        </w:rPr>
      </w:pPr>
      <w:r>
        <w:rPr>
          <w:rFonts w:ascii="宋体" w:hAnsi="宋体"/>
          <w:szCs w:val="21"/>
        </w:rPr>
        <w:t>3.国产化适配。</w:t>
      </w:r>
      <w:r>
        <w:rPr>
          <w:rFonts w:hint="eastAsia" w:ascii="宋体" w:hAnsi="宋体"/>
          <w:szCs w:val="21"/>
        </w:rPr>
        <w:t>保障该系统能在</w:t>
      </w:r>
      <w:r>
        <w:rPr>
          <w:rFonts w:ascii="宋体" w:hAnsi="宋体"/>
          <w:szCs w:val="21"/>
        </w:rPr>
        <w:t>国产电脑（</w:t>
      </w:r>
      <w:r>
        <w:rPr>
          <w:rFonts w:hint="eastAsia" w:ascii="宋体" w:hAnsi="宋体"/>
          <w:szCs w:val="21"/>
        </w:rPr>
        <w:t>包括但不限于</w:t>
      </w:r>
      <w:r>
        <w:rPr>
          <w:rFonts w:ascii="宋体" w:hAnsi="宋体"/>
          <w:szCs w:val="21"/>
        </w:rPr>
        <w:t>浪潮、麒麟系统）</w:t>
      </w:r>
      <w:r>
        <w:rPr>
          <w:rFonts w:hint="eastAsia" w:ascii="宋体" w:hAnsi="宋体"/>
          <w:szCs w:val="21"/>
        </w:rPr>
        <w:t>中</w:t>
      </w:r>
      <w:r>
        <w:rPr>
          <w:rFonts w:ascii="宋体" w:hAnsi="宋体"/>
          <w:szCs w:val="21"/>
        </w:rPr>
        <w:t>正常使用。</w:t>
      </w:r>
    </w:p>
    <w:p>
      <w:pPr>
        <w:snapToGrid w:val="0"/>
        <w:spacing w:line="360" w:lineRule="auto"/>
        <w:ind w:firstLine="420" w:firstLineChars="200"/>
        <w:rPr>
          <w:rFonts w:ascii="宋体" w:hAnsi="宋体"/>
          <w:szCs w:val="21"/>
        </w:rPr>
      </w:pPr>
      <w:r>
        <w:rPr>
          <w:rFonts w:ascii="宋体" w:hAnsi="宋体"/>
          <w:szCs w:val="21"/>
        </w:rPr>
        <w:t>（四）广西环境保护税涉税信息共享平台（</w:t>
      </w:r>
      <w:r>
        <w:rPr>
          <w:rFonts w:hint="eastAsia" w:ascii="宋体" w:hAnsi="宋体"/>
          <w:szCs w:val="21"/>
        </w:rPr>
        <w:t>驻场地点：广西壮族自治区生态环境厅生态环境保护综合行政执法局</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1.每天通过对应用服务器、数据库服务器和环保前置机CPU，内存，硬盘进行检查是否发生故障，如有故障及时协助处理，保障服务器正常稳定地运行。</w:t>
      </w:r>
    </w:p>
    <w:p>
      <w:pPr>
        <w:snapToGrid w:val="0"/>
        <w:spacing w:line="360" w:lineRule="auto"/>
        <w:ind w:firstLine="420" w:firstLineChars="200"/>
        <w:rPr>
          <w:rFonts w:ascii="宋体" w:hAnsi="宋体"/>
          <w:szCs w:val="21"/>
        </w:rPr>
      </w:pPr>
      <w:r>
        <w:rPr>
          <w:rFonts w:ascii="宋体" w:hAnsi="宋体"/>
          <w:szCs w:val="21"/>
        </w:rPr>
        <w:t>2.每天对数据库服务器SQLServer和环保前置机MySQL的运行情况进行检查并进行记录。</w:t>
      </w:r>
    </w:p>
    <w:p>
      <w:pPr>
        <w:snapToGrid w:val="0"/>
        <w:spacing w:line="360" w:lineRule="auto"/>
        <w:ind w:firstLine="420" w:firstLineChars="200"/>
        <w:rPr>
          <w:rFonts w:ascii="宋体" w:hAnsi="宋体"/>
          <w:szCs w:val="21"/>
        </w:rPr>
      </w:pPr>
      <w:r>
        <w:rPr>
          <w:rFonts w:ascii="宋体" w:hAnsi="宋体"/>
          <w:szCs w:val="21"/>
        </w:rPr>
        <w:t>3.环保前置机升级</w:t>
      </w:r>
    </w:p>
    <w:p>
      <w:pPr>
        <w:snapToGrid w:val="0"/>
        <w:spacing w:line="360" w:lineRule="auto"/>
        <w:ind w:firstLine="420" w:firstLineChars="200"/>
        <w:rPr>
          <w:rFonts w:ascii="宋体" w:hAnsi="宋体"/>
          <w:szCs w:val="21"/>
        </w:rPr>
      </w:pPr>
      <w:r>
        <w:rPr>
          <w:rFonts w:ascii="宋体" w:hAnsi="宋体"/>
          <w:szCs w:val="21"/>
        </w:rPr>
        <w:t>根据生态环境部环保前置机升级维护工作安排，完成省级环保前置机升级，并参照业务要求，核实升级结果，解决环保前置机升级遇到问题。</w:t>
      </w:r>
    </w:p>
    <w:p>
      <w:pPr>
        <w:snapToGrid w:val="0"/>
        <w:spacing w:line="360" w:lineRule="auto"/>
        <w:ind w:firstLine="420" w:firstLineChars="200"/>
        <w:rPr>
          <w:rFonts w:ascii="宋体" w:hAnsi="宋体"/>
          <w:szCs w:val="21"/>
        </w:rPr>
      </w:pPr>
      <w:r>
        <w:rPr>
          <w:rFonts w:ascii="宋体" w:hAnsi="宋体"/>
          <w:szCs w:val="21"/>
        </w:rPr>
        <w:t>4.数据共享与交换联调</w:t>
      </w:r>
    </w:p>
    <w:p>
      <w:pPr>
        <w:snapToGrid w:val="0"/>
        <w:spacing w:line="360" w:lineRule="auto"/>
        <w:ind w:firstLine="420" w:firstLineChars="200"/>
        <w:rPr>
          <w:rFonts w:ascii="宋体" w:hAnsi="宋体"/>
          <w:szCs w:val="21"/>
        </w:rPr>
      </w:pPr>
      <w:r>
        <w:rPr>
          <w:rFonts w:ascii="宋体" w:hAnsi="宋体"/>
          <w:szCs w:val="21"/>
        </w:rPr>
        <w:t>与税务技术人员配合，负责生态环境部门与税务部门前置机数据交换联调，确保环保与税务前置机数据共享与交换工作正常开展。跟踪前置机数据交换日志，分析并解决前置机运行过程中遇到的问题，并配合税务技术人员，协助解决税务前置机遇到问题。</w:t>
      </w:r>
    </w:p>
    <w:p>
      <w:pPr>
        <w:snapToGrid w:val="0"/>
        <w:spacing w:line="360" w:lineRule="auto"/>
        <w:ind w:firstLine="420" w:firstLineChars="200"/>
        <w:rPr>
          <w:rFonts w:ascii="宋体" w:hAnsi="宋体"/>
          <w:szCs w:val="21"/>
        </w:rPr>
      </w:pPr>
      <w:r>
        <w:rPr>
          <w:rFonts w:ascii="宋体" w:hAnsi="宋体"/>
          <w:szCs w:val="21"/>
        </w:rPr>
        <w:t>5.根据排污许可证、生态环境行政处罚、监督性监测、污染源自动监控等业务系统的变动，维护接口数据入库程序，修改对应的ETL数据模板。</w:t>
      </w:r>
    </w:p>
    <w:p>
      <w:pPr>
        <w:snapToGrid w:val="0"/>
        <w:spacing w:line="360" w:lineRule="auto"/>
        <w:ind w:firstLine="420" w:firstLineChars="200"/>
        <w:rPr>
          <w:rFonts w:ascii="宋体" w:hAnsi="宋体"/>
          <w:szCs w:val="21"/>
        </w:rPr>
      </w:pPr>
      <w:r>
        <w:rPr>
          <w:rFonts w:ascii="宋体" w:hAnsi="宋体"/>
          <w:szCs w:val="21"/>
        </w:rPr>
        <w:t>6.数据导入</w:t>
      </w:r>
    </w:p>
    <w:p>
      <w:pPr>
        <w:snapToGrid w:val="0"/>
        <w:spacing w:line="360" w:lineRule="auto"/>
        <w:ind w:firstLine="420" w:firstLineChars="200"/>
        <w:rPr>
          <w:rFonts w:ascii="宋体" w:hAnsi="宋体"/>
          <w:szCs w:val="21"/>
        </w:rPr>
      </w:pPr>
      <w:r>
        <w:rPr>
          <w:rFonts w:ascii="宋体" w:hAnsi="宋体"/>
          <w:szCs w:val="21"/>
        </w:rPr>
        <w:t>对涉及的业务数据：税务共享数据、排污许可证数据、生态环境处罚信息数据、污染源在线监控数据、监督性监测等进行数据导入。</w:t>
      </w:r>
    </w:p>
    <w:p>
      <w:pPr>
        <w:snapToGrid w:val="0"/>
        <w:spacing w:line="360" w:lineRule="auto"/>
        <w:ind w:firstLine="420" w:firstLineChars="200"/>
        <w:rPr>
          <w:rFonts w:ascii="宋体" w:hAnsi="宋体"/>
          <w:szCs w:val="21"/>
        </w:rPr>
      </w:pPr>
      <w:r>
        <w:rPr>
          <w:rFonts w:ascii="宋体" w:hAnsi="宋体"/>
          <w:szCs w:val="21"/>
        </w:rPr>
        <w:t>7.数据统一</w:t>
      </w:r>
    </w:p>
    <w:p>
      <w:pPr>
        <w:snapToGrid w:val="0"/>
        <w:spacing w:line="360" w:lineRule="auto"/>
        <w:ind w:firstLine="420" w:firstLineChars="200"/>
        <w:rPr>
          <w:rFonts w:ascii="宋体" w:hAnsi="宋体"/>
          <w:szCs w:val="21"/>
        </w:rPr>
      </w:pPr>
      <w:r>
        <w:rPr>
          <w:rFonts w:ascii="宋体" w:hAnsi="宋体"/>
          <w:szCs w:val="21"/>
        </w:rPr>
        <w:t>对税务部门及生态环境各业务部门产生的增量数据中无法按照工具统一的数据进行分析核实并确定数据统一方式，完成数据统一，以提升数据统一比率。</w:t>
      </w:r>
    </w:p>
    <w:p>
      <w:pPr>
        <w:snapToGrid w:val="0"/>
        <w:spacing w:line="360" w:lineRule="auto"/>
        <w:ind w:firstLine="420" w:firstLineChars="200"/>
        <w:rPr>
          <w:rFonts w:ascii="宋体" w:hAnsi="宋体"/>
          <w:szCs w:val="21"/>
        </w:rPr>
      </w:pPr>
      <w:r>
        <w:rPr>
          <w:rFonts w:ascii="宋体" w:hAnsi="宋体"/>
          <w:szCs w:val="21"/>
        </w:rPr>
        <w:t>8.数据比对清洗及审核处理</w:t>
      </w:r>
    </w:p>
    <w:p>
      <w:pPr>
        <w:snapToGrid w:val="0"/>
        <w:spacing w:line="360" w:lineRule="auto"/>
        <w:ind w:firstLine="420" w:firstLineChars="200"/>
        <w:rPr>
          <w:rFonts w:ascii="宋体" w:hAnsi="宋体"/>
          <w:szCs w:val="21"/>
        </w:rPr>
      </w:pPr>
      <w:r>
        <w:rPr>
          <w:rFonts w:ascii="宋体" w:hAnsi="宋体"/>
          <w:szCs w:val="21"/>
        </w:rPr>
        <w:t>结合业务实际发现不同数据源相同或相似数据存在数据不一致及数据缺失、异常等情况，通过多业务部门会同协商，对潜在数据问题及涉及数据内容进行确定，再结合技术手段，发现数据存在的不一致及数据缺失、异常等情况并反馈各业务部门供其进行完善</w:t>
      </w:r>
      <w:r>
        <w:rPr>
          <w:rFonts w:hint="eastAsia" w:ascii="宋体" w:hAnsi="宋体"/>
          <w:szCs w:val="21"/>
        </w:rPr>
        <w:t>，达到相关</w:t>
      </w:r>
      <w:r>
        <w:rPr>
          <w:rFonts w:ascii="宋体" w:hAnsi="宋体"/>
          <w:szCs w:val="21"/>
        </w:rPr>
        <w:t>数据标</w:t>
      </w:r>
      <w:r>
        <w:rPr>
          <w:rFonts w:hint="eastAsia" w:ascii="宋体" w:hAnsi="宋体"/>
          <w:szCs w:val="21"/>
        </w:rPr>
        <w:t>准的</w:t>
      </w:r>
      <w:r>
        <w:rPr>
          <w:rFonts w:ascii="宋体" w:hAnsi="宋体"/>
          <w:szCs w:val="21"/>
        </w:rPr>
        <w:t>质量要求。</w:t>
      </w:r>
    </w:p>
    <w:p>
      <w:pPr>
        <w:snapToGrid w:val="0"/>
        <w:spacing w:line="360" w:lineRule="auto"/>
        <w:ind w:firstLine="420" w:firstLineChars="200"/>
        <w:rPr>
          <w:rFonts w:ascii="宋体" w:hAnsi="宋体"/>
          <w:szCs w:val="21"/>
        </w:rPr>
      </w:pPr>
      <w:r>
        <w:rPr>
          <w:rFonts w:ascii="宋体" w:hAnsi="宋体"/>
          <w:szCs w:val="21"/>
        </w:rPr>
        <w:t>9.环境保护税复核服务</w:t>
      </w:r>
    </w:p>
    <w:p>
      <w:pPr>
        <w:snapToGrid w:val="0"/>
        <w:spacing w:line="360" w:lineRule="auto"/>
        <w:ind w:firstLine="420" w:firstLineChars="200"/>
        <w:rPr>
          <w:rFonts w:ascii="宋体" w:hAnsi="宋体"/>
          <w:szCs w:val="21"/>
        </w:rPr>
      </w:pPr>
      <w:r>
        <w:rPr>
          <w:rFonts w:ascii="宋体" w:hAnsi="宋体"/>
          <w:szCs w:val="21"/>
        </w:rPr>
        <w:t>协助生态环境部门对疑难复核情况进行数据采集、数据比对及分析，并配合行业专家指导一线开展复核。</w:t>
      </w:r>
    </w:p>
    <w:p>
      <w:pPr>
        <w:snapToGrid w:val="0"/>
        <w:spacing w:line="360" w:lineRule="auto"/>
        <w:ind w:firstLine="420" w:firstLineChars="200"/>
        <w:rPr>
          <w:rFonts w:ascii="宋体" w:hAnsi="宋体"/>
          <w:szCs w:val="21"/>
        </w:rPr>
      </w:pPr>
      <w:r>
        <w:rPr>
          <w:rFonts w:ascii="宋体" w:hAnsi="宋体"/>
          <w:szCs w:val="21"/>
        </w:rPr>
        <w:t>配合生态环境部门，根据税务机关提请复核任务办结情况，抽取并分析企业原始申报数据、环境保护税复核结论、历史环境报税征收数据、排污许可证数据、在线数据、监督性监测数据、处罚数据，核实并验证生态环境部门复核结果。对核实过程中发现的问题形成复核结果核实及验证报告，并汇总</w:t>
      </w:r>
      <w:r>
        <w:rPr>
          <w:rFonts w:hint="eastAsia" w:ascii="宋体" w:hAnsi="宋体"/>
          <w:szCs w:val="21"/>
        </w:rPr>
        <w:t>至自治区</w:t>
      </w:r>
      <w:r>
        <w:rPr>
          <w:rFonts w:ascii="宋体" w:hAnsi="宋体"/>
          <w:szCs w:val="21"/>
        </w:rPr>
        <w:t>生态环境</w:t>
      </w:r>
      <w:r>
        <w:rPr>
          <w:rFonts w:hint="eastAsia" w:ascii="宋体" w:hAnsi="宋体"/>
          <w:szCs w:val="21"/>
        </w:rPr>
        <w:t>厅</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10.涉税业务数据接口的数据审查</w:t>
      </w:r>
    </w:p>
    <w:p>
      <w:pPr>
        <w:snapToGrid w:val="0"/>
        <w:spacing w:line="360" w:lineRule="auto"/>
        <w:ind w:firstLine="420" w:firstLineChars="200"/>
        <w:rPr>
          <w:rFonts w:ascii="宋体" w:hAnsi="宋体"/>
          <w:szCs w:val="21"/>
        </w:rPr>
      </w:pPr>
      <w:r>
        <w:rPr>
          <w:rFonts w:ascii="宋体" w:hAnsi="宋体"/>
          <w:szCs w:val="21"/>
        </w:rPr>
        <w:t>涉税平台涉及的业务数据接口审核，将审核过程中发现的问题与对应业务科室、接口运维方沟通反馈，协助排查问题原因。解决数据的及时性、准确性、规范性问题。</w:t>
      </w:r>
    </w:p>
    <w:p>
      <w:pPr>
        <w:snapToGrid w:val="0"/>
        <w:spacing w:line="360" w:lineRule="auto"/>
        <w:ind w:firstLine="420" w:firstLineChars="200"/>
        <w:rPr>
          <w:rFonts w:ascii="宋体" w:hAnsi="宋体"/>
          <w:szCs w:val="21"/>
        </w:rPr>
      </w:pPr>
      <w:r>
        <w:rPr>
          <w:rFonts w:ascii="宋体" w:hAnsi="宋体"/>
          <w:szCs w:val="21"/>
        </w:rPr>
        <w:t>（五）党政机关综合办公系统驻场运维（</w:t>
      </w:r>
      <w:r>
        <w:rPr>
          <w:rFonts w:hint="eastAsia" w:ascii="宋体" w:hAnsi="宋体"/>
          <w:szCs w:val="21"/>
        </w:rPr>
        <w:t>驻场地点：广西壮族自治区环境信息中心</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协助处理日常故障和</w:t>
      </w:r>
      <w:r>
        <w:rPr>
          <w:rFonts w:ascii="宋体" w:hAnsi="宋体"/>
          <w:szCs w:val="21"/>
        </w:rPr>
        <w:t>系统优化。根据日常软件维护服务，保障系统运行稳定。结合使用情况以及客户需求进行部分功能优化调整。</w:t>
      </w:r>
    </w:p>
    <w:p>
      <w:pPr>
        <w:snapToGrid w:val="0"/>
        <w:spacing w:line="360" w:lineRule="auto"/>
        <w:ind w:firstLine="420" w:firstLineChars="200"/>
        <w:rPr>
          <w:rFonts w:ascii="宋体" w:hAnsi="宋体"/>
          <w:szCs w:val="21"/>
        </w:rPr>
      </w:pPr>
      <w:r>
        <w:rPr>
          <w:rFonts w:ascii="宋体" w:hAnsi="宋体"/>
          <w:szCs w:val="21"/>
        </w:rPr>
        <w:t>2.基础数据和数据库维护。针对系统中使用的预设信息及相关基础信息定期进行更新维护。</w:t>
      </w:r>
    </w:p>
    <w:p>
      <w:pPr>
        <w:snapToGrid w:val="0"/>
        <w:spacing w:line="360" w:lineRule="auto"/>
        <w:ind w:firstLine="420" w:firstLineChars="200"/>
        <w:rPr>
          <w:rFonts w:ascii="宋体" w:hAnsi="宋体"/>
          <w:szCs w:val="21"/>
        </w:rPr>
      </w:pPr>
      <w:r>
        <w:rPr>
          <w:rFonts w:ascii="宋体" w:hAnsi="宋体"/>
          <w:szCs w:val="21"/>
        </w:rPr>
        <w:t>3.国产化适配。</w:t>
      </w:r>
      <w:r>
        <w:rPr>
          <w:rFonts w:hint="eastAsia" w:ascii="宋体" w:hAnsi="宋体"/>
          <w:szCs w:val="21"/>
        </w:rPr>
        <w:t>协调配备运行所需软件、环境，保障该系统能在</w:t>
      </w:r>
      <w:r>
        <w:rPr>
          <w:rFonts w:ascii="宋体" w:hAnsi="宋体"/>
          <w:szCs w:val="21"/>
        </w:rPr>
        <w:t>国产电脑（</w:t>
      </w:r>
      <w:r>
        <w:rPr>
          <w:rFonts w:hint="eastAsia" w:ascii="宋体" w:hAnsi="宋体"/>
          <w:szCs w:val="21"/>
        </w:rPr>
        <w:t>包括但不限于统信、麒麟</w:t>
      </w:r>
      <w:r>
        <w:rPr>
          <w:rFonts w:ascii="宋体" w:hAnsi="宋体"/>
          <w:szCs w:val="21"/>
        </w:rPr>
        <w:t>系统）</w:t>
      </w:r>
      <w:r>
        <w:rPr>
          <w:rFonts w:hint="eastAsia" w:ascii="宋体" w:hAnsi="宋体"/>
          <w:szCs w:val="21"/>
        </w:rPr>
        <w:t>中</w:t>
      </w:r>
      <w:r>
        <w:rPr>
          <w:rFonts w:ascii="宋体" w:hAnsi="宋体"/>
          <w:szCs w:val="21"/>
        </w:rPr>
        <w:t>正常使用。</w:t>
      </w:r>
    </w:p>
    <w:p>
      <w:pPr>
        <w:snapToGrid w:val="0"/>
        <w:spacing w:line="360" w:lineRule="auto"/>
        <w:ind w:firstLine="420" w:firstLineChars="200"/>
        <w:rPr>
          <w:rFonts w:ascii="宋体" w:hAnsi="宋体"/>
          <w:szCs w:val="21"/>
        </w:rPr>
      </w:pPr>
      <w:r>
        <w:rPr>
          <w:rFonts w:ascii="宋体" w:hAnsi="宋体"/>
          <w:szCs w:val="21"/>
        </w:rPr>
        <w:t>（六）广西核应急指挥平台（</w:t>
      </w:r>
      <w:r>
        <w:rPr>
          <w:rFonts w:hint="eastAsia" w:ascii="宋体" w:hAnsi="宋体"/>
          <w:szCs w:val="21"/>
        </w:rPr>
        <w:t>驻场地点：广西壮族自治区生态环境厅核与辐射安全监管处</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负责</w:t>
      </w:r>
      <w:r>
        <w:rPr>
          <w:rFonts w:ascii="宋体" w:hAnsi="宋体"/>
          <w:szCs w:val="21"/>
        </w:rPr>
        <w:t>系统软硬环境监控、系统性能评估优化、业务运维、应急值班、核应急时现场技术支持、核与辐射应急演习演练支持、网络安全技术支持、信息化管理技术支持、数据处理、系统升级、应急故障处理及其他工作；</w:t>
      </w:r>
    </w:p>
    <w:p>
      <w:pPr>
        <w:snapToGrid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负责</w:t>
      </w:r>
      <w:r>
        <w:rPr>
          <w:rFonts w:ascii="宋体" w:hAnsi="宋体"/>
          <w:szCs w:val="21"/>
        </w:rPr>
        <w:t>对接国家核应急专网联通测试、41个成员单位的定期联络、核电厂区的情况调度等；</w:t>
      </w:r>
    </w:p>
    <w:p>
      <w:pPr>
        <w:snapToGrid w:val="0"/>
        <w:spacing w:line="360" w:lineRule="auto"/>
        <w:ind w:firstLine="420" w:firstLineChars="200"/>
        <w:rPr>
          <w:rFonts w:ascii="宋体" w:hAnsi="宋体"/>
          <w:szCs w:val="21"/>
        </w:rPr>
      </w:pPr>
      <w:r>
        <w:rPr>
          <w:rFonts w:ascii="宋体" w:hAnsi="宋体"/>
          <w:szCs w:val="21"/>
        </w:rPr>
        <w:t>3.具备运行维护该系统平台的基本技能和能力，定点驻场实时监控平台运行情况，对异常情况能妥善处置。</w:t>
      </w:r>
    </w:p>
    <w:p>
      <w:pPr>
        <w:snapToGrid w:val="0"/>
        <w:spacing w:line="360" w:lineRule="auto"/>
        <w:ind w:firstLine="420" w:firstLineChars="200"/>
        <w:rPr>
          <w:rFonts w:ascii="宋体" w:hAnsi="宋体"/>
          <w:szCs w:val="21"/>
        </w:rPr>
      </w:pPr>
      <w:r>
        <w:rPr>
          <w:rFonts w:ascii="宋体" w:hAnsi="宋体"/>
          <w:szCs w:val="21"/>
        </w:rPr>
        <w:t>4.确保核应急数据资料的安全性。</w:t>
      </w:r>
    </w:p>
    <w:p>
      <w:pPr>
        <w:snapToGrid w:val="0"/>
        <w:spacing w:line="360" w:lineRule="auto"/>
        <w:ind w:firstLine="420" w:firstLineChars="200"/>
        <w:rPr>
          <w:rFonts w:ascii="宋体" w:hAnsi="宋体"/>
          <w:szCs w:val="21"/>
        </w:rPr>
      </w:pPr>
      <w:r>
        <w:rPr>
          <w:rFonts w:ascii="宋体" w:hAnsi="宋体"/>
          <w:szCs w:val="21"/>
        </w:rPr>
        <w:t>（七）其余系统（</w:t>
      </w:r>
      <w:r>
        <w:rPr>
          <w:rFonts w:hint="eastAsia" w:ascii="宋体" w:hAnsi="宋体"/>
          <w:szCs w:val="21"/>
        </w:rPr>
        <w:t>驻场地点：广西壮族自治区环境信息中心</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安排3个人员在信息中心驻场，工作内容如下：</w:t>
      </w:r>
    </w:p>
    <w:p>
      <w:pPr>
        <w:snapToGrid w:val="0"/>
        <w:spacing w:line="360" w:lineRule="auto"/>
        <w:ind w:firstLine="420" w:firstLineChars="200"/>
        <w:rPr>
          <w:rFonts w:ascii="宋体" w:hAnsi="宋体"/>
          <w:szCs w:val="21"/>
        </w:rPr>
      </w:pPr>
      <w:r>
        <w:rPr>
          <w:rFonts w:ascii="宋体" w:hAnsi="宋体"/>
          <w:szCs w:val="21"/>
        </w:rPr>
        <w:t>1.负责</w:t>
      </w:r>
      <w:r>
        <w:rPr>
          <w:rFonts w:hint="eastAsia" w:ascii="宋体" w:hAnsi="宋体"/>
          <w:szCs w:val="21"/>
        </w:rPr>
        <w:t>33个</w:t>
      </w:r>
      <w:r>
        <w:rPr>
          <w:rFonts w:ascii="宋体" w:hAnsi="宋体"/>
          <w:szCs w:val="21"/>
        </w:rPr>
        <w:t>系统现场值班、技术支持、故障处理、解决系统出现的应急事件和隐患、制定应急方案并进行修复，分析原因提出改进措施，防止类似问题再次发生，参与和制定灾备方案，确保系统的高可用和容灾性能。</w:t>
      </w:r>
    </w:p>
    <w:p>
      <w:pPr>
        <w:snapToGrid w:val="0"/>
        <w:spacing w:line="360" w:lineRule="auto"/>
        <w:ind w:firstLine="420" w:firstLineChars="200"/>
        <w:rPr>
          <w:rFonts w:ascii="宋体" w:hAnsi="宋体"/>
          <w:szCs w:val="21"/>
        </w:rPr>
      </w:pPr>
      <w:r>
        <w:rPr>
          <w:rFonts w:ascii="宋体" w:hAnsi="宋体"/>
          <w:szCs w:val="21"/>
        </w:rPr>
        <w:t>2.对部分系统需求进行调研、汇总，进行二次开发和调整。</w:t>
      </w:r>
    </w:p>
    <w:p>
      <w:pPr>
        <w:snapToGrid w:val="0"/>
        <w:spacing w:line="360" w:lineRule="auto"/>
        <w:ind w:firstLine="420" w:firstLineChars="200"/>
        <w:rPr>
          <w:rFonts w:ascii="宋体" w:hAnsi="宋体"/>
          <w:szCs w:val="21"/>
        </w:rPr>
      </w:pPr>
      <w:r>
        <w:rPr>
          <w:rFonts w:ascii="宋体" w:hAnsi="宋体"/>
          <w:szCs w:val="21"/>
        </w:rPr>
        <w:t>3.按照工作要求，以及环保法律法规的变更，为系统免费增加或更换各种工作表单。</w:t>
      </w:r>
    </w:p>
    <w:p>
      <w:pPr>
        <w:snapToGrid w:val="0"/>
        <w:spacing w:line="360" w:lineRule="auto"/>
        <w:ind w:firstLine="420" w:firstLineChars="200"/>
        <w:rPr>
          <w:rFonts w:ascii="宋体" w:hAnsi="宋体"/>
          <w:szCs w:val="21"/>
        </w:rPr>
      </w:pPr>
      <w:r>
        <w:rPr>
          <w:rFonts w:ascii="宋体" w:hAnsi="宋体"/>
          <w:szCs w:val="21"/>
        </w:rPr>
        <w:t>4.加强系统功能优化，对平时反复出现的问题进行排查总结。</w:t>
      </w:r>
    </w:p>
    <w:p>
      <w:pPr>
        <w:snapToGrid w:val="0"/>
        <w:spacing w:line="360" w:lineRule="auto"/>
        <w:ind w:firstLine="420" w:firstLineChars="200"/>
        <w:rPr>
          <w:rFonts w:ascii="宋体" w:hAnsi="宋体"/>
          <w:szCs w:val="21"/>
        </w:rPr>
      </w:pPr>
      <w:r>
        <w:rPr>
          <w:rFonts w:ascii="宋体" w:hAnsi="宋体"/>
          <w:szCs w:val="21"/>
        </w:rPr>
        <w:t>5.根据系统实际运维情况，提出对各个系统的维护建议和要求。</w:t>
      </w:r>
    </w:p>
    <w:p>
      <w:pPr>
        <w:snapToGrid w:val="0"/>
        <w:spacing w:line="360" w:lineRule="auto"/>
        <w:ind w:firstLine="420" w:firstLineChars="200"/>
        <w:rPr>
          <w:rFonts w:ascii="宋体" w:hAnsi="宋体"/>
          <w:szCs w:val="21"/>
        </w:rPr>
      </w:pPr>
      <w:r>
        <w:rPr>
          <w:rFonts w:ascii="宋体" w:hAnsi="宋体"/>
          <w:szCs w:val="21"/>
        </w:rPr>
        <w:t>6.根据实际需要，为各系统提供日常免费升级服务，根据使用过程发现的问题，不断修改完善软件。</w:t>
      </w:r>
    </w:p>
    <w:p>
      <w:pPr>
        <w:snapToGrid w:val="0"/>
        <w:spacing w:line="360" w:lineRule="auto"/>
        <w:ind w:firstLine="420" w:firstLineChars="200"/>
        <w:rPr>
          <w:rFonts w:ascii="宋体" w:hAnsi="宋体"/>
          <w:szCs w:val="21"/>
        </w:rPr>
      </w:pPr>
      <w:r>
        <w:rPr>
          <w:rFonts w:ascii="宋体" w:hAnsi="宋体"/>
          <w:szCs w:val="21"/>
        </w:rPr>
        <w:t>7.配合广西壮族自治区生态环境厅</w:t>
      </w:r>
      <w:r>
        <w:rPr>
          <w:rFonts w:hint="eastAsia" w:ascii="宋体" w:hAnsi="宋体"/>
          <w:szCs w:val="21"/>
        </w:rPr>
        <w:t>相关</w:t>
      </w:r>
      <w:r>
        <w:rPr>
          <w:rFonts w:ascii="宋体" w:hAnsi="宋体"/>
          <w:szCs w:val="21"/>
        </w:rPr>
        <w:t>部门，保持积极主动的沟通和合作，根据各部门的管理需求，完成日常的数据抽取、清洗和统计工作，确保工作顺利运行和人员协调分配。</w:t>
      </w:r>
    </w:p>
    <w:p>
      <w:pPr>
        <w:snapToGrid w:val="0"/>
        <w:spacing w:line="360" w:lineRule="auto"/>
        <w:ind w:firstLine="420" w:firstLineChars="200"/>
        <w:rPr>
          <w:rFonts w:ascii="宋体" w:hAnsi="宋体"/>
          <w:szCs w:val="21"/>
        </w:rPr>
      </w:pPr>
      <w:r>
        <w:rPr>
          <w:rFonts w:hint="eastAsia" w:ascii="宋体" w:hAnsi="宋体"/>
          <w:szCs w:val="21"/>
        </w:rPr>
        <w:t>五</w:t>
      </w:r>
      <w:r>
        <w:rPr>
          <w:rFonts w:ascii="宋体" w:hAnsi="宋体"/>
          <w:szCs w:val="21"/>
        </w:rPr>
        <w:t>、安全保障</w:t>
      </w:r>
    </w:p>
    <w:p>
      <w:pPr>
        <w:snapToGrid w:val="0"/>
        <w:spacing w:line="360" w:lineRule="auto"/>
        <w:ind w:firstLine="420" w:firstLineChars="200"/>
        <w:rPr>
          <w:rFonts w:ascii="宋体" w:hAnsi="宋体"/>
          <w:szCs w:val="21"/>
        </w:rPr>
      </w:pPr>
      <w:r>
        <w:rPr>
          <w:rFonts w:ascii="宋体" w:hAnsi="宋体"/>
          <w:szCs w:val="21"/>
        </w:rPr>
        <w:t>（一）漏洞扫描服务</w:t>
      </w:r>
    </w:p>
    <w:p>
      <w:pPr>
        <w:snapToGrid w:val="0"/>
        <w:spacing w:line="360" w:lineRule="auto"/>
        <w:ind w:firstLine="420" w:firstLineChars="200"/>
        <w:rPr>
          <w:rFonts w:ascii="宋体" w:hAnsi="宋体"/>
          <w:szCs w:val="21"/>
        </w:rPr>
      </w:pPr>
      <w:r>
        <w:rPr>
          <w:rFonts w:ascii="宋体" w:hAnsi="宋体"/>
          <w:szCs w:val="21"/>
        </w:rPr>
        <w:t>1.开展漏洞扫描</w:t>
      </w:r>
    </w:p>
    <w:p>
      <w:pPr>
        <w:snapToGrid w:val="0"/>
        <w:spacing w:line="360" w:lineRule="auto"/>
        <w:ind w:firstLine="420" w:firstLineChars="200"/>
        <w:rPr>
          <w:rFonts w:ascii="宋体" w:hAnsi="宋体"/>
          <w:szCs w:val="21"/>
        </w:rPr>
      </w:pPr>
      <w:r>
        <w:rPr>
          <w:rFonts w:ascii="宋体" w:hAnsi="宋体"/>
          <w:szCs w:val="21"/>
        </w:rPr>
        <w:t>针对部署在广西壮族自治区生态环境厅的21个业务系统，要求供应商每月</w:t>
      </w:r>
      <w:r>
        <w:rPr>
          <w:rFonts w:hint="eastAsia" w:ascii="宋体" w:hAnsi="宋体"/>
          <w:szCs w:val="21"/>
        </w:rPr>
        <w:t>对</w:t>
      </w:r>
      <w:r>
        <w:rPr>
          <w:rFonts w:ascii="宋体" w:hAnsi="宋体"/>
          <w:szCs w:val="21"/>
        </w:rPr>
        <w:t>每</w:t>
      </w:r>
      <w:r>
        <w:rPr>
          <w:rFonts w:hint="eastAsia" w:ascii="宋体" w:hAnsi="宋体"/>
          <w:szCs w:val="21"/>
        </w:rPr>
        <w:t>个</w:t>
      </w:r>
      <w:r>
        <w:rPr>
          <w:rFonts w:ascii="宋体" w:hAnsi="宋体"/>
          <w:szCs w:val="21"/>
        </w:rPr>
        <w:t>系统</w:t>
      </w:r>
      <w:r>
        <w:rPr>
          <w:rFonts w:hint="eastAsia" w:ascii="宋体" w:hAnsi="宋体"/>
          <w:szCs w:val="21"/>
        </w:rPr>
        <w:t>至少</w:t>
      </w:r>
      <w:r>
        <w:rPr>
          <w:rFonts w:ascii="宋体" w:hAnsi="宋体"/>
          <w:szCs w:val="21"/>
        </w:rPr>
        <w:t>自行开展漏洞扫描1次，且要求供应商自备漏扫工具。</w:t>
      </w:r>
    </w:p>
    <w:p>
      <w:pPr>
        <w:snapToGrid w:val="0"/>
        <w:spacing w:line="360" w:lineRule="auto"/>
        <w:ind w:firstLine="420" w:firstLineChars="200"/>
        <w:rPr>
          <w:rFonts w:ascii="宋体" w:hAnsi="宋体"/>
          <w:szCs w:val="21"/>
        </w:rPr>
      </w:pPr>
      <w:r>
        <w:rPr>
          <w:rFonts w:ascii="宋体" w:hAnsi="宋体"/>
          <w:szCs w:val="21"/>
        </w:rPr>
        <w:t>2.修复安全漏洞</w:t>
      </w:r>
    </w:p>
    <w:p>
      <w:pPr>
        <w:snapToGrid w:val="0"/>
        <w:spacing w:line="360" w:lineRule="auto"/>
        <w:ind w:firstLine="420" w:firstLineChars="200"/>
        <w:rPr>
          <w:rFonts w:ascii="宋体" w:hAnsi="宋体"/>
          <w:szCs w:val="21"/>
        </w:rPr>
      </w:pPr>
      <w:r>
        <w:rPr>
          <w:rFonts w:ascii="宋体" w:hAnsi="宋体"/>
          <w:szCs w:val="21"/>
        </w:rPr>
        <w:t>广西壮族自治区生态环境厅针对33个业务系统</w:t>
      </w:r>
      <w:r>
        <w:rPr>
          <w:rFonts w:hint="eastAsia" w:ascii="宋体" w:hAnsi="宋体"/>
          <w:szCs w:val="21"/>
        </w:rPr>
        <w:t>将</w:t>
      </w:r>
      <w:r>
        <w:rPr>
          <w:rFonts w:ascii="宋体" w:hAnsi="宋体"/>
          <w:szCs w:val="21"/>
        </w:rPr>
        <w:t>的平台系统进行</w:t>
      </w:r>
      <w:r>
        <w:rPr>
          <w:rFonts w:hint="eastAsia" w:ascii="宋体" w:hAnsi="宋体"/>
          <w:szCs w:val="21"/>
        </w:rPr>
        <w:t>频次不少于</w:t>
      </w:r>
      <w:r>
        <w:rPr>
          <w:rFonts w:ascii="宋体" w:hAnsi="宋体"/>
          <w:szCs w:val="21"/>
        </w:rPr>
        <w:t>每个系统每月1次</w:t>
      </w:r>
      <w:r>
        <w:rPr>
          <w:rFonts w:hint="eastAsia" w:ascii="宋体" w:hAnsi="宋体"/>
          <w:szCs w:val="21"/>
        </w:rPr>
        <w:t>的漏洞扫描。</w:t>
      </w:r>
    </w:p>
    <w:p>
      <w:pPr>
        <w:snapToGrid w:val="0"/>
        <w:spacing w:line="360" w:lineRule="auto"/>
        <w:ind w:firstLine="420" w:firstLineChars="200"/>
        <w:rPr>
          <w:rFonts w:ascii="宋体" w:hAnsi="宋体"/>
          <w:szCs w:val="21"/>
        </w:rPr>
      </w:pPr>
      <w:r>
        <w:rPr>
          <w:rFonts w:ascii="宋体" w:hAnsi="宋体"/>
          <w:szCs w:val="21"/>
        </w:rPr>
        <w:t>供应商对漏扫的问题需在5天内完成修复。每次安排5人分析、修复、检查，确保系统安全稳定。针对广西壮族自治区生态环境厅的33个业务系统的平台系统漏洞扫描结</w:t>
      </w:r>
      <w:r>
        <w:rPr>
          <w:rFonts w:hint="eastAsia" w:ascii="宋体" w:hAnsi="宋体"/>
          <w:szCs w:val="21"/>
        </w:rPr>
        <w:t>果</w:t>
      </w:r>
      <w:r>
        <w:rPr>
          <w:rFonts w:ascii="宋体" w:hAnsi="宋体"/>
          <w:szCs w:val="21"/>
        </w:rPr>
        <w:t>进行分析，根据漏洞的严重程度和影响范围，对其进行评估和分类，优先处理高风险的漏洞，应用适当的修补程序或补丁修复漏洞，并进行测试验证。在进行安全漏洞扫描及修复时，采取自动扫描工具，和风险评估、手动检查并行，及时更新系统和软件，确保系统安全稳定运行。</w:t>
      </w:r>
    </w:p>
    <w:p>
      <w:pPr>
        <w:snapToGrid w:val="0"/>
        <w:spacing w:line="360" w:lineRule="auto"/>
        <w:ind w:firstLine="420" w:firstLineChars="200"/>
        <w:rPr>
          <w:rFonts w:ascii="宋体" w:hAnsi="宋体"/>
          <w:szCs w:val="21"/>
        </w:rPr>
      </w:pPr>
      <w:r>
        <w:rPr>
          <w:rFonts w:ascii="宋体" w:hAnsi="宋体"/>
          <w:szCs w:val="21"/>
        </w:rPr>
        <w:t>（二）处理代码审计的缺陷</w:t>
      </w:r>
    </w:p>
    <w:p>
      <w:pPr>
        <w:snapToGrid w:val="0"/>
        <w:spacing w:line="360" w:lineRule="auto"/>
        <w:ind w:firstLine="420" w:firstLineChars="200"/>
        <w:rPr>
          <w:rFonts w:ascii="宋体" w:hAnsi="宋体"/>
          <w:szCs w:val="21"/>
        </w:rPr>
      </w:pPr>
      <w:r>
        <w:rPr>
          <w:rFonts w:hint="eastAsia" w:ascii="宋体" w:hAnsi="宋体"/>
          <w:szCs w:val="21"/>
        </w:rPr>
        <w:t>供应商</w:t>
      </w:r>
      <w:r>
        <w:rPr>
          <w:rFonts w:ascii="宋体" w:hAnsi="宋体"/>
          <w:szCs w:val="21"/>
        </w:rPr>
        <w:t>对部署在广西壮族自治区生态环境厅的33个业务系统的代码审计问题进行确认和分类，深入分析问题的原因、类型，制定详细的解决方案，可能涉及修改代码、修复漏洞、加强安全措施等，并进行测试验证。确保解决方案能够有效地解决问题，并且不会引入新的错误或漏洞。将处理问题的过程和结果进行总结，并反馈给相关人员。对审计过程中发现的问题、制定的解决方案、实施过程和验证结果进行详细记录，以便将来参考和回顾</w:t>
      </w:r>
      <w:r>
        <w:rPr>
          <w:rFonts w:hint="eastAsia" w:ascii="宋体" w:hAnsi="宋体"/>
          <w:szCs w:val="21"/>
        </w:rPr>
        <w:t>。</w:t>
      </w:r>
    </w:p>
    <w:p>
      <w:pPr>
        <w:snapToGrid w:val="0"/>
        <w:spacing w:line="360" w:lineRule="auto"/>
        <w:ind w:firstLine="420" w:firstLineChars="200"/>
        <w:rPr>
          <w:rFonts w:ascii="宋体" w:hAnsi="宋体"/>
          <w:szCs w:val="21"/>
        </w:rPr>
      </w:pPr>
      <w:r>
        <w:rPr>
          <w:rFonts w:ascii="宋体" w:hAnsi="宋体"/>
          <w:szCs w:val="21"/>
        </w:rPr>
        <w:t>针对33个系统处理代码审计问题，每个系统每年</w:t>
      </w:r>
      <w:r>
        <w:rPr>
          <w:rFonts w:hint="eastAsia" w:ascii="宋体" w:hAnsi="宋体"/>
          <w:szCs w:val="21"/>
        </w:rPr>
        <w:t>至少</w:t>
      </w:r>
      <w:r>
        <w:rPr>
          <w:rFonts w:ascii="宋体" w:hAnsi="宋体"/>
          <w:szCs w:val="21"/>
        </w:rPr>
        <w:t>1次，其中会有涉及代码开发工作。</w:t>
      </w:r>
    </w:p>
    <w:p>
      <w:pPr>
        <w:numPr>
          <w:ilvl w:val="0"/>
          <w:numId w:val="4"/>
        </w:numPr>
        <w:snapToGrid w:val="0"/>
        <w:spacing w:line="360" w:lineRule="auto"/>
        <w:ind w:firstLine="420" w:firstLineChars="200"/>
        <w:rPr>
          <w:rFonts w:ascii="宋体" w:hAnsi="宋体"/>
          <w:szCs w:val="21"/>
        </w:rPr>
      </w:pPr>
      <w:bookmarkStart w:id="168" w:name="_Toc2371"/>
      <w:bookmarkStart w:id="169" w:name="_Toc29821"/>
      <w:r>
        <w:rPr>
          <w:rFonts w:ascii="宋体" w:hAnsi="宋体"/>
          <w:szCs w:val="21"/>
        </w:rPr>
        <w:t>增值运维服务内容</w:t>
      </w:r>
      <w:bookmarkEnd w:id="158"/>
      <w:bookmarkEnd w:id="159"/>
      <w:bookmarkEnd w:id="160"/>
      <w:bookmarkEnd w:id="161"/>
      <w:bookmarkEnd w:id="162"/>
      <w:bookmarkEnd w:id="163"/>
      <w:bookmarkEnd w:id="164"/>
      <w:bookmarkEnd w:id="165"/>
      <w:bookmarkEnd w:id="166"/>
      <w:bookmarkEnd w:id="167"/>
      <w:bookmarkEnd w:id="168"/>
      <w:bookmarkEnd w:id="169"/>
    </w:p>
    <w:p>
      <w:pPr>
        <w:snapToGrid w:val="0"/>
        <w:spacing w:line="360" w:lineRule="auto"/>
        <w:rPr>
          <w:rFonts w:ascii="宋体" w:hAnsi="宋体"/>
          <w:szCs w:val="21"/>
        </w:rPr>
      </w:pPr>
      <w:r>
        <w:rPr>
          <w:rFonts w:hint="eastAsia" w:ascii="宋体" w:hAnsi="宋体"/>
          <w:szCs w:val="21"/>
        </w:rPr>
        <w:t xml:space="preserve">    供货商在运维期间的增值运维服务内容提供如下：</w:t>
      </w:r>
    </w:p>
    <w:p>
      <w:pPr>
        <w:snapToGrid w:val="0"/>
        <w:spacing w:line="360" w:lineRule="auto"/>
        <w:ind w:firstLine="420" w:firstLineChars="200"/>
        <w:rPr>
          <w:rFonts w:ascii="宋体" w:hAnsi="宋体"/>
          <w:szCs w:val="21"/>
        </w:rPr>
      </w:pPr>
      <w:bookmarkStart w:id="170" w:name="_Toc29770"/>
      <w:bookmarkStart w:id="171" w:name="_Toc2698"/>
      <w:bookmarkStart w:id="172" w:name="_Toc6057"/>
      <w:bookmarkStart w:id="173" w:name="_Toc28762"/>
      <w:bookmarkStart w:id="174" w:name="_Toc30382"/>
      <w:bookmarkStart w:id="175" w:name="_Toc2505"/>
      <w:bookmarkStart w:id="176" w:name="_Toc16282"/>
      <w:bookmarkStart w:id="177" w:name="_Toc18116"/>
      <w:bookmarkStart w:id="178" w:name="_Toc25510"/>
      <w:bookmarkStart w:id="179" w:name="_Toc29486"/>
      <w:bookmarkStart w:id="180" w:name="_Toc24601"/>
      <w:bookmarkStart w:id="181" w:name="_Toc10933"/>
      <w:r>
        <w:rPr>
          <w:rFonts w:ascii="宋体" w:hAnsi="宋体"/>
          <w:szCs w:val="21"/>
        </w:rPr>
        <w:t>（一）问题跟踪管理</w:t>
      </w:r>
      <w:bookmarkEnd w:id="170"/>
      <w:bookmarkEnd w:id="171"/>
      <w:bookmarkEnd w:id="172"/>
      <w:bookmarkEnd w:id="173"/>
      <w:bookmarkEnd w:id="174"/>
      <w:bookmarkEnd w:id="175"/>
      <w:bookmarkEnd w:id="176"/>
      <w:bookmarkEnd w:id="177"/>
      <w:bookmarkEnd w:id="178"/>
      <w:bookmarkEnd w:id="179"/>
      <w:bookmarkEnd w:id="180"/>
      <w:bookmarkEnd w:id="181"/>
    </w:p>
    <w:p>
      <w:pPr>
        <w:snapToGrid w:val="0"/>
        <w:spacing w:line="360" w:lineRule="auto"/>
        <w:ind w:firstLine="420" w:firstLineChars="200"/>
        <w:rPr>
          <w:rFonts w:ascii="宋体" w:hAnsi="宋体"/>
          <w:szCs w:val="21"/>
        </w:rPr>
      </w:pPr>
      <w:r>
        <w:rPr>
          <w:rFonts w:ascii="宋体" w:hAnsi="宋体"/>
          <w:szCs w:val="21"/>
        </w:rPr>
        <w:t>系统运维过程中，会存在需求、缺陷、用户建议等。需重视在系统使用过程中出现的各类问题，为33个系统设计统一流程记录、跟踪和管理和解决各类问题。安排一位项目经理负责统筹管理。</w:t>
      </w:r>
    </w:p>
    <w:p>
      <w:pPr>
        <w:snapToGrid w:val="0"/>
        <w:spacing w:line="360" w:lineRule="auto"/>
        <w:ind w:firstLine="420" w:firstLineChars="200"/>
        <w:rPr>
          <w:rFonts w:ascii="宋体" w:hAnsi="宋体"/>
          <w:szCs w:val="21"/>
        </w:rPr>
      </w:pPr>
      <w:bookmarkStart w:id="182" w:name="_Toc6915283"/>
      <w:bookmarkStart w:id="183" w:name="_Toc509302981"/>
      <w:bookmarkStart w:id="184" w:name="_Toc15548351"/>
      <w:bookmarkStart w:id="185" w:name="_Toc450663826"/>
      <w:r>
        <w:rPr>
          <w:rFonts w:ascii="宋体" w:hAnsi="宋体"/>
          <w:szCs w:val="21"/>
        </w:rPr>
        <w:t>（二）问题登记</w:t>
      </w:r>
      <w:bookmarkEnd w:id="182"/>
      <w:bookmarkEnd w:id="183"/>
      <w:bookmarkEnd w:id="184"/>
      <w:bookmarkEnd w:id="185"/>
    </w:p>
    <w:p>
      <w:pPr>
        <w:snapToGrid w:val="0"/>
        <w:spacing w:line="360" w:lineRule="auto"/>
        <w:ind w:firstLine="420" w:firstLineChars="200"/>
        <w:rPr>
          <w:rFonts w:ascii="宋体" w:hAnsi="宋体"/>
          <w:szCs w:val="21"/>
        </w:rPr>
      </w:pPr>
      <w:r>
        <w:rPr>
          <w:rFonts w:ascii="宋体" w:hAnsi="宋体"/>
          <w:szCs w:val="21"/>
        </w:rPr>
        <w:t>当出现故障时，用户可通过包括电话、在线客服、微信、邮箱等渠道对系统使用过程中的各类问题进行反馈。</w:t>
      </w:r>
      <w:r>
        <w:rPr>
          <w:rFonts w:hint="eastAsia" w:ascii="宋体" w:hAnsi="宋体"/>
          <w:szCs w:val="21"/>
        </w:rPr>
        <w:t>运维人员</w:t>
      </w:r>
      <w:r>
        <w:rPr>
          <w:rFonts w:ascii="宋体" w:hAnsi="宋体"/>
          <w:szCs w:val="21"/>
        </w:rPr>
        <w:t>将所反馈的问题进行收集登记，并安排进行审核。</w:t>
      </w:r>
    </w:p>
    <w:p>
      <w:pPr>
        <w:snapToGrid w:val="0"/>
        <w:spacing w:line="360" w:lineRule="auto"/>
        <w:ind w:firstLine="420" w:firstLineChars="200"/>
        <w:rPr>
          <w:rFonts w:ascii="宋体" w:hAnsi="宋体"/>
          <w:szCs w:val="21"/>
        </w:rPr>
      </w:pPr>
      <w:bookmarkStart w:id="186" w:name="_Toc15548352"/>
      <w:bookmarkStart w:id="187" w:name="_Toc509302982"/>
      <w:bookmarkStart w:id="188" w:name="_Toc450663827"/>
      <w:bookmarkStart w:id="189" w:name="_Toc6915284"/>
      <w:r>
        <w:rPr>
          <w:rFonts w:ascii="宋体" w:hAnsi="宋体"/>
          <w:szCs w:val="21"/>
        </w:rPr>
        <w:t>（三）问题审核</w:t>
      </w:r>
      <w:bookmarkEnd w:id="186"/>
      <w:bookmarkEnd w:id="187"/>
      <w:bookmarkEnd w:id="188"/>
      <w:bookmarkEnd w:id="189"/>
    </w:p>
    <w:p>
      <w:pPr>
        <w:snapToGrid w:val="0"/>
        <w:spacing w:line="360" w:lineRule="auto"/>
        <w:ind w:firstLine="420" w:firstLineChars="200"/>
        <w:rPr>
          <w:rFonts w:ascii="宋体" w:hAnsi="宋体"/>
          <w:szCs w:val="21"/>
        </w:rPr>
      </w:pPr>
      <w:r>
        <w:rPr>
          <w:rFonts w:hint="eastAsia" w:ascii="宋体" w:hAnsi="宋体"/>
          <w:szCs w:val="21"/>
        </w:rPr>
        <w:t>运维人员</w:t>
      </w:r>
      <w:r>
        <w:rPr>
          <w:rFonts w:ascii="宋体" w:hAnsi="宋体"/>
          <w:szCs w:val="21"/>
        </w:rPr>
        <w:t>根据用户所提出的需求、缺陷等，经过分析后，进行针对性检查，并提出解决方法。</w:t>
      </w:r>
    </w:p>
    <w:p>
      <w:pPr>
        <w:snapToGrid w:val="0"/>
        <w:spacing w:line="360" w:lineRule="auto"/>
        <w:ind w:firstLine="420" w:firstLineChars="200"/>
        <w:rPr>
          <w:rFonts w:ascii="宋体" w:hAnsi="宋体"/>
          <w:szCs w:val="21"/>
        </w:rPr>
      </w:pPr>
      <w:bookmarkStart w:id="190" w:name="_Toc6915285"/>
      <w:bookmarkStart w:id="191" w:name="_Toc509302983"/>
      <w:bookmarkStart w:id="192" w:name="_Toc15548353"/>
      <w:bookmarkStart w:id="193" w:name="_Toc450663828"/>
      <w:r>
        <w:rPr>
          <w:rFonts w:ascii="宋体" w:hAnsi="宋体"/>
          <w:szCs w:val="21"/>
        </w:rPr>
        <w:br w:type="page"/>
      </w:r>
      <w:r>
        <w:rPr>
          <w:rFonts w:ascii="宋体" w:hAnsi="宋体"/>
          <w:szCs w:val="21"/>
        </w:rPr>
        <w:t>（四）问题解决</w:t>
      </w:r>
      <w:bookmarkEnd w:id="190"/>
      <w:bookmarkEnd w:id="191"/>
      <w:bookmarkEnd w:id="192"/>
      <w:bookmarkEnd w:id="193"/>
    </w:p>
    <w:p>
      <w:pPr>
        <w:snapToGrid w:val="0"/>
        <w:spacing w:line="360" w:lineRule="auto"/>
        <w:ind w:firstLine="420" w:firstLineChars="200"/>
        <w:rPr>
          <w:rFonts w:ascii="宋体" w:hAnsi="宋体"/>
          <w:szCs w:val="21"/>
        </w:rPr>
      </w:pPr>
      <w:r>
        <w:rPr>
          <w:rFonts w:ascii="宋体" w:hAnsi="宋体"/>
          <w:szCs w:val="21"/>
        </w:rPr>
        <w:t>运维人员与中心沟通解决途径，并按照解决方法在规定时间内解决问题。</w:t>
      </w:r>
    </w:p>
    <w:tbl>
      <w:tblPr>
        <w:tblStyle w:val="48"/>
        <w:tblW w:w="9298"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146"/>
        <w:gridCol w:w="5124"/>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10" w:type="dxa"/>
            <w:vAlign w:val="center"/>
          </w:tcPr>
          <w:p>
            <w:pPr>
              <w:snapToGrid w:val="0"/>
              <w:spacing w:line="360" w:lineRule="auto"/>
              <w:jc w:val="center"/>
              <w:rPr>
                <w:rFonts w:ascii="宋体" w:hAnsi="宋体"/>
                <w:b/>
                <w:bCs/>
                <w:color w:val="000000"/>
                <w:szCs w:val="21"/>
              </w:rPr>
            </w:pPr>
            <w:r>
              <w:rPr>
                <w:rFonts w:ascii="宋体" w:hAnsi="宋体"/>
                <w:b/>
                <w:bCs/>
                <w:color w:val="000000"/>
                <w:szCs w:val="21"/>
              </w:rPr>
              <w:t>故障</w:t>
            </w:r>
          </w:p>
          <w:p>
            <w:pPr>
              <w:snapToGrid w:val="0"/>
              <w:spacing w:line="360" w:lineRule="auto"/>
              <w:jc w:val="center"/>
              <w:rPr>
                <w:rFonts w:ascii="宋体" w:hAnsi="宋体"/>
                <w:b/>
                <w:bCs/>
                <w:color w:val="000000"/>
                <w:szCs w:val="21"/>
              </w:rPr>
            </w:pPr>
            <w:r>
              <w:rPr>
                <w:rFonts w:ascii="宋体" w:hAnsi="宋体"/>
                <w:b/>
                <w:bCs/>
                <w:color w:val="000000"/>
                <w:szCs w:val="21"/>
              </w:rPr>
              <w:t>级别</w:t>
            </w:r>
          </w:p>
        </w:tc>
        <w:tc>
          <w:tcPr>
            <w:tcW w:w="1146" w:type="dxa"/>
            <w:vAlign w:val="center"/>
          </w:tcPr>
          <w:p>
            <w:pPr>
              <w:snapToGrid w:val="0"/>
              <w:spacing w:line="360" w:lineRule="auto"/>
              <w:jc w:val="center"/>
              <w:rPr>
                <w:rFonts w:ascii="宋体" w:hAnsi="宋体"/>
                <w:b/>
                <w:bCs/>
                <w:color w:val="000000"/>
                <w:szCs w:val="21"/>
              </w:rPr>
            </w:pPr>
            <w:r>
              <w:rPr>
                <w:rFonts w:ascii="宋体" w:hAnsi="宋体"/>
                <w:b/>
                <w:bCs/>
                <w:color w:val="000000"/>
                <w:szCs w:val="21"/>
              </w:rPr>
              <w:t>类型</w:t>
            </w:r>
          </w:p>
        </w:tc>
        <w:tc>
          <w:tcPr>
            <w:tcW w:w="5124" w:type="dxa"/>
            <w:vAlign w:val="center"/>
          </w:tcPr>
          <w:p>
            <w:pPr>
              <w:snapToGrid w:val="0"/>
              <w:spacing w:line="360" w:lineRule="auto"/>
              <w:jc w:val="center"/>
              <w:rPr>
                <w:rFonts w:ascii="宋体" w:hAnsi="宋体"/>
                <w:b/>
                <w:bCs/>
                <w:color w:val="000000"/>
                <w:szCs w:val="21"/>
              </w:rPr>
            </w:pPr>
            <w:r>
              <w:rPr>
                <w:rFonts w:ascii="宋体" w:hAnsi="宋体"/>
                <w:b/>
                <w:bCs/>
                <w:color w:val="000000"/>
                <w:szCs w:val="21"/>
              </w:rPr>
              <w:t>描述</w:t>
            </w:r>
          </w:p>
        </w:tc>
        <w:tc>
          <w:tcPr>
            <w:tcW w:w="2218" w:type="dxa"/>
            <w:vAlign w:val="center"/>
          </w:tcPr>
          <w:p>
            <w:pPr>
              <w:snapToGrid w:val="0"/>
              <w:spacing w:line="360" w:lineRule="auto"/>
              <w:jc w:val="center"/>
              <w:rPr>
                <w:rFonts w:ascii="宋体" w:hAnsi="宋体"/>
                <w:b/>
                <w:bCs/>
                <w:color w:val="000000"/>
                <w:szCs w:val="21"/>
              </w:rPr>
            </w:pPr>
            <w:r>
              <w:rPr>
                <w:rFonts w:ascii="宋体" w:hAnsi="宋体"/>
                <w:b/>
                <w:bCs/>
                <w:color w:val="000000"/>
                <w:szCs w:val="21"/>
              </w:rPr>
              <w:t>响应要求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0" w:type="dxa"/>
            <w:vAlign w:val="center"/>
          </w:tcPr>
          <w:p>
            <w:pPr>
              <w:snapToGrid w:val="0"/>
              <w:spacing w:line="360" w:lineRule="auto"/>
              <w:jc w:val="center"/>
              <w:rPr>
                <w:rFonts w:ascii="宋体" w:hAnsi="宋体"/>
                <w:color w:val="000000"/>
                <w:szCs w:val="21"/>
              </w:rPr>
            </w:pPr>
            <w:r>
              <w:rPr>
                <w:rFonts w:ascii="宋体" w:hAnsi="宋体"/>
                <w:color w:val="000000"/>
                <w:szCs w:val="21"/>
              </w:rPr>
              <w:t>一级故障</w:t>
            </w:r>
          </w:p>
        </w:tc>
        <w:tc>
          <w:tcPr>
            <w:tcW w:w="1146" w:type="dxa"/>
            <w:vAlign w:val="center"/>
          </w:tcPr>
          <w:p>
            <w:pPr>
              <w:snapToGrid w:val="0"/>
              <w:spacing w:line="360" w:lineRule="auto"/>
              <w:jc w:val="center"/>
              <w:rPr>
                <w:rFonts w:ascii="宋体" w:hAnsi="宋体"/>
                <w:color w:val="000000"/>
                <w:szCs w:val="21"/>
              </w:rPr>
            </w:pPr>
            <w:r>
              <w:rPr>
                <w:rFonts w:ascii="宋体" w:hAnsi="宋体"/>
                <w:color w:val="000000"/>
                <w:szCs w:val="21"/>
              </w:rPr>
              <w:t>不可用</w:t>
            </w:r>
          </w:p>
        </w:tc>
        <w:tc>
          <w:tcPr>
            <w:tcW w:w="5124" w:type="dxa"/>
            <w:vAlign w:val="center"/>
          </w:tcPr>
          <w:p>
            <w:pPr>
              <w:snapToGrid w:val="0"/>
              <w:spacing w:line="360" w:lineRule="auto"/>
              <w:rPr>
                <w:rFonts w:ascii="宋体" w:hAnsi="宋体"/>
                <w:color w:val="000000"/>
                <w:szCs w:val="21"/>
              </w:rPr>
            </w:pPr>
            <w:r>
              <w:rPr>
                <w:rFonts w:ascii="宋体" w:hAnsi="宋体"/>
                <w:color w:val="000000"/>
                <w:szCs w:val="21"/>
              </w:rPr>
              <w:t>主要指系统在运行中出现系统瘫痪或服务中断，导致业务系统的基本功能不能正常运行。</w:t>
            </w:r>
          </w:p>
        </w:tc>
        <w:tc>
          <w:tcPr>
            <w:tcW w:w="2218" w:type="dxa"/>
            <w:vAlign w:val="center"/>
          </w:tcPr>
          <w:p>
            <w:pPr>
              <w:snapToGrid w:val="0"/>
              <w:spacing w:line="360" w:lineRule="auto"/>
              <w:rPr>
                <w:rFonts w:ascii="宋体" w:hAnsi="宋体"/>
                <w:color w:val="000000"/>
                <w:szCs w:val="21"/>
              </w:rPr>
            </w:pPr>
            <w:r>
              <w:rPr>
                <w:rFonts w:ascii="宋体" w:hAnsi="宋体"/>
                <w:color w:val="000000"/>
                <w:szCs w:val="21"/>
              </w:rPr>
              <w:t>立即响应，30分钟内给出解决方案。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pPr>
              <w:snapToGrid w:val="0"/>
              <w:spacing w:line="360" w:lineRule="auto"/>
              <w:jc w:val="center"/>
              <w:rPr>
                <w:rFonts w:ascii="宋体" w:hAnsi="宋体"/>
                <w:color w:val="000000"/>
                <w:szCs w:val="21"/>
              </w:rPr>
            </w:pPr>
            <w:r>
              <w:rPr>
                <w:rFonts w:ascii="宋体" w:hAnsi="宋体"/>
                <w:color w:val="000000"/>
                <w:szCs w:val="21"/>
              </w:rPr>
              <w:t>二级故障</w:t>
            </w:r>
          </w:p>
        </w:tc>
        <w:tc>
          <w:tcPr>
            <w:tcW w:w="1146" w:type="dxa"/>
            <w:vAlign w:val="center"/>
          </w:tcPr>
          <w:p>
            <w:pPr>
              <w:snapToGrid w:val="0"/>
              <w:spacing w:line="360" w:lineRule="auto"/>
              <w:jc w:val="center"/>
              <w:rPr>
                <w:rFonts w:ascii="宋体" w:hAnsi="宋体"/>
                <w:color w:val="000000"/>
                <w:szCs w:val="21"/>
              </w:rPr>
            </w:pPr>
            <w:r>
              <w:rPr>
                <w:rFonts w:ascii="宋体" w:hAnsi="宋体"/>
                <w:color w:val="000000"/>
                <w:szCs w:val="21"/>
              </w:rPr>
              <w:t>BUG类或第三方问题</w:t>
            </w:r>
          </w:p>
        </w:tc>
        <w:tc>
          <w:tcPr>
            <w:tcW w:w="5124" w:type="dxa"/>
            <w:vAlign w:val="center"/>
          </w:tcPr>
          <w:p>
            <w:pPr>
              <w:numPr>
                <w:ilvl w:val="0"/>
                <w:numId w:val="5"/>
              </w:numPr>
              <w:snapToGrid w:val="0"/>
              <w:spacing w:line="360" w:lineRule="auto"/>
              <w:ind w:left="0" w:firstLine="420" w:firstLineChars="200"/>
              <w:rPr>
                <w:rFonts w:ascii="宋体" w:hAnsi="宋体"/>
                <w:color w:val="000000"/>
                <w:szCs w:val="21"/>
              </w:rPr>
            </w:pPr>
            <w:r>
              <w:rPr>
                <w:rFonts w:ascii="宋体" w:hAnsi="宋体"/>
                <w:color w:val="000000"/>
                <w:szCs w:val="21"/>
              </w:rPr>
              <w:t>系统设计之初固有缺陷，在应用过程中，通过实际操作暴露问题，且无法通过现有程序配置处理的问题</w:t>
            </w:r>
          </w:p>
          <w:p>
            <w:pPr>
              <w:numPr>
                <w:ilvl w:val="0"/>
                <w:numId w:val="5"/>
              </w:numPr>
              <w:snapToGrid w:val="0"/>
              <w:spacing w:line="360" w:lineRule="auto"/>
              <w:ind w:left="0" w:firstLine="420" w:firstLineChars="200"/>
              <w:rPr>
                <w:rFonts w:ascii="宋体" w:hAnsi="宋体"/>
                <w:color w:val="000000"/>
                <w:szCs w:val="21"/>
              </w:rPr>
            </w:pPr>
            <w:r>
              <w:rPr>
                <w:rFonts w:ascii="宋体" w:hAnsi="宋体"/>
                <w:color w:val="000000"/>
                <w:szCs w:val="21"/>
              </w:rPr>
              <w:t>系统上线运行后，通过用户使用，结合实际业务要求和优化需求产生的完善性问题</w:t>
            </w:r>
          </w:p>
          <w:p>
            <w:pPr>
              <w:numPr>
                <w:ilvl w:val="0"/>
                <w:numId w:val="5"/>
              </w:numPr>
              <w:snapToGrid w:val="0"/>
              <w:spacing w:line="360" w:lineRule="auto"/>
              <w:ind w:left="0" w:firstLine="420" w:firstLineChars="200"/>
              <w:rPr>
                <w:rFonts w:ascii="宋体" w:hAnsi="宋体"/>
                <w:color w:val="000000"/>
                <w:szCs w:val="21"/>
              </w:rPr>
            </w:pPr>
            <w:r>
              <w:rPr>
                <w:rFonts w:ascii="宋体" w:hAnsi="宋体"/>
                <w:color w:val="000000"/>
                <w:szCs w:val="21"/>
              </w:rPr>
              <w:t>系统运行后，由已有功能衍生出的，不包含在推广范围内功能与需求，通过约定流程获取修改/开发授权的代码修改类问题</w:t>
            </w:r>
          </w:p>
          <w:p>
            <w:pPr>
              <w:numPr>
                <w:ilvl w:val="0"/>
                <w:numId w:val="5"/>
              </w:numPr>
              <w:snapToGrid w:val="0"/>
              <w:spacing w:line="360" w:lineRule="auto"/>
              <w:ind w:left="0" w:firstLine="420" w:firstLineChars="200"/>
              <w:rPr>
                <w:rFonts w:ascii="宋体" w:hAnsi="宋体"/>
                <w:color w:val="000000"/>
                <w:szCs w:val="21"/>
              </w:rPr>
            </w:pPr>
            <w:r>
              <w:rPr>
                <w:rFonts w:ascii="宋体" w:hAnsi="宋体"/>
                <w:color w:val="000000"/>
                <w:szCs w:val="21"/>
              </w:rPr>
              <w:t>系统运行后，因第三方支撑软件版本升级或兼容性，导致影响平台功能，必须通过升级/更换支撑软件的程序调试问题</w:t>
            </w:r>
          </w:p>
          <w:p>
            <w:pPr>
              <w:numPr>
                <w:ilvl w:val="0"/>
                <w:numId w:val="5"/>
              </w:numPr>
              <w:snapToGrid w:val="0"/>
              <w:spacing w:line="360" w:lineRule="auto"/>
              <w:ind w:left="0" w:firstLine="420" w:firstLineChars="200"/>
              <w:rPr>
                <w:rFonts w:ascii="宋体" w:hAnsi="宋体"/>
                <w:color w:val="000000"/>
                <w:szCs w:val="21"/>
              </w:rPr>
            </w:pPr>
            <w:r>
              <w:rPr>
                <w:rFonts w:ascii="宋体" w:hAnsi="宋体"/>
                <w:color w:val="000000"/>
                <w:szCs w:val="21"/>
              </w:rPr>
              <w:t>第三方软件的数据库、网络、硬件等问题</w:t>
            </w:r>
          </w:p>
        </w:tc>
        <w:tc>
          <w:tcPr>
            <w:tcW w:w="2218" w:type="dxa"/>
            <w:vAlign w:val="center"/>
          </w:tcPr>
          <w:p>
            <w:pPr>
              <w:snapToGrid w:val="0"/>
              <w:spacing w:line="360" w:lineRule="auto"/>
              <w:rPr>
                <w:rFonts w:ascii="宋体" w:hAnsi="宋体"/>
                <w:color w:val="000000"/>
                <w:szCs w:val="21"/>
              </w:rPr>
            </w:pPr>
            <w:r>
              <w:rPr>
                <w:rFonts w:ascii="宋体" w:hAnsi="宋体"/>
                <w:color w:val="000000"/>
                <w:szCs w:val="21"/>
              </w:rPr>
              <w:t>30分钟内做出响应，1小时内给出解决方案。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0" w:type="dxa"/>
            <w:vAlign w:val="center"/>
          </w:tcPr>
          <w:p>
            <w:pPr>
              <w:snapToGrid w:val="0"/>
              <w:spacing w:line="360" w:lineRule="auto"/>
              <w:jc w:val="center"/>
              <w:rPr>
                <w:rFonts w:ascii="宋体" w:hAnsi="宋体"/>
                <w:color w:val="000000"/>
                <w:szCs w:val="21"/>
              </w:rPr>
            </w:pPr>
            <w:r>
              <w:rPr>
                <w:rFonts w:ascii="宋体" w:hAnsi="宋体"/>
                <w:color w:val="000000"/>
                <w:szCs w:val="21"/>
              </w:rPr>
              <w:t>三级故障</w:t>
            </w:r>
          </w:p>
        </w:tc>
        <w:tc>
          <w:tcPr>
            <w:tcW w:w="1146" w:type="dxa"/>
            <w:vAlign w:val="center"/>
          </w:tcPr>
          <w:p>
            <w:pPr>
              <w:snapToGrid w:val="0"/>
              <w:spacing w:line="360" w:lineRule="auto"/>
              <w:jc w:val="center"/>
              <w:rPr>
                <w:rFonts w:ascii="宋体" w:hAnsi="宋体"/>
                <w:color w:val="000000"/>
                <w:szCs w:val="21"/>
              </w:rPr>
            </w:pPr>
            <w:r>
              <w:rPr>
                <w:rFonts w:ascii="宋体" w:hAnsi="宋体"/>
                <w:color w:val="000000"/>
                <w:szCs w:val="21"/>
              </w:rPr>
              <w:t>操作类/配置类</w:t>
            </w:r>
          </w:p>
        </w:tc>
        <w:tc>
          <w:tcPr>
            <w:tcW w:w="5124" w:type="dxa"/>
            <w:vAlign w:val="center"/>
          </w:tcPr>
          <w:p>
            <w:pPr>
              <w:snapToGrid w:val="0"/>
              <w:spacing w:line="360" w:lineRule="auto"/>
              <w:rPr>
                <w:rFonts w:ascii="宋体" w:hAnsi="宋体"/>
                <w:color w:val="000000"/>
                <w:szCs w:val="21"/>
              </w:rPr>
            </w:pPr>
            <w:r>
              <w:rPr>
                <w:rFonts w:ascii="宋体" w:hAnsi="宋体"/>
                <w:color w:val="000000"/>
                <w:szCs w:val="21"/>
              </w:rPr>
              <w:t>用户实际操作过程中，因业务熟练度、平台熟悉度、个人计算机水平方面出现的操作问题，而非平台程序问题。例如：</w:t>
            </w:r>
          </w:p>
          <w:p>
            <w:pPr>
              <w:numPr>
                <w:ilvl w:val="255"/>
                <w:numId w:val="0"/>
              </w:numPr>
              <w:snapToGrid w:val="0"/>
              <w:spacing w:line="360" w:lineRule="auto"/>
              <w:ind w:firstLine="420" w:firstLineChars="200"/>
              <w:rPr>
                <w:rFonts w:ascii="宋体" w:hAnsi="宋体"/>
                <w:color w:val="000000"/>
                <w:szCs w:val="21"/>
              </w:rPr>
            </w:pPr>
            <w:r>
              <w:rPr>
                <w:rFonts w:hint="eastAsia" w:ascii="宋体" w:hAnsi="宋体"/>
                <w:color w:val="000000"/>
                <w:szCs w:val="21"/>
              </w:rPr>
              <w:t>1.</w:t>
            </w:r>
            <w:r>
              <w:rPr>
                <w:rFonts w:ascii="宋体" w:hAnsi="宋体"/>
                <w:color w:val="000000"/>
                <w:szCs w:val="21"/>
              </w:rPr>
              <w:t>浏览器设置不当导致的页面或功能展现异常</w:t>
            </w:r>
          </w:p>
          <w:p>
            <w:pPr>
              <w:numPr>
                <w:ilvl w:val="255"/>
                <w:numId w:val="0"/>
              </w:numPr>
              <w:snapToGrid w:val="0"/>
              <w:spacing w:line="360" w:lineRule="auto"/>
              <w:ind w:firstLine="420" w:firstLineChars="200"/>
              <w:rPr>
                <w:rFonts w:ascii="宋体" w:hAnsi="宋体"/>
                <w:color w:val="000000"/>
                <w:szCs w:val="21"/>
              </w:rPr>
            </w:pPr>
            <w:r>
              <w:rPr>
                <w:rFonts w:hint="eastAsia" w:ascii="宋体" w:hAnsi="宋体"/>
                <w:color w:val="000000"/>
                <w:szCs w:val="21"/>
              </w:rPr>
              <w:t>2.</w:t>
            </w:r>
            <w:r>
              <w:rPr>
                <w:rFonts w:ascii="宋体" w:hAnsi="宋体"/>
                <w:color w:val="000000"/>
                <w:szCs w:val="21"/>
              </w:rPr>
              <w:t>用户登录地址记录错误，导致无法登录</w:t>
            </w:r>
          </w:p>
          <w:p>
            <w:pPr>
              <w:snapToGrid w:val="0"/>
              <w:spacing w:line="360" w:lineRule="auto"/>
              <w:ind w:firstLine="420" w:firstLineChars="200"/>
              <w:rPr>
                <w:rFonts w:ascii="宋体" w:hAnsi="宋体"/>
                <w:color w:val="000000"/>
                <w:szCs w:val="21"/>
              </w:rPr>
            </w:pPr>
            <w:r>
              <w:rPr>
                <w:rFonts w:ascii="宋体" w:hAnsi="宋体"/>
                <w:color w:val="000000"/>
                <w:szCs w:val="21"/>
              </w:rPr>
              <w:t>3.用户身份认证未匹配绑定，导致登录或使用范围不匹配问题</w:t>
            </w:r>
          </w:p>
          <w:p>
            <w:pPr>
              <w:snapToGrid w:val="0"/>
              <w:spacing w:line="360" w:lineRule="auto"/>
              <w:ind w:firstLine="420" w:firstLineChars="200"/>
              <w:rPr>
                <w:rFonts w:ascii="宋体" w:hAnsi="宋体"/>
                <w:color w:val="000000"/>
                <w:szCs w:val="21"/>
              </w:rPr>
            </w:pPr>
            <w:r>
              <w:rPr>
                <w:rFonts w:ascii="宋体" w:hAnsi="宋体"/>
                <w:color w:val="000000"/>
                <w:szCs w:val="21"/>
              </w:rPr>
              <w:t>4.</w:t>
            </w:r>
            <w:r>
              <w:rPr>
                <w:rFonts w:hint="eastAsia" w:ascii="宋体" w:hAnsi="宋体"/>
                <w:color w:val="000000"/>
                <w:szCs w:val="21"/>
                <w:lang w:eastAsia="zh-CN"/>
              </w:rPr>
              <w:t>登录后</w:t>
            </w:r>
            <w:r>
              <w:rPr>
                <w:rFonts w:ascii="宋体" w:hAnsi="宋体"/>
                <w:color w:val="000000"/>
                <w:szCs w:val="21"/>
              </w:rPr>
              <w:t>用户在系统未找到对应操作的位置，导致操作无法进行</w:t>
            </w:r>
          </w:p>
          <w:p>
            <w:pPr>
              <w:snapToGrid w:val="0"/>
              <w:spacing w:line="360" w:lineRule="auto"/>
              <w:ind w:firstLine="420" w:firstLineChars="200"/>
              <w:rPr>
                <w:rFonts w:ascii="宋体" w:hAnsi="宋体"/>
                <w:color w:val="000000"/>
                <w:szCs w:val="21"/>
              </w:rPr>
            </w:pPr>
            <w:r>
              <w:rPr>
                <w:rFonts w:ascii="宋体" w:hAnsi="宋体"/>
                <w:color w:val="000000"/>
                <w:szCs w:val="21"/>
              </w:rPr>
              <w:t>5.业务模块功能使用不熟练，导致正常功能流转受阻问题</w:t>
            </w:r>
          </w:p>
        </w:tc>
        <w:tc>
          <w:tcPr>
            <w:tcW w:w="2218" w:type="dxa"/>
            <w:vAlign w:val="center"/>
          </w:tcPr>
          <w:p>
            <w:pPr>
              <w:snapToGrid w:val="0"/>
              <w:spacing w:line="360" w:lineRule="auto"/>
              <w:rPr>
                <w:rFonts w:ascii="宋体" w:hAnsi="宋体"/>
                <w:color w:val="000000"/>
                <w:szCs w:val="21"/>
              </w:rPr>
            </w:pPr>
            <w:r>
              <w:rPr>
                <w:rFonts w:ascii="宋体" w:hAnsi="宋体"/>
                <w:color w:val="000000"/>
                <w:szCs w:val="21"/>
              </w:rPr>
              <w:t>30分钟内做出响应，1小时内给出解决方案。</w:t>
            </w:r>
          </w:p>
        </w:tc>
      </w:tr>
    </w:tbl>
    <w:p>
      <w:pPr>
        <w:snapToGrid w:val="0"/>
        <w:spacing w:line="360" w:lineRule="auto"/>
        <w:ind w:firstLine="420" w:firstLineChars="200"/>
        <w:rPr>
          <w:rFonts w:ascii="宋体" w:hAnsi="宋体"/>
          <w:color w:val="000000"/>
          <w:szCs w:val="21"/>
        </w:rPr>
      </w:pPr>
      <w:bookmarkStart w:id="194" w:name="_Toc450663829"/>
      <w:bookmarkStart w:id="195" w:name="_Toc6915286"/>
      <w:bookmarkStart w:id="196" w:name="_Toc15548354"/>
      <w:bookmarkStart w:id="197" w:name="_Toc509302984"/>
      <w:r>
        <w:rPr>
          <w:rFonts w:ascii="宋体" w:hAnsi="宋体"/>
          <w:color w:val="000000"/>
          <w:szCs w:val="21"/>
        </w:rPr>
        <w:t>如发生事故，</w:t>
      </w:r>
      <w:r>
        <w:rPr>
          <w:rFonts w:hint="eastAsia" w:ascii="宋体" w:hAnsi="宋体"/>
          <w:color w:val="000000"/>
          <w:szCs w:val="21"/>
        </w:rPr>
        <w:t>供应商</w:t>
      </w:r>
      <w:r>
        <w:rPr>
          <w:rFonts w:ascii="宋体" w:hAnsi="宋体"/>
          <w:color w:val="000000"/>
          <w:szCs w:val="21"/>
        </w:rPr>
        <w:t>应调配技术力量，对事故问题进行分析、跟踪和处理。</w:t>
      </w:r>
    </w:p>
    <w:p>
      <w:pPr>
        <w:keepNext/>
        <w:keepLines/>
        <w:numPr>
          <w:ilvl w:val="3"/>
          <w:numId w:val="0"/>
        </w:numPr>
        <w:snapToGrid w:val="0"/>
        <w:spacing w:line="360" w:lineRule="auto"/>
        <w:ind w:firstLine="420" w:firstLineChars="200"/>
        <w:outlineLvl w:val="3"/>
        <w:rPr>
          <w:rFonts w:ascii="宋体" w:hAnsi="宋体"/>
          <w:color w:val="000000"/>
          <w:szCs w:val="21"/>
        </w:rPr>
      </w:pPr>
      <w:r>
        <w:rPr>
          <w:rFonts w:ascii="宋体" w:hAnsi="宋体"/>
          <w:color w:val="000000"/>
          <w:szCs w:val="21"/>
        </w:rPr>
        <w:t>（五）验证</w:t>
      </w:r>
      <w:bookmarkEnd w:id="194"/>
      <w:bookmarkEnd w:id="195"/>
      <w:bookmarkEnd w:id="196"/>
      <w:bookmarkEnd w:id="197"/>
    </w:p>
    <w:p>
      <w:pPr>
        <w:snapToGrid w:val="0"/>
        <w:spacing w:line="360" w:lineRule="auto"/>
        <w:ind w:firstLine="420" w:firstLineChars="200"/>
        <w:rPr>
          <w:rFonts w:ascii="宋体" w:hAnsi="宋体"/>
          <w:color w:val="000000"/>
          <w:szCs w:val="21"/>
        </w:rPr>
      </w:pPr>
      <w:r>
        <w:rPr>
          <w:rFonts w:ascii="宋体" w:hAnsi="宋体"/>
          <w:color w:val="000000"/>
          <w:szCs w:val="21"/>
        </w:rPr>
        <w:t>在问题解决后，必须及时验证问题，确认问题得到解决后则流程结束。如果验证后发现问题未完全解决，运维人员需重新进行处理。</w:t>
      </w:r>
    </w:p>
    <w:p>
      <w:pPr>
        <w:keepNext/>
        <w:keepLines/>
        <w:numPr>
          <w:ilvl w:val="3"/>
          <w:numId w:val="0"/>
        </w:numPr>
        <w:snapToGrid w:val="0"/>
        <w:spacing w:line="360" w:lineRule="auto"/>
        <w:ind w:firstLine="420" w:firstLineChars="200"/>
        <w:outlineLvl w:val="3"/>
        <w:rPr>
          <w:rFonts w:ascii="宋体" w:hAnsi="宋体"/>
          <w:color w:val="000000"/>
          <w:szCs w:val="21"/>
        </w:rPr>
      </w:pPr>
      <w:bookmarkStart w:id="198" w:name="_Toc450663830"/>
      <w:bookmarkStart w:id="199" w:name="_Toc509302985"/>
      <w:bookmarkStart w:id="200" w:name="_Toc15548355"/>
      <w:bookmarkStart w:id="201" w:name="_Toc6915287"/>
      <w:r>
        <w:rPr>
          <w:rFonts w:ascii="宋体" w:hAnsi="宋体"/>
          <w:color w:val="000000"/>
          <w:szCs w:val="21"/>
        </w:rPr>
        <w:t>（六）事后反馈</w:t>
      </w:r>
      <w:bookmarkEnd w:id="198"/>
      <w:bookmarkEnd w:id="199"/>
      <w:bookmarkEnd w:id="200"/>
      <w:bookmarkEnd w:id="201"/>
    </w:p>
    <w:p>
      <w:pPr>
        <w:snapToGrid w:val="0"/>
        <w:spacing w:line="360" w:lineRule="auto"/>
        <w:ind w:firstLine="420" w:firstLineChars="200"/>
        <w:rPr>
          <w:rFonts w:ascii="宋体" w:hAnsi="宋体"/>
          <w:color w:val="000000"/>
          <w:szCs w:val="21"/>
        </w:rPr>
      </w:pPr>
      <w:r>
        <w:rPr>
          <w:rFonts w:ascii="宋体" w:hAnsi="宋体"/>
          <w:color w:val="000000"/>
          <w:szCs w:val="21"/>
        </w:rPr>
        <w:t>运维人员在提交问题后的规定时间内向该问题的原始提出人及相关人员反馈。</w:t>
      </w:r>
    </w:p>
    <w:p>
      <w:pPr>
        <w:snapToGrid w:val="0"/>
        <w:spacing w:line="360" w:lineRule="auto"/>
        <w:ind w:firstLine="420" w:firstLineChars="200"/>
        <w:rPr>
          <w:rFonts w:ascii="宋体" w:hAnsi="宋体"/>
          <w:color w:val="000000"/>
          <w:szCs w:val="21"/>
        </w:rPr>
      </w:pPr>
      <w:r>
        <w:rPr>
          <w:rFonts w:ascii="宋体" w:hAnsi="宋体"/>
          <w:color w:val="000000"/>
          <w:szCs w:val="21"/>
        </w:rPr>
        <w:t>反馈时间：一般情况下应在30分钟内反馈，较复杂问题应根据实际情况与问题的原始提出人及信息中心协商反馈处理时间。</w:t>
      </w:r>
    </w:p>
    <w:p>
      <w:pPr>
        <w:snapToGrid w:val="0"/>
        <w:spacing w:line="360" w:lineRule="auto"/>
        <w:ind w:firstLine="420" w:firstLineChars="200"/>
        <w:rPr>
          <w:rFonts w:ascii="宋体" w:hAnsi="宋体"/>
          <w:color w:val="000000"/>
          <w:szCs w:val="21"/>
        </w:rPr>
      </w:pPr>
      <w:r>
        <w:rPr>
          <w:rFonts w:ascii="宋体" w:hAnsi="宋体"/>
          <w:color w:val="000000"/>
          <w:szCs w:val="21"/>
        </w:rPr>
        <w:t>反馈内容包括：反馈解决问题的详细情况，如解决的方式、时间等。</w:t>
      </w:r>
    </w:p>
    <w:p>
      <w:pPr>
        <w:snapToGrid w:val="0"/>
        <w:spacing w:line="360" w:lineRule="auto"/>
        <w:ind w:firstLine="420" w:firstLineChars="200"/>
        <w:rPr>
          <w:rFonts w:ascii="宋体" w:hAnsi="宋体"/>
          <w:color w:val="000000"/>
          <w:szCs w:val="21"/>
        </w:rPr>
      </w:pPr>
      <w:r>
        <w:rPr>
          <w:rFonts w:ascii="宋体" w:hAnsi="宋体"/>
          <w:color w:val="000000"/>
          <w:szCs w:val="21"/>
        </w:rPr>
        <w:t>反馈方式可以通过邮件、微信、钉钉或电话方式进行。</w:t>
      </w:r>
    </w:p>
    <w:p>
      <w:pPr>
        <w:snapToGrid w:val="0"/>
        <w:spacing w:line="360" w:lineRule="auto"/>
        <w:ind w:firstLine="420" w:firstLineChars="200"/>
        <w:rPr>
          <w:rFonts w:ascii="宋体" w:hAnsi="宋体"/>
          <w:color w:val="000000"/>
          <w:szCs w:val="21"/>
        </w:rPr>
      </w:pPr>
      <w:r>
        <w:rPr>
          <w:rFonts w:ascii="宋体" w:hAnsi="宋体"/>
          <w:color w:val="000000"/>
          <w:szCs w:val="21"/>
        </w:rPr>
        <w:t>应采用适当的方式和方法与中心达成一致意见，尤其对不接受的问题或需要延期处理的问题。</w:t>
      </w:r>
    </w:p>
    <w:p>
      <w:pPr>
        <w:keepNext/>
        <w:keepLines/>
        <w:numPr>
          <w:ilvl w:val="3"/>
          <w:numId w:val="0"/>
        </w:numPr>
        <w:snapToGrid w:val="0"/>
        <w:spacing w:line="360" w:lineRule="auto"/>
        <w:ind w:firstLine="420" w:firstLineChars="200"/>
        <w:outlineLvl w:val="3"/>
        <w:rPr>
          <w:rFonts w:ascii="宋体" w:hAnsi="宋体"/>
          <w:color w:val="000000"/>
          <w:szCs w:val="21"/>
        </w:rPr>
      </w:pPr>
      <w:r>
        <w:rPr>
          <w:rFonts w:ascii="宋体" w:hAnsi="宋体"/>
          <w:color w:val="000000"/>
          <w:szCs w:val="21"/>
        </w:rPr>
        <w:t>（七）问题分析及建议</w:t>
      </w:r>
    </w:p>
    <w:p>
      <w:pPr>
        <w:snapToGrid w:val="0"/>
        <w:spacing w:line="360" w:lineRule="auto"/>
        <w:ind w:firstLine="420" w:firstLineChars="200"/>
        <w:rPr>
          <w:rFonts w:ascii="宋体" w:hAnsi="宋体"/>
          <w:color w:val="000000"/>
          <w:szCs w:val="21"/>
        </w:rPr>
      </w:pPr>
      <w:r>
        <w:rPr>
          <w:rFonts w:ascii="宋体" w:hAnsi="宋体"/>
          <w:color w:val="000000"/>
          <w:szCs w:val="21"/>
          <w:lang w:val="en"/>
        </w:rPr>
        <w:t>供应商</w:t>
      </w:r>
      <w:r>
        <w:rPr>
          <w:rFonts w:ascii="宋体" w:hAnsi="宋体"/>
          <w:color w:val="000000"/>
          <w:szCs w:val="21"/>
        </w:rPr>
        <w:t>需对频发故障问题进行汇总分析，找出频发故障问题原因，并提出建设性的意见建议，帮助信息中心持续推进系统稳定运行或优化。同时，应将意见建议写进运维总结报告里。</w:t>
      </w:r>
    </w:p>
    <w:p>
      <w:pPr>
        <w:keepNext/>
        <w:keepLines/>
        <w:numPr>
          <w:ilvl w:val="3"/>
          <w:numId w:val="0"/>
        </w:numPr>
        <w:snapToGrid w:val="0"/>
        <w:spacing w:line="360" w:lineRule="auto"/>
        <w:ind w:firstLine="420" w:firstLineChars="200"/>
        <w:outlineLvl w:val="3"/>
        <w:rPr>
          <w:rFonts w:ascii="宋体" w:hAnsi="宋体"/>
          <w:color w:val="000000"/>
          <w:szCs w:val="21"/>
        </w:rPr>
      </w:pPr>
      <w:bookmarkStart w:id="202" w:name="_Toc4716"/>
      <w:bookmarkStart w:id="203" w:name="_Toc28942"/>
      <w:bookmarkStart w:id="204" w:name="_Toc32719"/>
      <w:bookmarkStart w:id="205" w:name="_Toc13292"/>
      <w:bookmarkStart w:id="206" w:name="_Toc12156"/>
      <w:bookmarkStart w:id="207" w:name="_Toc2538"/>
      <w:bookmarkStart w:id="208" w:name="_Toc11233"/>
      <w:bookmarkStart w:id="209" w:name="_Toc19850"/>
      <w:bookmarkStart w:id="210" w:name="_Toc865"/>
      <w:bookmarkStart w:id="211" w:name="_Toc26129"/>
      <w:bookmarkStart w:id="212" w:name="_Toc5258"/>
      <w:bookmarkStart w:id="213" w:name="_Toc6532"/>
      <w:r>
        <w:rPr>
          <w:rFonts w:ascii="宋体" w:hAnsi="宋体"/>
          <w:color w:val="000000"/>
          <w:szCs w:val="21"/>
        </w:rPr>
        <w:t>（八）人工渗透测试服务</w:t>
      </w:r>
      <w:bookmarkEnd w:id="202"/>
      <w:bookmarkEnd w:id="203"/>
      <w:bookmarkEnd w:id="204"/>
      <w:bookmarkEnd w:id="205"/>
      <w:bookmarkEnd w:id="206"/>
      <w:bookmarkEnd w:id="207"/>
      <w:bookmarkEnd w:id="208"/>
      <w:bookmarkEnd w:id="209"/>
      <w:bookmarkEnd w:id="210"/>
      <w:bookmarkEnd w:id="211"/>
      <w:bookmarkEnd w:id="212"/>
      <w:bookmarkEnd w:id="213"/>
    </w:p>
    <w:p>
      <w:pPr>
        <w:snapToGrid w:val="0"/>
        <w:spacing w:line="360" w:lineRule="auto"/>
        <w:ind w:firstLine="420" w:firstLineChars="200"/>
        <w:rPr>
          <w:rFonts w:ascii="宋体" w:hAnsi="宋体"/>
          <w:color w:val="000000"/>
          <w:szCs w:val="21"/>
        </w:rPr>
      </w:pPr>
      <w:bookmarkStart w:id="214" w:name="_Toc8739"/>
      <w:bookmarkStart w:id="215" w:name="_Toc29620"/>
      <w:bookmarkStart w:id="216" w:name="_Toc31154"/>
      <w:bookmarkStart w:id="217" w:name="_Toc19101"/>
      <w:bookmarkStart w:id="218" w:name="_Toc24373"/>
      <w:r>
        <w:rPr>
          <w:rFonts w:ascii="宋体" w:hAnsi="宋体"/>
          <w:color w:val="000000"/>
          <w:szCs w:val="21"/>
        </w:rPr>
        <w:t>利用模拟黑客攻击手法，寻找和确认系统存在的安全漏洞，确认黑客可能的攻击手法和攻击途径，判断可能对信息系统和客户造成的危害，并基于该漏洞信息提出增强系统安全性的解决方案，并提供一次复测。</w:t>
      </w:r>
    </w:p>
    <w:p>
      <w:pPr>
        <w:snapToGrid w:val="0"/>
        <w:spacing w:line="360" w:lineRule="auto"/>
        <w:ind w:firstLine="420" w:firstLineChars="200"/>
        <w:rPr>
          <w:rFonts w:ascii="宋体" w:hAnsi="宋体"/>
          <w:color w:val="000000"/>
          <w:szCs w:val="21"/>
        </w:rPr>
      </w:pPr>
      <w:r>
        <w:rPr>
          <w:rFonts w:ascii="宋体" w:hAnsi="宋体"/>
          <w:color w:val="000000"/>
          <w:szCs w:val="21"/>
        </w:rPr>
        <w:t>针对33个系统，要求供应商</w:t>
      </w:r>
      <w:r>
        <w:rPr>
          <w:rFonts w:hint="eastAsia" w:ascii="宋体" w:hAnsi="宋体"/>
          <w:color w:val="000000"/>
          <w:szCs w:val="21"/>
        </w:rPr>
        <w:t>至少开展</w:t>
      </w:r>
      <w:r>
        <w:rPr>
          <w:rFonts w:ascii="宋体" w:hAnsi="宋体"/>
          <w:color w:val="000000"/>
          <w:szCs w:val="21"/>
        </w:rPr>
        <w:t>2次/年的人工渗透测试，要求供应商详细分析和记录漏洞，评估漏洞的风险和潜在影响，制定修复计划，实施修复并测试修复效果。</w:t>
      </w:r>
    </w:p>
    <w:bookmarkEnd w:id="214"/>
    <w:bookmarkEnd w:id="215"/>
    <w:bookmarkEnd w:id="216"/>
    <w:bookmarkEnd w:id="217"/>
    <w:bookmarkEnd w:id="218"/>
    <w:p>
      <w:pPr>
        <w:keepNext/>
        <w:keepLines/>
        <w:numPr>
          <w:ilvl w:val="3"/>
          <w:numId w:val="0"/>
        </w:numPr>
        <w:snapToGrid w:val="0"/>
        <w:spacing w:line="360" w:lineRule="auto"/>
        <w:ind w:firstLine="420" w:firstLineChars="200"/>
        <w:outlineLvl w:val="3"/>
        <w:rPr>
          <w:rFonts w:ascii="宋体" w:hAnsi="宋体"/>
          <w:color w:val="000000"/>
          <w:szCs w:val="21"/>
        </w:rPr>
      </w:pPr>
      <w:bookmarkStart w:id="219" w:name="_Toc5785"/>
      <w:bookmarkStart w:id="220" w:name="_Toc5448"/>
      <w:bookmarkStart w:id="221" w:name="_Toc25100"/>
      <w:bookmarkStart w:id="222" w:name="_Toc31100"/>
      <w:bookmarkStart w:id="223" w:name="_Toc29916"/>
      <w:bookmarkStart w:id="224" w:name="_Toc8364"/>
      <w:bookmarkStart w:id="225" w:name="_Toc15594"/>
      <w:bookmarkStart w:id="226" w:name="_Toc27011"/>
      <w:bookmarkStart w:id="227" w:name="_Toc11089"/>
      <w:bookmarkStart w:id="228" w:name="_Toc21849"/>
      <w:bookmarkStart w:id="229" w:name="_Toc1705"/>
      <w:bookmarkStart w:id="230" w:name="_Toc30934"/>
      <w:r>
        <w:rPr>
          <w:rFonts w:ascii="宋体" w:hAnsi="宋体"/>
          <w:color w:val="000000"/>
          <w:szCs w:val="21"/>
        </w:rPr>
        <w:t>（九）专家支持服务</w:t>
      </w:r>
      <w:bookmarkEnd w:id="219"/>
      <w:bookmarkEnd w:id="220"/>
      <w:bookmarkEnd w:id="221"/>
      <w:bookmarkEnd w:id="222"/>
      <w:bookmarkEnd w:id="223"/>
      <w:bookmarkEnd w:id="224"/>
      <w:bookmarkEnd w:id="225"/>
      <w:bookmarkEnd w:id="226"/>
      <w:bookmarkEnd w:id="227"/>
      <w:bookmarkEnd w:id="228"/>
      <w:bookmarkEnd w:id="229"/>
      <w:bookmarkEnd w:id="230"/>
    </w:p>
    <w:p>
      <w:pPr>
        <w:snapToGrid w:val="0"/>
        <w:spacing w:line="360" w:lineRule="auto"/>
        <w:ind w:firstLine="420" w:firstLineChars="200"/>
        <w:rPr>
          <w:rFonts w:ascii="宋体" w:hAnsi="宋体"/>
          <w:color w:val="000000"/>
          <w:szCs w:val="21"/>
        </w:rPr>
      </w:pPr>
      <w:r>
        <w:rPr>
          <w:rFonts w:ascii="宋体" w:hAnsi="宋体"/>
          <w:color w:val="000000"/>
          <w:szCs w:val="21"/>
        </w:rPr>
        <w:t>现场发生重大故障或安全隐患，须进行问题升级，请专家服务支持</w:t>
      </w:r>
      <w:r>
        <w:rPr>
          <w:rFonts w:hint="eastAsia" w:ascii="宋体" w:hAnsi="宋体"/>
          <w:color w:val="000000"/>
          <w:szCs w:val="21"/>
        </w:rPr>
        <w:t>，</w:t>
      </w:r>
      <w:r>
        <w:rPr>
          <w:rFonts w:ascii="宋体" w:hAnsi="宋体"/>
          <w:color w:val="000000"/>
          <w:szCs w:val="21"/>
        </w:rPr>
        <w:t>提供现场支持。</w:t>
      </w:r>
      <w:bookmarkStart w:id="231" w:name="_Toc11077"/>
      <w:bookmarkStart w:id="232" w:name="_Toc8211"/>
      <w:bookmarkStart w:id="233" w:name="_Toc26752"/>
      <w:bookmarkStart w:id="234" w:name="_Toc23756"/>
      <w:bookmarkStart w:id="235" w:name="_Toc13135"/>
      <w:bookmarkStart w:id="236" w:name="_Toc23958"/>
      <w:bookmarkStart w:id="237" w:name="_Toc3751"/>
      <w:bookmarkStart w:id="238" w:name="_Toc21923"/>
      <w:bookmarkStart w:id="239" w:name="_Toc17495"/>
      <w:bookmarkStart w:id="240" w:name="_Toc27466"/>
      <w:bookmarkStart w:id="241" w:name="_Toc24096"/>
      <w:bookmarkStart w:id="242" w:name="_Toc2092"/>
    </w:p>
    <w:p>
      <w:pPr>
        <w:snapToGrid w:val="0"/>
        <w:spacing w:line="360" w:lineRule="auto"/>
        <w:ind w:firstLine="420" w:firstLineChars="200"/>
        <w:rPr>
          <w:rFonts w:ascii="宋体" w:hAnsi="宋体"/>
          <w:szCs w:val="21"/>
        </w:rPr>
      </w:pPr>
      <w:r>
        <w:rPr>
          <w:rFonts w:ascii="宋体" w:hAnsi="宋体"/>
          <w:szCs w:val="21"/>
        </w:rPr>
        <w:t>（十）节假日运维服务</w:t>
      </w:r>
      <w:bookmarkEnd w:id="231"/>
      <w:bookmarkEnd w:id="232"/>
      <w:bookmarkEnd w:id="233"/>
      <w:bookmarkEnd w:id="234"/>
      <w:bookmarkEnd w:id="235"/>
      <w:bookmarkEnd w:id="236"/>
      <w:bookmarkEnd w:id="237"/>
      <w:bookmarkEnd w:id="238"/>
      <w:bookmarkEnd w:id="239"/>
      <w:bookmarkEnd w:id="240"/>
      <w:bookmarkEnd w:id="241"/>
      <w:bookmarkEnd w:id="242"/>
    </w:p>
    <w:p>
      <w:pPr>
        <w:snapToGrid w:val="0"/>
        <w:spacing w:line="360" w:lineRule="auto"/>
        <w:ind w:firstLine="420" w:firstLineChars="200"/>
        <w:rPr>
          <w:rFonts w:ascii="宋体" w:hAnsi="宋体"/>
          <w:szCs w:val="21"/>
        </w:rPr>
      </w:pPr>
      <w:r>
        <w:rPr>
          <w:rFonts w:ascii="宋体" w:hAnsi="宋体"/>
          <w:szCs w:val="21"/>
        </w:rPr>
        <w:t>在运维服务期内，提供元旦、春节、清明节、广西三月三、端午节、中秋节、国庆节等国家法定节假日</w:t>
      </w:r>
      <w:r>
        <w:rPr>
          <w:rFonts w:hint="eastAsia" w:ascii="宋体" w:hAnsi="宋体"/>
          <w:szCs w:val="21"/>
        </w:rPr>
        <w:t>及广西法定节假日不少于13天</w:t>
      </w:r>
      <w:r>
        <w:rPr>
          <w:rFonts w:ascii="宋体" w:hAnsi="宋体"/>
          <w:szCs w:val="21"/>
        </w:rPr>
        <w:t>的现场巡检、值班保障服务。至少需要做到以下要求：</w:t>
      </w:r>
    </w:p>
    <w:p>
      <w:pPr>
        <w:snapToGrid w:val="0"/>
        <w:spacing w:line="360" w:lineRule="auto"/>
        <w:ind w:firstLine="420" w:firstLineChars="200"/>
        <w:rPr>
          <w:rFonts w:ascii="宋体" w:hAnsi="宋体"/>
          <w:szCs w:val="21"/>
        </w:rPr>
      </w:pPr>
      <w:r>
        <w:rPr>
          <w:rFonts w:ascii="宋体" w:hAnsi="宋体"/>
          <w:szCs w:val="21"/>
        </w:rPr>
        <w:t>1.应急资源、人员准备。提前做好资源分配工作、做好应急预案，成立专职保障小组、安排专人进行 24 小时待命。</w:t>
      </w:r>
    </w:p>
    <w:p>
      <w:pPr>
        <w:snapToGrid w:val="0"/>
        <w:spacing w:line="360" w:lineRule="auto"/>
        <w:ind w:firstLine="420" w:firstLineChars="200"/>
        <w:rPr>
          <w:rFonts w:ascii="宋体" w:hAnsi="宋体"/>
          <w:szCs w:val="21"/>
        </w:rPr>
      </w:pPr>
      <w:r>
        <w:rPr>
          <w:rFonts w:ascii="宋体" w:hAnsi="宋体"/>
          <w:szCs w:val="21"/>
        </w:rPr>
        <w:t>2.加强监控和巡查频次。</w:t>
      </w:r>
    </w:p>
    <w:p>
      <w:pPr>
        <w:snapToGrid w:val="0"/>
        <w:spacing w:line="360" w:lineRule="auto"/>
        <w:ind w:firstLine="420" w:firstLineChars="200"/>
        <w:rPr>
          <w:rFonts w:ascii="宋体" w:hAnsi="宋体"/>
          <w:szCs w:val="21"/>
        </w:rPr>
      </w:pPr>
      <w:bookmarkStart w:id="243" w:name="_Toc7488"/>
      <w:bookmarkStart w:id="244" w:name="_Toc245"/>
      <w:bookmarkStart w:id="245" w:name="_Toc4564"/>
      <w:bookmarkStart w:id="246" w:name="_Toc9223"/>
      <w:bookmarkStart w:id="247" w:name="_Toc7193"/>
      <w:bookmarkStart w:id="248" w:name="_Toc29010"/>
      <w:bookmarkStart w:id="249" w:name="_Toc7159"/>
      <w:bookmarkStart w:id="250" w:name="_Toc15668"/>
      <w:bookmarkStart w:id="251" w:name="_Toc2478"/>
      <w:bookmarkStart w:id="252" w:name="_Toc28686"/>
      <w:bookmarkStart w:id="253" w:name="_Toc8257"/>
      <w:bookmarkStart w:id="254" w:name="_Toc32427"/>
      <w:r>
        <w:rPr>
          <w:rFonts w:ascii="宋体" w:hAnsi="宋体"/>
          <w:szCs w:val="21"/>
        </w:rPr>
        <w:t>（十一）重大活动保障服务</w:t>
      </w:r>
      <w:bookmarkEnd w:id="243"/>
      <w:bookmarkEnd w:id="244"/>
      <w:bookmarkEnd w:id="245"/>
      <w:bookmarkEnd w:id="246"/>
      <w:bookmarkEnd w:id="247"/>
      <w:bookmarkEnd w:id="248"/>
      <w:bookmarkEnd w:id="249"/>
      <w:bookmarkEnd w:id="250"/>
      <w:bookmarkEnd w:id="251"/>
      <w:bookmarkEnd w:id="252"/>
      <w:bookmarkEnd w:id="253"/>
      <w:bookmarkEnd w:id="254"/>
    </w:p>
    <w:p>
      <w:pPr>
        <w:snapToGrid w:val="0"/>
        <w:spacing w:line="360" w:lineRule="auto"/>
        <w:ind w:firstLine="420" w:firstLineChars="200"/>
        <w:rPr>
          <w:rFonts w:ascii="宋体" w:hAnsi="宋体"/>
          <w:szCs w:val="21"/>
        </w:rPr>
      </w:pPr>
      <w:r>
        <w:rPr>
          <w:rFonts w:ascii="宋体" w:hAnsi="宋体"/>
          <w:szCs w:val="21"/>
        </w:rPr>
        <w:t>全面提高应对突发情况的综合管理水平和应急处置能力，最大限度地保证重大活动期间</w:t>
      </w:r>
      <w:r>
        <w:rPr>
          <w:rFonts w:hint="eastAsia" w:ascii="宋体" w:hAnsi="宋体"/>
          <w:szCs w:val="21"/>
        </w:rPr>
        <w:t>33个系统</w:t>
      </w:r>
      <w:r>
        <w:rPr>
          <w:rFonts w:ascii="宋体" w:hAnsi="宋体"/>
          <w:szCs w:val="21"/>
        </w:rPr>
        <w:t>稳定安全运行和可靠畅通。在运维服务期内，要求勤务保障天数预估重大活动保障天数为50天，包含全国两会、广西两会、广西东盟</w:t>
      </w:r>
      <w:r>
        <w:rPr>
          <w:rFonts w:hint="eastAsia" w:ascii="宋体" w:hAnsi="宋体"/>
          <w:szCs w:val="21"/>
        </w:rPr>
        <w:t>博览会、投资峰会</w:t>
      </w:r>
      <w:r>
        <w:rPr>
          <w:rFonts w:ascii="宋体" w:hAnsi="宋体"/>
          <w:szCs w:val="21"/>
        </w:rPr>
        <w:t>、生态环境部组织的网络安全攻防实战演练、自治区公安厅组织的网络安全攻防实战演练，至少需要做到以下要求：</w:t>
      </w:r>
    </w:p>
    <w:p>
      <w:pPr>
        <w:snapToGrid w:val="0"/>
        <w:spacing w:line="360" w:lineRule="auto"/>
        <w:ind w:firstLine="420" w:firstLineChars="200"/>
        <w:rPr>
          <w:rFonts w:ascii="宋体" w:hAnsi="宋体"/>
          <w:szCs w:val="21"/>
        </w:rPr>
      </w:pPr>
      <w:r>
        <w:rPr>
          <w:rFonts w:ascii="宋体" w:hAnsi="宋体"/>
          <w:szCs w:val="21"/>
        </w:rPr>
        <w:t>1.应急资源、人员准备。提前做好资源分配工作、做好应急预案，成立专职保障小组、安排专人进行 24 小时待命。</w:t>
      </w:r>
    </w:p>
    <w:p>
      <w:pPr>
        <w:snapToGrid w:val="0"/>
        <w:spacing w:line="360" w:lineRule="auto"/>
        <w:ind w:firstLine="420" w:firstLineChars="200"/>
        <w:rPr>
          <w:rFonts w:ascii="宋体" w:hAnsi="宋体"/>
          <w:szCs w:val="21"/>
        </w:rPr>
      </w:pPr>
      <w:r>
        <w:rPr>
          <w:rFonts w:ascii="宋体" w:hAnsi="宋体"/>
          <w:szCs w:val="21"/>
        </w:rPr>
        <w:t>2.加强监控和巡查频次。</w:t>
      </w:r>
    </w:p>
    <w:p>
      <w:pPr>
        <w:snapToGrid w:val="0"/>
        <w:spacing w:line="360" w:lineRule="auto"/>
        <w:ind w:firstLine="420" w:firstLineChars="200"/>
        <w:rPr>
          <w:rFonts w:ascii="宋体" w:hAnsi="宋体"/>
          <w:szCs w:val="21"/>
        </w:rPr>
      </w:pPr>
      <w:bookmarkStart w:id="255" w:name="_Toc4348"/>
      <w:bookmarkStart w:id="256" w:name="_Toc26329"/>
      <w:bookmarkStart w:id="257" w:name="_Toc28991"/>
      <w:bookmarkStart w:id="258" w:name="_Toc15250"/>
      <w:bookmarkStart w:id="259" w:name="_Toc20023"/>
      <w:bookmarkStart w:id="260" w:name="_Toc22164"/>
      <w:bookmarkStart w:id="261" w:name="_Toc11255"/>
      <w:r>
        <w:rPr>
          <w:rFonts w:hint="eastAsia" w:ascii="宋体" w:hAnsi="宋体"/>
          <w:szCs w:val="21"/>
        </w:rPr>
        <w:t>七</w:t>
      </w:r>
      <w:r>
        <w:rPr>
          <w:rFonts w:ascii="宋体" w:hAnsi="宋体"/>
          <w:szCs w:val="21"/>
        </w:rPr>
        <w:t>、自治区生态环境厅信息系统监控平台功能升级</w:t>
      </w:r>
      <w:bookmarkEnd w:id="255"/>
      <w:bookmarkEnd w:id="256"/>
      <w:bookmarkEnd w:id="257"/>
      <w:bookmarkEnd w:id="258"/>
      <w:bookmarkEnd w:id="259"/>
      <w:bookmarkEnd w:id="260"/>
      <w:bookmarkEnd w:id="261"/>
    </w:p>
    <w:p>
      <w:pPr>
        <w:snapToGrid w:val="0"/>
        <w:spacing w:line="360" w:lineRule="auto"/>
        <w:ind w:firstLine="420" w:firstLineChars="200"/>
        <w:rPr>
          <w:rFonts w:ascii="宋体" w:hAnsi="宋体"/>
          <w:szCs w:val="21"/>
        </w:rPr>
      </w:pPr>
      <w:r>
        <w:rPr>
          <w:rFonts w:ascii="宋体" w:hAnsi="宋体"/>
          <w:szCs w:val="21"/>
        </w:rPr>
        <w:t>（一）SDK管理</w:t>
      </w:r>
    </w:p>
    <w:p>
      <w:pPr>
        <w:snapToGrid w:val="0"/>
        <w:spacing w:line="360" w:lineRule="auto"/>
        <w:ind w:firstLine="420" w:firstLineChars="200"/>
        <w:rPr>
          <w:rFonts w:ascii="宋体" w:hAnsi="宋体"/>
          <w:szCs w:val="21"/>
        </w:rPr>
      </w:pPr>
      <w:r>
        <w:rPr>
          <w:rFonts w:ascii="宋体" w:hAnsi="宋体"/>
          <w:szCs w:val="21"/>
        </w:rPr>
        <w:t>1.组件管理</w:t>
      </w:r>
    </w:p>
    <w:p>
      <w:pPr>
        <w:snapToGrid w:val="0"/>
        <w:spacing w:line="360" w:lineRule="auto"/>
        <w:ind w:firstLine="420" w:firstLineChars="200"/>
        <w:rPr>
          <w:rFonts w:ascii="宋体" w:hAnsi="宋体"/>
          <w:szCs w:val="21"/>
        </w:rPr>
      </w:pPr>
      <w:r>
        <w:rPr>
          <w:rFonts w:ascii="宋体" w:hAnsi="宋体"/>
          <w:szCs w:val="21"/>
        </w:rPr>
        <w:t>接入海康威视SDK，包括网络通讯库、软解码库、硬解码库等组件的管理。</w:t>
      </w:r>
    </w:p>
    <w:p>
      <w:pPr>
        <w:snapToGrid w:val="0"/>
        <w:spacing w:line="360" w:lineRule="auto"/>
        <w:ind w:firstLine="420" w:firstLineChars="200"/>
        <w:rPr>
          <w:rFonts w:ascii="宋体" w:hAnsi="宋体"/>
          <w:szCs w:val="21"/>
        </w:rPr>
      </w:pPr>
      <w:r>
        <w:rPr>
          <w:rFonts w:ascii="宋体" w:hAnsi="宋体"/>
          <w:szCs w:val="21"/>
        </w:rPr>
        <w:t>2.参数配置</w:t>
      </w:r>
    </w:p>
    <w:p>
      <w:pPr>
        <w:snapToGrid w:val="0"/>
        <w:spacing w:line="360" w:lineRule="auto"/>
        <w:ind w:firstLine="420" w:firstLineChars="200"/>
        <w:rPr>
          <w:rFonts w:ascii="宋体" w:hAnsi="宋体"/>
          <w:szCs w:val="21"/>
        </w:rPr>
      </w:pPr>
      <w:r>
        <w:rPr>
          <w:rFonts w:ascii="宋体" w:hAnsi="宋体"/>
          <w:szCs w:val="21"/>
        </w:rPr>
        <w:t>设置和获取设备的参数，主要包括设备参数、网络参数、通道压缩参数、串口参数等参数信息。</w:t>
      </w:r>
    </w:p>
    <w:p>
      <w:pPr>
        <w:snapToGrid w:val="0"/>
        <w:spacing w:line="360" w:lineRule="auto"/>
        <w:ind w:firstLine="420" w:firstLineChars="200"/>
        <w:rPr>
          <w:rFonts w:ascii="宋体" w:hAnsi="宋体"/>
          <w:szCs w:val="21"/>
        </w:rPr>
      </w:pPr>
      <w:r>
        <w:rPr>
          <w:rFonts w:ascii="宋体" w:hAnsi="宋体"/>
          <w:szCs w:val="21"/>
        </w:rPr>
        <w:t>（二）接口输出技术服务</w:t>
      </w:r>
    </w:p>
    <w:p>
      <w:pPr>
        <w:snapToGrid w:val="0"/>
        <w:spacing w:line="360" w:lineRule="auto"/>
        <w:ind w:firstLine="420" w:firstLineChars="200"/>
        <w:rPr>
          <w:rFonts w:ascii="宋体" w:hAnsi="宋体"/>
          <w:szCs w:val="21"/>
        </w:rPr>
      </w:pPr>
      <w:r>
        <w:rPr>
          <w:rFonts w:ascii="宋体" w:hAnsi="宋体"/>
          <w:szCs w:val="21"/>
        </w:rPr>
        <w:t>提供丰富的API接口和SDK工具包，方便与第三方平台进行对接集成。接口调用应支持多种编程语言和开发环境，满足不同项目的需求。确保平台具备良好的设备兼容性，提供设备驱动程序或适配层，解决不同设备的接入问题。</w:t>
      </w:r>
    </w:p>
    <w:p>
      <w:pPr>
        <w:snapToGrid w:val="0"/>
        <w:spacing w:line="360" w:lineRule="auto"/>
        <w:ind w:firstLine="420" w:firstLineChars="200"/>
        <w:rPr>
          <w:rFonts w:ascii="宋体" w:hAnsi="宋体"/>
          <w:szCs w:val="21"/>
        </w:rPr>
      </w:pPr>
      <w:r>
        <w:rPr>
          <w:rFonts w:ascii="宋体" w:hAnsi="宋体"/>
          <w:szCs w:val="21"/>
        </w:rPr>
        <w:t>（三）摄像头管理</w:t>
      </w:r>
    </w:p>
    <w:p>
      <w:pPr>
        <w:snapToGrid w:val="0"/>
        <w:spacing w:line="360" w:lineRule="auto"/>
        <w:ind w:firstLine="420" w:firstLineChars="200"/>
        <w:rPr>
          <w:rFonts w:ascii="宋体" w:hAnsi="宋体"/>
          <w:szCs w:val="21"/>
        </w:rPr>
      </w:pPr>
      <w:r>
        <w:rPr>
          <w:rFonts w:ascii="宋体" w:hAnsi="宋体"/>
          <w:szCs w:val="21"/>
        </w:rPr>
        <w:t>建立一个完善的摄像头资产管理系统，对摄像头设备进行统一编号、登记、维修、报废等全生命周期管理。确保每个摄像头设备的位置、状态等信息可追溯。</w:t>
      </w:r>
    </w:p>
    <w:p>
      <w:pPr>
        <w:snapToGrid w:val="0"/>
        <w:spacing w:line="360" w:lineRule="auto"/>
        <w:ind w:firstLine="420" w:firstLineChars="200"/>
        <w:rPr>
          <w:rFonts w:ascii="宋体" w:hAnsi="宋体"/>
          <w:szCs w:val="21"/>
        </w:rPr>
      </w:pPr>
      <w:r>
        <w:rPr>
          <w:rFonts w:ascii="宋体" w:hAnsi="宋体"/>
          <w:szCs w:val="21"/>
        </w:rPr>
        <w:t>1.设备管理</w:t>
      </w:r>
    </w:p>
    <w:p>
      <w:pPr>
        <w:snapToGrid w:val="0"/>
        <w:spacing w:line="360" w:lineRule="auto"/>
        <w:ind w:firstLine="420" w:firstLineChars="200"/>
        <w:rPr>
          <w:rFonts w:ascii="宋体" w:hAnsi="宋体"/>
          <w:szCs w:val="21"/>
        </w:rPr>
      </w:pPr>
      <w:r>
        <w:rPr>
          <w:rFonts w:ascii="宋体" w:hAnsi="宋体"/>
          <w:szCs w:val="21"/>
        </w:rPr>
        <w:t>管理摄像头资产的信息（含增删改查），包括资产名称、型号、序列号、购买日期、使用状态等。</w:t>
      </w:r>
    </w:p>
    <w:p>
      <w:pPr>
        <w:snapToGrid w:val="0"/>
        <w:spacing w:line="360" w:lineRule="auto"/>
        <w:ind w:firstLine="420" w:firstLineChars="200"/>
        <w:rPr>
          <w:rFonts w:ascii="宋体" w:hAnsi="宋体"/>
          <w:szCs w:val="21"/>
        </w:rPr>
      </w:pPr>
      <w:r>
        <w:rPr>
          <w:rFonts w:ascii="宋体" w:hAnsi="宋体"/>
          <w:szCs w:val="21"/>
        </w:rPr>
        <w:t>2.位置管理</w:t>
      </w:r>
    </w:p>
    <w:p>
      <w:pPr>
        <w:snapToGrid w:val="0"/>
        <w:spacing w:line="360" w:lineRule="auto"/>
        <w:ind w:firstLine="420" w:firstLineChars="200"/>
        <w:rPr>
          <w:rFonts w:ascii="宋体" w:hAnsi="宋体"/>
          <w:szCs w:val="21"/>
        </w:rPr>
      </w:pPr>
      <w:r>
        <w:rPr>
          <w:rFonts w:ascii="宋体" w:hAnsi="宋体"/>
          <w:szCs w:val="21"/>
        </w:rPr>
        <w:t>管理摄像头资产的位置信息，包括安装地点、IP地址等，以便进行资产的定位和追踪。</w:t>
      </w:r>
    </w:p>
    <w:p>
      <w:pPr>
        <w:snapToGrid w:val="0"/>
        <w:spacing w:line="360" w:lineRule="auto"/>
        <w:ind w:firstLine="420" w:firstLineChars="200"/>
        <w:rPr>
          <w:rFonts w:ascii="宋体" w:hAnsi="宋体"/>
          <w:szCs w:val="21"/>
        </w:rPr>
      </w:pPr>
      <w:r>
        <w:rPr>
          <w:rFonts w:ascii="宋体" w:hAnsi="宋体"/>
          <w:szCs w:val="21"/>
        </w:rPr>
        <w:t>3.状态监控</w:t>
      </w:r>
    </w:p>
    <w:p>
      <w:pPr>
        <w:snapToGrid w:val="0"/>
        <w:spacing w:line="360" w:lineRule="auto"/>
        <w:ind w:firstLine="420" w:firstLineChars="200"/>
        <w:rPr>
          <w:rFonts w:ascii="宋体" w:hAnsi="宋体"/>
          <w:szCs w:val="21"/>
        </w:rPr>
      </w:pPr>
      <w:r>
        <w:rPr>
          <w:rFonts w:ascii="宋体" w:hAnsi="宋体"/>
          <w:szCs w:val="21"/>
        </w:rPr>
        <w:t>监测摄像头资产的状态信息，包括工作状态、网络连接状态、存储状态等，以便及时发现和处理异常情况。</w:t>
      </w:r>
    </w:p>
    <w:p>
      <w:pPr>
        <w:snapToGrid w:val="0"/>
        <w:spacing w:line="360" w:lineRule="auto"/>
        <w:ind w:firstLine="420" w:firstLineChars="200"/>
        <w:rPr>
          <w:rFonts w:ascii="宋体" w:hAnsi="宋体"/>
          <w:szCs w:val="21"/>
        </w:rPr>
      </w:pPr>
      <w:r>
        <w:rPr>
          <w:rFonts w:ascii="宋体" w:hAnsi="宋体"/>
          <w:szCs w:val="21"/>
        </w:rPr>
        <w:t>4.点位展示</w:t>
      </w:r>
    </w:p>
    <w:p>
      <w:pPr>
        <w:snapToGrid w:val="0"/>
        <w:spacing w:line="360" w:lineRule="auto"/>
        <w:ind w:firstLine="420" w:firstLineChars="200"/>
        <w:rPr>
          <w:rFonts w:ascii="宋体" w:hAnsi="宋体"/>
          <w:szCs w:val="21"/>
        </w:rPr>
      </w:pPr>
      <w:r>
        <w:rPr>
          <w:rFonts w:ascii="宋体" w:hAnsi="宋体"/>
          <w:szCs w:val="21"/>
        </w:rPr>
        <w:t>提供视频监控终端点位展示，包括视频监控、卡口分类展示，并以在线、离线状态动态标识。</w:t>
      </w:r>
    </w:p>
    <w:p>
      <w:pPr>
        <w:snapToGrid w:val="0"/>
        <w:spacing w:line="360" w:lineRule="auto"/>
        <w:ind w:firstLine="420" w:firstLineChars="200"/>
        <w:rPr>
          <w:rFonts w:ascii="宋体" w:hAnsi="宋体"/>
          <w:szCs w:val="21"/>
        </w:rPr>
      </w:pPr>
      <w:r>
        <w:rPr>
          <w:rFonts w:ascii="宋体" w:hAnsi="宋体"/>
          <w:szCs w:val="21"/>
        </w:rPr>
        <w:t>（四）API管理</w:t>
      </w:r>
    </w:p>
    <w:p>
      <w:pPr>
        <w:snapToGrid w:val="0"/>
        <w:spacing w:line="360" w:lineRule="auto"/>
        <w:ind w:firstLine="420" w:firstLineChars="200"/>
        <w:rPr>
          <w:rFonts w:ascii="宋体" w:hAnsi="宋体"/>
          <w:szCs w:val="21"/>
        </w:rPr>
      </w:pPr>
      <w:r>
        <w:rPr>
          <w:rFonts w:ascii="宋体" w:hAnsi="宋体"/>
          <w:szCs w:val="21"/>
        </w:rPr>
        <w:t>1.设备清单</w:t>
      </w:r>
    </w:p>
    <w:p>
      <w:pPr>
        <w:snapToGrid w:val="0"/>
        <w:spacing w:line="360" w:lineRule="auto"/>
        <w:ind w:firstLine="420" w:firstLineChars="200"/>
        <w:rPr>
          <w:rFonts w:ascii="宋体" w:hAnsi="宋体"/>
          <w:szCs w:val="21"/>
        </w:rPr>
      </w:pPr>
      <w:r>
        <w:rPr>
          <w:rFonts w:ascii="宋体" w:hAnsi="宋体"/>
          <w:szCs w:val="21"/>
        </w:rPr>
        <w:t>（1）获取设备列表</w:t>
      </w:r>
    </w:p>
    <w:p>
      <w:pPr>
        <w:snapToGrid w:val="0"/>
        <w:spacing w:line="360" w:lineRule="auto"/>
        <w:ind w:firstLine="420" w:firstLineChars="200"/>
        <w:rPr>
          <w:rFonts w:ascii="宋体" w:hAnsi="宋体"/>
          <w:szCs w:val="21"/>
        </w:rPr>
      </w:pPr>
      <w:r>
        <w:rPr>
          <w:rFonts w:ascii="宋体" w:hAnsi="宋体"/>
          <w:szCs w:val="21"/>
        </w:rPr>
        <w:t>提供API接口，能够获取指定区域或范围内的设备清单，包括设备名称、型号、IP地址等基本信息。接口应支持分页和筛选功能，以满足不同规模项目和个性化需求。</w:t>
      </w:r>
    </w:p>
    <w:p>
      <w:pPr>
        <w:snapToGrid w:val="0"/>
        <w:spacing w:line="360" w:lineRule="auto"/>
        <w:ind w:firstLine="420" w:firstLineChars="200"/>
        <w:rPr>
          <w:rFonts w:ascii="宋体" w:hAnsi="宋体"/>
          <w:szCs w:val="21"/>
        </w:rPr>
      </w:pPr>
      <w:r>
        <w:rPr>
          <w:rFonts w:ascii="宋体" w:hAnsi="宋体"/>
          <w:szCs w:val="21"/>
        </w:rPr>
        <w:t>（2）设备详细信息查询</w:t>
      </w:r>
    </w:p>
    <w:p>
      <w:pPr>
        <w:snapToGrid w:val="0"/>
        <w:spacing w:line="360" w:lineRule="auto"/>
        <w:ind w:firstLine="420" w:firstLineChars="200"/>
        <w:rPr>
          <w:rFonts w:ascii="宋体" w:hAnsi="宋体"/>
          <w:szCs w:val="21"/>
        </w:rPr>
      </w:pPr>
      <w:r>
        <w:rPr>
          <w:rFonts w:ascii="宋体" w:hAnsi="宋体"/>
          <w:szCs w:val="21"/>
        </w:rPr>
        <w:t>提供API接口，根据设备ID或名称查询设备的详细信息，包括设备的参数配置、状态信息、历史数据等。接口应返回设备的详细数据，方便用户对设备进行管理和监控。</w:t>
      </w:r>
    </w:p>
    <w:p>
      <w:pPr>
        <w:snapToGrid w:val="0"/>
        <w:spacing w:line="360" w:lineRule="auto"/>
        <w:ind w:firstLine="420" w:firstLineChars="200"/>
        <w:rPr>
          <w:rFonts w:ascii="宋体" w:hAnsi="宋体"/>
          <w:szCs w:val="21"/>
        </w:rPr>
      </w:pPr>
      <w:r>
        <w:rPr>
          <w:rFonts w:ascii="宋体" w:hAnsi="宋体"/>
          <w:szCs w:val="21"/>
        </w:rPr>
        <w:t>2.实时视频流</w:t>
      </w:r>
    </w:p>
    <w:p>
      <w:pPr>
        <w:snapToGrid w:val="0"/>
        <w:spacing w:line="360" w:lineRule="auto"/>
        <w:ind w:firstLine="420" w:firstLineChars="200"/>
        <w:rPr>
          <w:rFonts w:ascii="宋体" w:hAnsi="宋体"/>
          <w:szCs w:val="21"/>
        </w:rPr>
      </w:pPr>
      <w:r>
        <w:rPr>
          <w:rFonts w:ascii="宋体" w:hAnsi="宋体"/>
          <w:szCs w:val="21"/>
        </w:rPr>
        <w:t>提供API接口，允许用户获取实时视频流。接口应支持多种视频格式和分辨率，以满足不同设备和应用的需求。</w:t>
      </w:r>
    </w:p>
    <w:p>
      <w:pPr>
        <w:snapToGrid w:val="0"/>
        <w:spacing w:line="360" w:lineRule="auto"/>
        <w:ind w:firstLine="420" w:firstLineChars="200"/>
        <w:rPr>
          <w:rFonts w:ascii="宋体" w:hAnsi="宋体"/>
          <w:szCs w:val="21"/>
        </w:rPr>
      </w:pPr>
      <w:r>
        <w:rPr>
          <w:rFonts w:ascii="宋体" w:hAnsi="宋体"/>
          <w:szCs w:val="21"/>
        </w:rPr>
        <w:t>（五）APP升级改造</w:t>
      </w:r>
    </w:p>
    <w:p>
      <w:pPr>
        <w:snapToGrid w:val="0"/>
        <w:spacing w:line="360" w:lineRule="auto"/>
        <w:ind w:firstLine="420" w:firstLineChars="200"/>
        <w:rPr>
          <w:rFonts w:ascii="宋体" w:hAnsi="宋体"/>
          <w:szCs w:val="21"/>
        </w:rPr>
      </w:pPr>
      <w:r>
        <w:rPr>
          <w:rFonts w:ascii="宋体" w:hAnsi="宋体"/>
          <w:szCs w:val="21"/>
        </w:rPr>
        <w:t>1.底层架构升级</w:t>
      </w:r>
    </w:p>
    <w:p>
      <w:pPr>
        <w:snapToGrid w:val="0"/>
        <w:spacing w:line="360" w:lineRule="auto"/>
        <w:ind w:firstLine="420" w:firstLineChars="200"/>
        <w:rPr>
          <w:rFonts w:ascii="宋体" w:hAnsi="宋体"/>
          <w:szCs w:val="21"/>
        </w:rPr>
      </w:pPr>
      <w:r>
        <w:rPr>
          <w:rFonts w:ascii="宋体" w:hAnsi="宋体"/>
          <w:szCs w:val="21"/>
        </w:rPr>
        <w:t>确保APP底层架构的可扩展性，以支持新功能和业务的快速集成。提供清晰的扩展点，满足不断增长的业务需求。</w:t>
      </w:r>
    </w:p>
    <w:p>
      <w:pPr>
        <w:snapToGrid w:val="0"/>
        <w:spacing w:line="360" w:lineRule="auto"/>
        <w:ind w:firstLine="420" w:firstLineChars="200"/>
        <w:rPr>
          <w:rFonts w:ascii="宋体" w:hAnsi="宋体"/>
          <w:szCs w:val="21"/>
        </w:rPr>
      </w:pPr>
      <w:r>
        <w:rPr>
          <w:rFonts w:ascii="宋体" w:hAnsi="宋体"/>
          <w:szCs w:val="21"/>
        </w:rPr>
        <w:t>2.视频监控功能升级</w:t>
      </w:r>
    </w:p>
    <w:p>
      <w:pPr>
        <w:snapToGrid w:val="0"/>
        <w:spacing w:line="360" w:lineRule="auto"/>
        <w:ind w:firstLine="420" w:firstLineChars="200"/>
        <w:rPr>
          <w:rFonts w:ascii="宋体" w:hAnsi="宋体"/>
          <w:szCs w:val="21"/>
        </w:rPr>
      </w:pPr>
      <w:r>
        <w:rPr>
          <w:rFonts w:ascii="宋体" w:hAnsi="宋体"/>
          <w:szCs w:val="21"/>
        </w:rPr>
        <w:t>将原APP中点对点对接模式调整为，由服务端统一接口服务。改进监控系统的用户界面，提供更直观、更人性化的操作体验。同时，提高系统的易用性和可维护性。</w:t>
      </w:r>
    </w:p>
    <w:p>
      <w:pPr>
        <w:snapToGrid w:val="0"/>
        <w:spacing w:line="360" w:lineRule="auto"/>
        <w:ind w:firstLine="420" w:firstLineChars="200"/>
        <w:rPr>
          <w:rFonts w:ascii="宋体" w:hAnsi="宋体"/>
          <w:szCs w:val="21"/>
        </w:rPr>
      </w:pPr>
      <w:bookmarkStart w:id="262" w:name="_Toc3954"/>
      <w:bookmarkStart w:id="263" w:name="_Toc14267"/>
      <w:bookmarkStart w:id="264" w:name="_Toc21284"/>
      <w:bookmarkStart w:id="265" w:name="_Toc18713"/>
      <w:bookmarkStart w:id="266" w:name="_Toc22809"/>
      <w:bookmarkStart w:id="267" w:name="_Toc18139"/>
      <w:bookmarkStart w:id="268" w:name="_Toc18640"/>
      <w:bookmarkStart w:id="269" w:name="_Toc4895"/>
      <w:bookmarkStart w:id="270" w:name="_Toc12546"/>
      <w:bookmarkStart w:id="271" w:name="_Toc12046"/>
      <w:bookmarkStart w:id="272" w:name="_Toc23375"/>
      <w:bookmarkStart w:id="273" w:name="_Toc19687"/>
      <w:r>
        <w:rPr>
          <w:rFonts w:hint="eastAsia" w:ascii="宋体" w:hAnsi="宋体"/>
          <w:szCs w:val="21"/>
        </w:rPr>
        <w:t>八</w:t>
      </w:r>
      <w:r>
        <w:rPr>
          <w:rFonts w:ascii="宋体" w:hAnsi="宋体"/>
          <w:szCs w:val="21"/>
        </w:rPr>
        <w:t>、安全服务保障</w:t>
      </w:r>
      <w:bookmarkEnd w:id="262"/>
      <w:bookmarkEnd w:id="263"/>
      <w:bookmarkEnd w:id="264"/>
      <w:bookmarkEnd w:id="265"/>
      <w:bookmarkEnd w:id="266"/>
      <w:bookmarkEnd w:id="267"/>
      <w:bookmarkEnd w:id="268"/>
      <w:bookmarkEnd w:id="269"/>
      <w:bookmarkEnd w:id="270"/>
      <w:bookmarkEnd w:id="271"/>
      <w:bookmarkEnd w:id="272"/>
      <w:bookmarkEnd w:id="273"/>
    </w:p>
    <w:p>
      <w:pPr>
        <w:snapToGrid w:val="0"/>
        <w:spacing w:line="360" w:lineRule="auto"/>
        <w:ind w:firstLine="420" w:firstLineChars="200"/>
        <w:rPr>
          <w:rFonts w:ascii="宋体" w:hAnsi="宋体"/>
          <w:szCs w:val="21"/>
        </w:rPr>
      </w:pPr>
      <w:bookmarkStart w:id="274" w:name="_Toc2199"/>
      <w:bookmarkStart w:id="275" w:name="_Toc32331164"/>
      <w:bookmarkStart w:id="276" w:name="_Toc46150935"/>
      <w:bookmarkStart w:id="277" w:name="_Toc8351"/>
      <w:bookmarkStart w:id="278" w:name="_Toc18067"/>
      <w:bookmarkStart w:id="279" w:name="_Toc17902"/>
      <w:bookmarkStart w:id="280" w:name="_Toc17289"/>
      <w:bookmarkStart w:id="281" w:name="_Toc3848"/>
      <w:bookmarkStart w:id="282" w:name="_Toc1564"/>
      <w:bookmarkStart w:id="283" w:name="_Toc6915"/>
      <w:bookmarkStart w:id="284" w:name="_Toc12864"/>
      <w:bookmarkStart w:id="285" w:name="_Toc4234"/>
      <w:bookmarkStart w:id="286" w:name="_Toc18351"/>
      <w:bookmarkStart w:id="287" w:name="_Toc974"/>
      <w:r>
        <w:rPr>
          <w:rFonts w:ascii="宋体" w:hAnsi="宋体"/>
          <w:szCs w:val="21"/>
        </w:rPr>
        <w:t>（一）运维服务团队及应急响应</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snapToGrid w:val="0"/>
        <w:spacing w:line="360" w:lineRule="auto"/>
        <w:ind w:firstLine="420" w:firstLineChars="200"/>
        <w:rPr>
          <w:rFonts w:ascii="宋体" w:hAnsi="宋体"/>
          <w:szCs w:val="21"/>
        </w:rPr>
      </w:pPr>
      <w:r>
        <w:rPr>
          <w:rFonts w:ascii="宋体" w:hAnsi="宋体"/>
          <w:szCs w:val="21"/>
        </w:rPr>
        <w:t>运维</w:t>
      </w:r>
      <w:r>
        <w:rPr>
          <w:rFonts w:hint="eastAsia" w:ascii="宋体" w:hAnsi="宋体"/>
          <w:szCs w:val="21"/>
        </w:rPr>
        <w:t>供应商</w:t>
      </w:r>
      <w:r>
        <w:rPr>
          <w:rFonts w:ascii="宋体" w:hAnsi="宋体"/>
          <w:szCs w:val="21"/>
        </w:rPr>
        <w:t>应当制定《网络安全事件应急预案》以降低突发事故带来的风险。</w:t>
      </w:r>
    </w:p>
    <w:p>
      <w:pPr>
        <w:snapToGrid w:val="0"/>
        <w:spacing w:line="360" w:lineRule="auto"/>
        <w:ind w:firstLine="420" w:firstLineChars="200"/>
        <w:rPr>
          <w:rFonts w:ascii="宋体" w:hAnsi="宋体"/>
          <w:szCs w:val="21"/>
        </w:rPr>
      </w:pPr>
      <w:bookmarkStart w:id="288" w:name="_Toc23491"/>
      <w:bookmarkStart w:id="289" w:name="_Toc16378"/>
      <w:bookmarkStart w:id="290" w:name="_Toc24345"/>
      <w:bookmarkStart w:id="291" w:name="_Toc32331165"/>
      <w:bookmarkStart w:id="292" w:name="_Toc2061"/>
      <w:bookmarkStart w:id="293" w:name="_Toc13940"/>
      <w:bookmarkStart w:id="294" w:name="_Toc12029"/>
      <w:bookmarkStart w:id="295" w:name="_Toc6637"/>
      <w:bookmarkStart w:id="296" w:name="_Toc7210"/>
      <w:bookmarkStart w:id="297" w:name="_Toc46150936"/>
      <w:bookmarkStart w:id="298" w:name="_Toc10806"/>
      <w:bookmarkStart w:id="299" w:name="_Toc17804"/>
      <w:bookmarkStart w:id="300" w:name="_Toc5175"/>
      <w:bookmarkStart w:id="301" w:name="_Toc12170"/>
      <w:r>
        <w:rPr>
          <w:rFonts w:ascii="宋体" w:hAnsi="宋体"/>
          <w:szCs w:val="21"/>
        </w:rPr>
        <w:t>（二）运维服务团队</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snapToGrid w:val="0"/>
        <w:spacing w:line="360" w:lineRule="auto"/>
        <w:ind w:firstLine="420" w:firstLineChars="200"/>
        <w:rPr>
          <w:rFonts w:ascii="宋体" w:hAnsi="宋体"/>
          <w:szCs w:val="21"/>
        </w:rPr>
      </w:pPr>
      <w:bookmarkStart w:id="302" w:name="_Toc518553116"/>
      <w:r>
        <w:rPr>
          <w:rFonts w:ascii="宋体" w:hAnsi="宋体"/>
          <w:szCs w:val="21"/>
        </w:rPr>
        <w:t>为确保运维服务的及时性，成立专门的运维服务团队，应包含运维团队领导组、客服组、运维开发组、项目实施组、信息安全组、售前组等成员，并建立运维汇报机制。</w:t>
      </w:r>
    </w:p>
    <w:p>
      <w:pPr>
        <w:snapToGrid w:val="0"/>
        <w:spacing w:line="360" w:lineRule="auto"/>
        <w:ind w:firstLine="420" w:firstLineChars="200"/>
        <w:rPr>
          <w:rFonts w:ascii="宋体" w:hAnsi="宋体"/>
          <w:szCs w:val="21"/>
        </w:rPr>
      </w:pPr>
      <w:r>
        <w:rPr>
          <w:rFonts w:ascii="宋体" w:hAnsi="宋体"/>
          <w:szCs w:val="21"/>
        </w:rPr>
        <w:t>（三）运维问题定期汇报机制</w:t>
      </w:r>
    </w:p>
    <w:p>
      <w:pPr>
        <w:snapToGrid w:val="0"/>
        <w:spacing w:line="360" w:lineRule="auto"/>
        <w:ind w:firstLine="420" w:firstLineChars="200"/>
        <w:rPr>
          <w:rFonts w:ascii="宋体" w:hAnsi="宋体"/>
          <w:szCs w:val="21"/>
        </w:rPr>
      </w:pPr>
      <w:r>
        <w:rPr>
          <w:rFonts w:ascii="宋体" w:hAnsi="宋体"/>
          <w:szCs w:val="21"/>
        </w:rPr>
        <w:t>每天下班前客服人员将当天已解决的问题，及时反馈汇报给信息中心；对超时未完成问题，客服人员定期将问题处理完成进度汇报给信息中心。</w:t>
      </w:r>
    </w:p>
    <w:p>
      <w:pPr>
        <w:snapToGrid w:val="0"/>
        <w:spacing w:line="360" w:lineRule="auto"/>
        <w:ind w:firstLine="420" w:firstLineChars="200"/>
        <w:rPr>
          <w:rFonts w:ascii="宋体" w:hAnsi="宋体"/>
          <w:szCs w:val="21"/>
        </w:rPr>
      </w:pPr>
      <w:r>
        <w:rPr>
          <w:rFonts w:ascii="宋体" w:hAnsi="宋体"/>
          <w:szCs w:val="21"/>
        </w:rPr>
        <w:t>（四）运维定期回访</w:t>
      </w:r>
    </w:p>
    <w:p>
      <w:pPr>
        <w:snapToGrid w:val="0"/>
        <w:spacing w:line="360" w:lineRule="auto"/>
        <w:ind w:firstLine="420" w:firstLineChars="200"/>
        <w:rPr>
          <w:rFonts w:ascii="宋体" w:hAnsi="宋体"/>
          <w:szCs w:val="21"/>
        </w:rPr>
      </w:pPr>
      <w:r>
        <w:rPr>
          <w:rFonts w:ascii="宋体" w:hAnsi="宋体"/>
          <w:szCs w:val="21"/>
        </w:rPr>
        <w:t>定期走访相关用户单位了解用户单位在使用过程中存在的问题，记录并跟进解决回复。</w:t>
      </w:r>
    </w:p>
    <w:p>
      <w:pPr>
        <w:snapToGrid w:val="0"/>
        <w:spacing w:line="360" w:lineRule="auto"/>
        <w:ind w:firstLine="420" w:firstLineChars="200"/>
        <w:rPr>
          <w:rFonts w:ascii="宋体" w:hAnsi="宋体"/>
          <w:szCs w:val="21"/>
        </w:rPr>
      </w:pPr>
      <w:r>
        <w:rPr>
          <w:rFonts w:ascii="宋体" w:hAnsi="宋体"/>
          <w:szCs w:val="21"/>
        </w:rPr>
        <w:t>（五）严重问题升级机制</w:t>
      </w:r>
    </w:p>
    <w:p>
      <w:pPr>
        <w:snapToGrid w:val="0"/>
        <w:spacing w:line="360" w:lineRule="auto"/>
        <w:ind w:firstLine="420" w:firstLineChars="200"/>
        <w:rPr>
          <w:rFonts w:ascii="宋体" w:hAnsi="宋体"/>
          <w:szCs w:val="21"/>
        </w:rPr>
      </w:pPr>
      <w:r>
        <w:rPr>
          <w:rFonts w:ascii="宋体" w:hAnsi="宋体"/>
          <w:szCs w:val="21"/>
        </w:rPr>
        <w:t>针对中病毒、数据丢失、服务器崩溃、应用崩溃、数据库崩溃等严重问题需要把问题及时升级到信息中心和运维团队高层领导，便于协调资源及时解决问题。</w:t>
      </w:r>
    </w:p>
    <w:bookmarkEnd w:id="302"/>
    <w:p>
      <w:pPr>
        <w:snapToGrid w:val="0"/>
        <w:spacing w:line="360" w:lineRule="auto"/>
        <w:ind w:firstLine="420" w:firstLineChars="200"/>
        <w:rPr>
          <w:rFonts w:ascii="宋体" w:hAnsi="宋体"/>
          <w:szCs w:val="21"/>
        </w:rPr>
      </w:pPr>
      <w:bookmarkStart w:id="303" w:name="_Toc18235"/>
      <w:bookmarkStart w:id="304" w:name="_Toc2018"/>
      <w:bookmarkStart w:id="305" w:name="_Toc828"/>
      <w:bookmarkStart w:id="306" w:name="_Toc12171"/>
      <w:bookmarkStart w:id="307" w:name="_Toc29050"/>
      <w:bookmarkStart w:id="308" w:name="_Toc26154"/>
      <w:bookmarkStart w:id="309" w:name="_Toc10261"/>
      <w:bookmarkStart w:id="310" w:name="_Toc20160"/>
      <w:bookmarkStart w:id="311" w:name="_Toc3552"/>
      <w:bookmarkStart w:id="312" w:name="_Toc46150937"/>
      <w:bookmarkStart w:id="313" w:name="_Toc15234"/>
      <w:bookmarkStart w:id="314" w:name="_Toc13861"/>
      <w:bookmarkStart w:id="315" w:name="_Toc32331166"/>
      <w:bookmarkStart w:id="316" w:name="_Toc20060"/>
      <w:bookmarkStart w:id="317" w:name="_Toc46150942"/>
      <w:r>
        <w:rPr>
          <w:rFonts w:ascii="宋体" w:hAnsi="宋体"/>
          <w:szCs w:val="21"/>
        </w:rPr>
        <w:t>（六）运维应急响应制度</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snapToGrid w:val="0"/>
        <w:spacing w:line="360" w:lineRule="auto"/>
        <w:ind w:firstLine="420" w:firstLineChars="200"/>
        <w:rPr>
          <w:rFonts w:ascii="宋体" w:hAnsi="宋体"/>
          <w:szCs w:val="21"/>
        </w:rPr>
      </w:pPr>
      <w:bookmarkStart w:id="318" w:name="_Toc518553111"/>
      <w:bookmarkStart w:id="319" w:name="_Ref518297612"/>
      <w:bookmarkStart w:id="320" w:name="_Ref518467954"/>
      <w:r>
        <w:rPr>
          <w:rFonts w:ascii="宋体" w:hAnsi="宋体"/>
          <w:szCs w:val="21"/>
        </w:rPr>
        <w:t>系统使用单位或人员发现信息系统突发事件后，应及时报告信息中心及运维团队领导。信息中心及运维团队领导及时组织相关人员查找故障原因，在短时间内（一般要在半小时以内）依据故障情形和修复时间进行初步判别，确定故障分类级别，较大的突发事件应报告领导。</w:t>
      </w:r>
    </w:p>
    <w:p>
      <w:pPr>
        <w:snapToGrid w:val="0"/>
        <w:spacing w:line="360" w:lineRule="auto"/>
        <w:ind w:firstLine="420" w:firstLineChars="200"/>
        <w:rPr>
          <w:rFonts w:ascii="宋体" w:hAnsi="宋体"/>
          <w:szCs w:val="21"/>
        </w:rPr>
      </w:pPr>
      <w:bookmarkStart w:id="321" w:name="_Toc157"/>
      <w:bookmarkStart w:id="322" w:name="_Toc22162"/>
      <w:bookmarkStart w:id="323" w:name="_Toc29291"/>
      <w:bookmarkStart w:id="324" w:name="_Toc24538"/>
      <w:bookmarkStart w:id="325" w:name="_Toc26808"/>
      <w:bookmarkStart w:id="326" w:name="_Toc19164"/>
      <w:bookmarkStart w:id="327" w:name="_Toc5092"/>
      <w:bookmarkStart w:id="328" w:name="_Toc31014"/>
      <w:bookmarkStart w:id="329" w:name="_Toc1109"/>
      <w:bookmarkStart w:id="330" w:name="_Toc14854"/>
      <w:bookmarkStart w:id="331" w:name="_Toc32130"/>
      <w:bookmarkStart w:id="332" w:name="_Toc4588"/>
      <w:r>
        <w:rPr>
          <w:rFonts w:hint="eastAsia" w:ascii="宋体" w:hAnsi="宋体"/>
          <w:szCs w:val="21"/>
        </w:rPr>
        <w:t>九</w:t>
      </w:r>
      <w:r>
        <w:rPr>
          <w:rFonts w:ascii="宋体" w:hAnsi="宋体"/>
          <w:szCs w:val="21"/>
        </w:rPr>
        <w:t>、驻场人员要求</w:t>
      </w:r>
      <w:bookmarkEnd w:id="321"/>
      <w:bookmarkEnd w:id="322"/>
      <w:bookmarkEnd w:id="323"/>
      <w:bookmarkEnd w:id="324"/>
      <w:bookmarkEnd w:id="325"/>
      <w:bookmarkEnd w:id="326"/>
      <w:bookmarkEnd w:id="327"/>
      <w:bookmarkEnd w:id="328"/>
      <w:bookmarkEnd w:id="329"/>
      <w:bookmarkEnd w:id="330"/>
      <w:bookmarkEnd w:id="331"/>
      <w:bookmarkEnd w:id="332"/>
    </w:p>
    <w:p>
      <w:pPr>
        <w:snapToGrid w:val="0"/>
        <w:spacing w:line="360" w:lineRule="auto"/>
        <w:ind w:firstLine="420" w:firstLineChars="200"/>
        <w:rPr>
          <w:rFonts w:ascii="宋体" w:hAnsi="宋体"/>
          <w:szCs w:val="21"/>
        </w:rPr>
      </w:pPr>
      <w:r>
        <w:rPr>
          <w:rFonts w:ascii="宋体" w:hAnsi="宋体"/>
          <w:szCs w:val="21"/>
        </w:rPr>
        <w:t>驻场运维人员必须是与中标运维公司签署劳动合同的在职人员，不能是第三方无关单位人员；原则上要求具备所承担运维项目所需的技术能力和相关资质</w:t>
      </w:r>
      <w:r>
        <w:rPr>
          <w:rFonts w:hint="eastAsia" w:ascii="宋体" w:hAnsi="宋体"/>
          <w:szCs w:val="21"/>
        </w:rPr>
        <w:t>，</w:t>
      </w:r>
      <w:r>
        <w:rPr>
          <w:rFonts w:ascii="宋体" w:hAnsi="宋体"/>
          <w:szCs w:val="21"/>
        </w:rPr>
        <w:t>无犯罪记录。</w:t>
      </w:r>
    </w:p>
    <w:bookmarkEnd w:id="318"/>
    <w:bookmarkEnd w:id="319"/>
    <w:bookmarkEnd w:id="320"/>
    <w:p>
      <w:pPr>
        <w:snapToGrid w:val="0"/>
        <w:spacing w:line="360" w:lineRule="auto"/>
        <w:ind w:firstLine="420" w:firstLineChars="200"/>
        <w:rPr>
          <w:rFonts w:ascii="宋体" w:hAnsi="宋体"/>
          <w:szCs w:val="21"/>
        </w:rPr>
      </w:pPr>
      <w:bookmarkStart w:id="333" w:name="_Toc12763"/>
      <w:bookmarkStart w:id="334" w:name="_Toc21480"/>
      <w:bookmarkStart w:id="335" w:name="_Toc16719"/>
      <w:bookmarkStart w:id="336" w:name="_Toc25627"/>
      <w:bookmarkStart w:id="337" w:name="_Toc8438"/>
      <w:bookmarkStart w:id="338" w:name="_Toc10607"/>
      <w:bookmarkStart w:id="339" w:name="_Toc8816"/>
      <w:bookmarkStart w:id="340" w:name="_Toc20141"/>
      <w:bookmarkStart w:id="341" w:name="_Toc8493"/>
      <w:bookmarkStart w:id="342" w:name="_Toc11025"/>
      <w:bookmarkStart w:id="343" w:name="_Toc15997"/>
      <w:bookmarkStart w:id="344" w:name="_Toc29813"/>
      <w:r>
        <w:rPr>
          <w:rFonts w:ascii="宋体" w:hAnsi="宋体"/>
          <w:szCs w:val="21"/>
        </w:rPr>
        <w:t>十、服务时间保障</w:t>
      </w:r>
      <w:bookmarkEnd w:id="317"/>
      <w:bookmarkEnd w:id="333"/>
      <w:bookmarkEnd w:id="334"/>
      <w:bookmarkEnd w:id="335"/>
      <w:bookmarkEnd w:id="336"/>
      <w:bookmarkEnd w:id="337"/>
      <w:bookmarkEnd w:id="338"/>
      <w:bookmarkEnd w:id="339"/>
      <w:bookmarkEnd w:id="340"/>
      <w:bookmarkEnd w:id="341"/>
      <w:bookmarkEnd w:id="342"/>
      <w:bookmarkEnd w:id="343"/>
      <w:bookmarkEnd w:id="344"/>
    </w:p>
    <w:p>
      <w:pPr>
        <w:snapToGrid w:val="0"/>
        <w:spacing w:line="360" w:lineRule="auto"/>
        <w:ind w:firstLine="420" w:firstLineChars="200"/>
        <w:rPr>
          <w:rFonts w:ascii="宋体" w:hAnsi="宋体"/>
          <w:szCs w:val="21"/>
        </w:rPr>
      </w:pPr>
      <w:r>
        <w:rPr>
          <w:rFonts w:ascii="宋体" w:hAnsi="宋体"/>
          <w:szCs w:val="21"/>
        </w:rPr>
        <w:t>配备专门的运维服务团队为用户提供专业、最及时的服务，对于用户提出的技术支持与维修要求，运维团队至少派9名可以现场处理一般问题的技术人员到中心驻场，提供5*8小时的现场故障诊断、处理，以及7*24小时电话或远程技术支持服务。</w:t>
      </w:r>
    </w:p>
    <w:p>
      <w:pPr>
        <w:snapToGrid w:val="0"/>
        <w:spacing w:line="360" w:lineRule="auto"/>
        <w:ind w:firstLine="420" w:firstLineChars="200"/>
        <w:rPr>
          <w:rFonts w:ascii="宋体" w:hAnsi="宋体"/>
          <w:szCs w:val="21"/>
        </w:rPr>
      </w:pPr>
      <w:bookmarkStart w:id="345" w:name="_Toc5009"/>
      <w:bookmarkStart w:id="346" w:name="_Toc12962"/>
      <w:bookmarkStart w:id="347" w:name="_Toc26460"/>
      <w:bookmarkStart w:id="348" w:name="_Toc26087"/>
      <w:bookmarkStart w:id="349" w:name="_Toc29335"/>
      <w:bookmarkStart w:id="350" w:name="_Toc14000"/>
      <w:bookmarkStart w:id="351" w:name="_Toc645"/>
      <w:bookmarkStart w:id="352" w:name="_Toc6281"/>
      <w:bookmarkStart w:id="353" w:name="_Toc3941"/>
      <w:bookmarkStart w:id="354" w:name="_Toc26931"/>
      <w:bookmarkStart w:id="355" w:name="_Toc23846"/>
      <w:bookmarkStart w:id="356" w:name="_Toc22016"/>
      <w:r>
        <w:rPr>
          <w:rFonts w:ascii="宋体" w:hAnsi="宋体"/>
          <w:szCs w:val="21"/>
        </w:rPr>
        <w:t>十</w:t>
      </w:r>
      <w:r>
        <w:rPr>
          <w:rFonts w:hint="eastAsia" w:ascii="宋体" w:hAnsi="宋体"/>
          <w:szCs w:val="21"/>
        </w:rPr>
        <w:t>一</w:t>
      </w:r>
      <w:r>
        <w:rPr>
          <w:rFonts w:ascii="宋体" w:hAnsi="宋体"/>
          <w:szCs w:val="21"/>
        </w:rPr>
        <w:t>、运维服务考核办法</w:t>
      </w:r>
      <w:bookmarkEnd w:id="345"/>
      <w:bookmarkEnd w:id="346"/>
      <w:bookmarkEnd w:id="347"/>
      <w:bookmarkEnd w:id="348"/>
      <w:bookmarkEnd w:id="349"/>
      <w:bookmarkEnd w:id="350"/>
      <w:bookmarkEnd w:id="351"/>
      <w:bookmarkEnd w:id="352"/>
      <w:bookmarkEnd w:id="353"/>
      <w:bookmarkEnd w:id="354"/>
      <w:bookmarkEnd w:id="355"/>
      <w:bookmarkEnd w:id="356"/>
    </w:p>
    <w:p>
      <w:pPr>
        <w:snapToGrid w:val="0"/>
        <w:spacing w:line="360" w:lineRule="auto"/>
        <w:ind w:firstLine="420" w:firstLineChars="200"/>
        <w:rPr>
          <w:rFonts w:ascii="宋体" w:hAnsi="宋体"/>
          <w:szCs w:val="21"/>
        </w:rPr>
      </w:pPr>
      <w:r>
        <w:rPr>
          <w:rFonts w:ascii="宋体" w:hAnsi="宋体"/>
          <w:szCs w:val="21"/>
        </w:rPr>
        <w:t>为加强对运维服务的监督管理，确保运维服务合同有效执行，保障信息系统正常运行，自治区环境信息中心将按照考核办法在合同期内，每月对运维团队的服务进行考核。</w:t>
      </w:r>
    </w:p>
    <w:p>
      <w:pPr>
        <w:snapToGrid w:val="0"/>
        <w:spacing w:line="360" w:lineRule="auto"/>
        <w:ind w:firstLine="420" w:firstLineChars="200"/>
        <w:rPr>
          <w:rFonts w:ascii="宋体" w:hAnsi="宋体"/>
          <w:szCs w:val="21"/>
        </w:rPr>
      </w:pPr>
      <w:bookmarkStart w:id="357" w:name="_Toc25042"/>
      <w:bookmarkStart w:id="358" w:name="_Toc29020"/>
      <w:bookmarkStart w:id="359" w:name="_Toc26373"/>
      <w:bookmarkStart w:id="360" w:name="_Toc26813"/>
      <w:bookmarkStart w:id="361" w:name="_Toc31616"/>
      <w:bookmarkStart w:id="362" w:name="_Toc5452"/>
      <w:bookmarkStart w:id="363" w:name="_Toc28885"/>
      <w:bookmarkStart w:id="364" w:name="_Toc28951"/>
      <w:bookmarkStart w:id="365" w:name="_Toc25357"/>
      <w:bookmarkStart w:id="366" w:name="_Toc12458"/>
      <w:bookmarkStart w:id="367" w:name="_Toc5322"/>
      <w:bookmarkStart w:id="368" w:name="_Toc28888"/>
      <w:bookmarkStart w:id="369" w:name="_Toc2021"/>
      <w:r>
        <w:rPr>
          <w:rFonts w:ascii="宋体" w:hAnsi="宋体"/>
          <w:szCs w:val="21"/>
        </w:rPr>
        <w:t>（一）考核范围</w:t>
      </w:r>
      <w:bookmarkEnd w:id="357"/>
      <w:bookmarkEnd w:id="358"/>
      <w:bookmarkEnd w:id="359"/>
      <w:bookmarkEnd w:id="360"/>
      <w:bookmarkEnd w:id="361"/>
      <w:bookmarkEnd w:id="362"/>
      <w:bookmarkEnd w:id="363"/>
      <w:bookmarkEnd w:id="364"/>
      <w:bookmarkEnd w:id="365"/>
      <w:bookmarkEnd w:id="366"/>
      <w:bookmarkEnd w:id="367"/>
    </w:p>
    <w:p>
      <w:pPr>
        <w:snapToGrid w:val="0"/>
        <w:spacing w:line="360" w:lineRule="auto"/>
        <w:ind w:firstLine="420" w:firstLineChars="200"/>
        <w:rPr>
          <w:rFonts w:ascii="宋体" w:hAnsi="宋体"/>
          <w:szCs w:val="21"/>
        </w:rPr>
      </w:pPr>
      <w:r>
        <w:rPr>
          <w:rFonts w:ascii="宋体" w:hAnsi="宋体"/>
          <w:szCs w:val="21"/>
        </w:rPr>
        <w:t>自治区环境信息中心2024年信息系统运维项目合同约定的各项运维服务。</w:t>
      </w:r>
    </w:p>
    <w:p>
      <w:pPr>
        <w:snapToGrid w:val="0"/>
        <w:spacing w:line="360" w:lineRule="auto"/>
        <w:ind w:firstLine="420" w:firstLineChars="200"/>
        <w:rPr>
          <w:rFonts w:ascii="宋体" w:hAnsi="宋体"/>
          <w:szCs w:val="21"/>
        </w:rPr>
      </w:pPr>
      <w:bookmarkStart w:id="370" w:name="_Toc18896"/>
      <w:bookmarkStart w:id="371" w:name="_Toc28747"/>
      <w:bookmarkStart w:id="372" w:name="_Toc16016"/>
      <w:bookmarkStart w:id="373" w:name="_Toc17499"/>
      <w:bookmarkStart w:id="374" w:name="_Toc18423"/>
      <w:bookmarkStart w:id="375" w:name="_Toc4235"/>
      <w:bookmarkStart w:id="376" w:name="_Toc1376"/>
      <w:bookmarkStart w:id="377" w:name="_Toc9534"/>
      <w:bookmarkStart w:id="378" w:name="_Toc30465"/>
      <w:bookmarkStart w:id="379" w:name="_Toc28868"/>
      <w:bookmarkStart w:id="380" w:name="_Toc16465"/>
      <w:r>
        <w:rPr>
          <w:rFonts w:ascii="宋体" w:hAnsi="宋体"/>
          <w:szCs w:val="21"/>
        </w:rPr>
        <w:t>（二）考核内容</w:t>
      </w:r>
      <w:bookmarkEnd w:id="370"/>
      <w:bookmarkEnd w:id="371"/>
      <w:bookmarkEnd w:id="372"/>
      <w:bookmarkEnd w:id="373"/>
      <w:bookmarkEnd w:id="374"/>
      <w:bookmarkEnd w:id="375"/>
      <w:bookmarkEnd w:id="376"/>
      <w:bookmarkEnd w:id="377"/>
      <w:bookmarkEnd w:id="378"/>
      <w:bookmarkEnd w:id="379"/>
      <w:bookmarkEnd w:id="380"/>
    </w:p>
    <w:p>
      <w:pPr>
        <w:snapToGrid w:val="0"/>
        <w:spacing w:line="360" w:lineRule="auto"/>
        <w:ind w:firstLine="420" w:firstLineChars="200"/>
        <w:rPr>
          <w:rFonts w:ascii="宋体" w:hAnsi="宋体"/>
          <w:szCs w:val="21"/>
        </w:rPr>
      </w:pPr>
      <w:r>
        <w:rPr>
          <w:rFonts w:ascii="宋体" w:hAnsi="宋体"/>
          <w:szCs w:val="21"/>
        </w:rPr>
        <w:t>信息中心每月对合同约定的运维服务内容进行考核（每个月10日之前对上个月服务进行考核），检查服务是否满足合同要求。</w:t>
      </w:r>
    </w:p>
    <w:p>
      <w:pPr>
        <w:snapToGrid w:val="0"/>
        <w:spacing w:line="360" w:lineRule="auto"/>
        <w:ind w:firstLine="420" w:firstLineChars="200"/>
        <w:rPr>
          <w:rFonts w:ascii="宋体" w:hAnsi="宋体"/>
          <w:szCs w:val="21"/>
        </w:rPr>
      </w:pPr>
      <w:bookmarkStart w:id="381" w:name="_Toc21525"/>
      <w:bookmarkStart w:id="382" w:name="_Toc24888"/>
      <w:bookmarkStart w:id="383" w:name="_Toc8148"/>
      <w:bookmarkStart w:id="384" w:name="_Toc16537"/>
      <w:bookmarkStart w:id="385" w:name="_Toc31449"/>
      <w:bookmarkStart w:id="386" w:name="_Toc18227"/>
      <w:bookmarkStart w:id="387" w:name="_Toc15932"/>
      <w:bookmarkStart w:id="388" w:name="_Toc23909"/>
      <w:bookmarkStart w:id="389" w:name="_Toc3348"/>
      <w:bookmarkStart w:id="390" w:name="_Toc32541"/>
      <w:bookmarkStart w:id="391" w:name="_Toc25674"/>
      <w:r>
        <w:rPr>
          <w:rFonts w:ascii="宋体" w:hAnsi="宋体"/>
          <w:szCs w:val="21"/>
        </w:rPr>
        <w:t>（三）评分办法</w:t>
      </w:r>
      <w:bookmarkEnd w:id="381"/>
      <w:bookmarkEnd w:id="382"/>
      <w:bookmarkEnd w:id="383"/>
      <w:bookmarkEnd w:id="384"/>
      <w:bookmarkEnd w:id="385"/>
      <w:bookmarkEnd w:id="386"/>
      <w:bookmarkEnd w:id="387"/>
      <w:bookmarkEnd w:id="388"/>
      <w:bookmarkEnd w:id="389"/>
      <w:bookmarkEnd w:id="390"/>
      <w:bookmarkEnd w:id="391"/>
    </w:p>
    <w:p>
      <w:pPr>
        <w:snapToGrid w:val="0"/>
        <w:spacing w:line="360" w:lineRule="auto"/>
        <w:ind w:firstLine="420" w:firstLineChars="200"/>
        <w:rPr>
          <w:rFonts w:ascii="宋体" w:hAnsi="宋体"/>
          <w:szCs w:val="21"/>
        </w:rPr>
      </w:pPr>
      <w:r>
        <w:rPr>
          <w:rFonts w:ascii="宋体" w:hAnsi="宋体"/>
          <w:szCs w:val="21"/>
        </w:rPr>
        <w:t>1.服务内容将分为三大项共10小项进行评分，评分细则详见附表。</w:t>
      </w:r>
    </w:p>
    <w:p>
      <w:pPr>
        <w:snapToGrid w:val="0"/>
        <w:spacing w:line="360" w:lineRule="auto"/>
        <w:ind w:firstLine="420" w:firstLineChars="200"/>
        <w:rPr>
          <w:rFonts w:ascii="宋体" w:hAnsi="宋体"/>
          <w:szCs w:val="21"/>
        </w:rPr>
      </w:pPr>
      <w:r>
        <w:rPr>
          <w:rFonts w:ascii="宋体" w:hAnsi="宋体"/>
          <w:szCs w:val="21"/>
        </w:rPr>
        <w:t>2.评分人为信息中心数据应用科负责人，评分参考依据为服务合同、运维报告和日常工作表现。</w:t>
      </w:r>
    </w:p>
    <w:p>
      <w:pPr>
        <w:snapToGrid w:val="0"/>
        <w:spacing w:line="360" w:lineRule="auto"/>
        <w:ind w:firstLine="420" w:firstLineChars="200"/>
        <w:rPr>
          <w:rFonts w:ascii="宋体" w:hAnsi="宋体"/>
          <w:szCs w:val="21"/>
        </w:rPr>
      </w:pPr>
      <w:r>
        <w:rPr>
          <w:rFonts w:ascii="宋体" w:hAnsi="宋体"/>
          <w:szCs w:val="21"/>
        </w:rPr>
        <w:t>3.考核总分为100分，采取得分制，最终累计得分为总分。得分事项应经双方项目负责人签字或加盖公章确认方为有效。</w:t>
      </w:r>
    </w:p>
    <w:p>
      <w:pPr>
        <w:snapToGrid w:val="0"/>
        <w:spacing w:line="360" w:lineRule="auto"/>
        <w:ind w:firstLine="420" w:firstLineChars="200"/>
        <w:rPr>
          <w:rFonts w:ascii="宋体" w:hAnsi="宋体"/>
          <w:szCs w:val="21"/>
        </w:rPr>
      </w:pPr>
      <w:bookmarkStart w:id="392" w:name="_Toc28350"/>
      <w:bookmarkStart w:id="393" w:name="_Toc5553"/>
      <w:bookmarkStart w:id="394" w:name="_Toc14571"/>
      <w:bookmarkStart w:id="395" w:name="_Toc7789"/>
      <w:bookmarkStart w:id="396" w:name="_Toc9688"/>
      <w:bookmarkStart w:id="397" w:name="_Toc17654"/>
      <w:bookmarkStart w:id="398" w:name="_Toc31670"/>
      <w:bookmarkStart w:id="399" w:name="_Toc7879"/>
      <w:bookmarkStart w:id="400" w:name="_Toc23328"/>
      <w:bookmarkStart w:id="401" w:name="_Toc16286"/>
      <w:bookmarkStart w:id="402" w:name="_Toc15121"/>
      <w:r>
        <w:rPr>
          <w:rFonts w:ascii="宋体" w:hAnsi="宋体"/>
          <w:szCs w:val="21"/>
        </w:rPr>
        <w:t>（四）评价结果运用</w:t>
      </w:r>
      <w:bookmarkEnd w:id="392"/>
      <w:bookmarkEnd w:id="393"/>
      <w:bookmarkEnd w:id="394"/>
      <w:bookmarkEnd w:id="395"/>
      <w:bookmarkEnd w:id="396"/>
      <w:bookmarkEnd w:id="397"/>
      <w:bookmarkEnd w:id="398"/>
      <w:bookmarkEnd w:id="399"/>
      <w:bookmarkEnd w:id="400"/>
      <w:bookmarkEnd w:id="401"/>
      <w:bookmarkEnd w:id="402"/>
    </w:p>
    <w:p>
      <w:pPr>
        <w:snapToGrid w:val="0"/>
        <w:spacing w:line="360" w:lineRule="auto"/>
        <w:ind w:firstLine="420" w:firstLineChars="200"/>
        <w:rPr>
          <w:rFonts w:ascii="宋体" w:hAnsi="宋体"/>
          <w:szCs w:val="21"/>
        </w:rPr>
      </w:pPr>
      <w:r>
        <w:rPr>
          <w:rFonts w:ascii="宋体" w:hAnsi="宋体"/>
          <w:szCs w:val="21"/>
        </w:rPr>
        <w:t>1.考核分数≥80分的，通过当期考核，不扣除履约保证金；</w:t>
      </w:r>
    </w:p>
    <w:p>
      <w:pPr>
        <w:snapToGrid w:val="0"/>
        <w:spacing w:line="360" w:lineRule="auto"/>
        <w:ind w:firstLine="420" w:firstLineChars="200"/>
        <w:rPr>
          <w:rFonts w:ascii="宋体" w:hAnsi="宋体"/>
          <w:szCs w:val="21"/>
        </w:rPr>
      </w:pPr>
      <w:r>
        <w:rPr>
          <w:rFonts w:ascii="宋体" w:hAnsi="宋体"/>
          <w:szCs w:val="21"/>
        </w:rPr>
        <w:t>2.考核分数&lt;80分，且≥60分，未通过当期考核，以80分为基准线每少1分扣除履约保证金5%；</w:t>
      </w:r>
    </w:p>
    <w:p>
      <w:pPr>
        <w:snapToGrid w:val="0"/>
        <w:spacing w:line="360" w:lineRule="auto"/>
        <w:ind w:firstLine="420" w:firstLineChars="200"/>
        <w:rPr>
          <w:rFonts w:ascii="宋体" w:hAnsi="宋体"/>
          <w:szCs w:val="21"/>
        </w:rPr>
      </w:pPr>
      <w:r>
        <w:rPr>
          <w:rFonts w:ascii="宋体" w:hAnsi="宋体"/>
          <w:szCs w:val="21"/>
        </w:rPr>
        <w:t>3.考核分数&lt;60分的，未通过当期考核，视为当期服务不合格，扣除全部履约保证金；连续2次考核分数在60分及以下的，信息中心可终止合同，并要求</w:t>
      </w:r>
      <w:r>
        <w:rPr>
          <w:rFonts w:hint="eastAsia" w:ascii="宋体" w:hAnsi="宋体"/>
          <w:szCs w:val="21"/>
        </w:rPr>
        <w:t>供应商</w:t>
      </w:r>
      <w:r>
        <w:rPr>
          <w:rFonts w:ascii="宋体" w:hAnsi="宋体"/>
          <w:szCs w:val="21"/>
        </w:rPr>
        <w:t>赔偿相关损失。</w:t>
      </w:r>
    </w:p>
    <w:p>
      <w:pPr>
        <w:snapToGrid w:val="0"/>
        <w:spacing w:line="360" w:lineRule="auto"/>
        <w:ind w:firstLine="420" w:firstLineChars="200"/>
        <w:rPr>
          <w:rFonts w:ascii="宋体" w:hAnsi="宋体"/>
          <w:szCs w:val="21"/>
        </w:rPr>
      </w:pPr>
      <w:bookmarkStart w:id="403" w:name="_Toc29475"/>
      <w:bookmarkStart w:id="404" w:name="_Toc20409"/>
      <w:bookmarkStart w:id="405" w:name="_Toc7271"/>
      <w:bookmarkStart w:id="406" w:name="_Toc8037"/>
      <w:bookmarkStart w:id="407" w:name="_Toc26147"/>
      <w:bookmarkStart w:id="408" w:name="_Toc18948"/>
      <w:bookmarkStart w:id="409" w:name="_Toc18166"/>
      <w:bookmarkStart w:id="410" w:name="_Toc10552"/>
      <w:bookmarkStart w:id="411" w:name="_Toc25715"/>
      <w:bookmarkStart w:id="412" w:name="_Toc6500"/>
      <w:bookmarkStart w:id="413" w:name="_Toc12237"/>
      <w:r>
        <w:rPr>
          <w:rFonts w:ascii="宋体" w:hAnsi="宋体"/>
          <w:szCs w:val="21"/>
        </w:rPr>
        <w:t>（五）事故定级说明</w:t>
      </w:r>
      <w:bookmarkEnd w:id="403"/>
      <w:bookmarkEnd w:id="404"/>
      <w:bookmarkEnd w:id="405"/>
      <w:bookmarkEnd w:id="406"/>
      <w:bookmarkEnd w:id="407"/>
      <w:bookmarkEnd w:id="408"/>
      <w:bookmarkEnd w:id="409"/>
      <w:bookmarkEnd w:id="410"/>
      <w:bookmarkEnd w:id="411"/>
      <w:bookmarkEnd w:id="412"/>
      <w:bookmarkEnd w:id="413"/>
    </w:p>
    <w:p>
      <w:pPr>
        <w:snapToGrid w:val="0"/>
        <w:spacing w:line="360" w:lineRule="auto"/>
        <w:ind w:firstLine="420" w:firstLineChars="200"/>
        <w:rPr>
          <w:rFonts w:ascii="宋体" w:hAnsi="宋体"/>
          <w:szCs w:val="21"/>
        </w:rPr>
      </w:pPr>
      <w:r>
        <w:rPr>
          <w:rFonts w:ascii="宋体" w:hAnsi="宋体"/>
          <w:szCs w:val="21"/>
        </w:rPr>
        <w:t>由于</w:t>
      </w:r>
      <w:r>
        <w:rPr>
          <w:rFonts w:hint="eastAsia" w:ascii="宋体" w:hAnsi="宋体"/>
          <w:szCs w:val="21"/>
        </w:rPr>
        <w:t>供应商</w:t>
      </w:r>
      <w:r>
        <w:rPr>
          <w:rFonts w:ascii="宋体" w:hAnsi="宋体"/>
          <w:szCs w:val="21"/>
        </w:rPr>
        <w:t xml:space="preserve">未认真履行合同内容而造成事故的，将根据事故等级采取相应扣分措施。事故定级和解释如下： </w:t>
      </w:r>
    </w:p>
    <w:p>
      <w:pPr>
        <w:snapToGrid w:val="0"/>
        <w:spacing w:line="360" w:lineRule="auto"/>
        <w:ind w:firstLine="420" w:firstLineChars="200"/>
        <w:rPr>
          <w:rFonts w:ascii="宋体" w:hAnsi="宋体"/>
          <w:szCs w:val="21"/>
        </w:rPr>
      </w:pPr>
      <w:r>
        <w:rPr>
          <w:rFonts w:ascii="宋体" w:hAnsi="宋体"/>
          <w:szCs w:val="21"/>
        </w:rPr>
        <w:t>1.特别重大事故。是指</w:t>
      </w:r>
      <w:r>
        <w:rPr>
          <w:rFonts w:hint="eastAsia" w:ascii="宋体" w:hAnsi="宋体"/>
          <w:szCs w:val="21"/>
        </w:rPr>
        <w:t>令</w:t>
      </w:r>
      <w:r>
        <w:rPr>
          <w:rFonts w:ascii="宋体" w:hAnsi="宋体"/>
          <w:szCs w:val="21"/>
        </w:rPr>
        <w:t>本项目涉及的33个业务信息系统</w:t>
      </w:r>
      <w:r>
        <w:rPr>
          <w:rFonts w:hint="eastAsia" w:ascii="宋体" w:hAnsi="宋体"/>
          <w:szCs w:val="21"/>
        </w:rPr>
        <w:t>中任意一个或多个系统</w:t>
      </w:r>
      <w:r>
        <w:rPr>
          <w:rFonts w:ascii="宋体" w:hAnsi="宋体"/>
          <w:szCs w:val="21"/>
        </w:rPr>
        <w:t>遭受特别重大的损失，影响涉及全厅用户或绝大部分直属单位，恢复正常运行和消除事故负面影响所需付出代价巨大，为信息中心不可承受。具体有：</w:t>
      </w:r>
    </w:p>
    <w:p>
      <w:pPr>
        <w:snapToGrid w:val="0"/>
        <w:spacing w:line="360" w:lineRule="auto"/>
        <w:ind w:firstLine="420" w:firstLineChars="200"/>
        <w:rPr>
          <w:rFonts w:ascii="宋体" w:hAnsi="宋体"/>
          <w:szCs w:val="21"/>
        </w:rPr>
      </w:pPr>
      <w:r>
        <w:rPr>
          <w:rFonts w:ascii="宋体" w:hAnsi="宋体"/>
          <w:szCs w:val="21"/>
        </w:rPr>
        <w:t>（1）信息系统无法对外服务超过48小时；</w:t>
      </w:r>
    </w:p>
    <w:p>
      <w:pPr>
        <w:snapToGrid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供应商</w:t>
      </w:r>
      <w:r>
        <w:rPr>
          <w:rFonts w:ascii="宋体" w:hAnsi="宋体"/>
          <w:szCs w:val="21"/>
        </w:rPr>
        <w:t>对信息系统的故障处理结果不能满足信息中心要求，导致系统后续无法正常使用。</w:t>
      </w:r>
    </w:p>
    <w:p>
      <w:pPr>
        <w:snapToGrid w:val="0"/>
        <w:spacing w:line="360" w:lineRule="auto"/>
        <w:ind w:firstLine="420" w:firstLineChars="200"/>
        <w:rPr>
          <w:rFonts w:ascii="宋体" w:hAnsi="宋体"/>
          <w:szCs w:val="21"/>
        </w:rPr>
      </w:pPr>
      <w:r>
        <w:rPr>
          <w:rFonts w:ascii="宋体" w:hAnsi="宋体"/>
          <w:szCs w:val="21"/>
        </w:rPr>
        <w:t>（3）因</w:t>
      </w:r>
      <w:r>
        <w:rPr>
          <w:rFonts w:hint="eastAsia" w:ascii="宋体" w:hAnsi="宋体"/>
          <w:szCs w:val="21"/>
        </w:rPr>
        <w:t>供应商</w:t>
      </w:r>
      <w:r>
        <w:rPr>
          <w:rFonts w:ascii="宋体" w:hAnsi="宋体"/>
          <w:szCs w:val="21"/>
        </w:rPr>
        <w:t>操作不当，发生核心业务数据丢失、被破坏不可用、无法恢复等事故；</w:t>
      </w:r>
    </w:p>
    <w:p>
      <w:pPr>
        <w:snapToGrid w:val="0"/>
        <w:spacing w:line="360" w:lineRule="auto"/>
        <w:ind w:firstLine="420" w:firstLineChars="200"/>
        <w:rPr>
          <w:rFonts w:ascii="宋体" w:hAnsi="宋体"/>
          <w:szCs w:val="21"/>
        </w:rPr>
      </w:pPr>
      <w:r>
        <w:rPr>
          <w:rFonts w:ascii="宋体" w:hAnsi="宋体"/>
          <w:szCs w:val="21"/>
        </w:rPr>
        <w:t>（4）因</w:t>
      </w:r>
      <w:r>
        <w:rPr>
          <w:rFonts w:hint="eastAsia" w:ascii="宋体" w:hAnsi="宋体"/>
          <w:szCs w:val="21"/>
        </w:rPr>
        <w:t>供应商</w:t>
      </w:r>
      <w:r>
        <w:rPr>
          <w:rFonts w:ascii="宋体" w:hAnsi="宋体"/>
          <w:szCs w:val="21"/>
        </w:rPr>
        <w:t>工作失误，发生信息系统被黑客入侵、篡改、数据窃取、发布非法信息等事件，导致危及国家安全、社会秩序、经济建设和公众利益；或损害生态环境厅声誉，严重影响生态环境厅正常工作秩序；</w:t>
      </w:r>
    </w:p>
    <w:p>
      <w:pPr>
        <w:snapToGrid w:val="0"/>
        <w:spacing w:line="360" w:lineRule="auto"/>
        <w:ind w:firstLine="420" w:firstLineChars="200"/>
        <w:rPr>
          <w:rFonts w:ascii="宋体" w:hAnsi="宋体"/>
          <w:szCs w:val="21"/>
        </w:rPr>
      </w:pPr>
      <w:r>
        <w:rPr>
          <w:rFonts w:ascii="宋体" w:hAnsi="宋体"/>
          <w:szCs w:val="21"/>
        </w:rPr>
        <w:t>（5）因</w:t>
      </w:r>
      <w:r>
        <w:rPr>
          <w:rFonts w:hint="eastAsia" w:ascii="宋体" w:hAnsi="宋体"/>
          <w:szCs w:val="21"/>
        </w:rPr>
        <w:t>供应商</w:t>
      </w:r>
      <w:r>
        <w:rPr>
          <w:rFonts w:ascii="宋体" w:hAnsi="宋体"/>
          <w:szCs w:val="21"/>
        </w:rPr>
        <w:t>工作能力不足发生事故，导致信息中心需要另行找人负责处理。</w:t>
      </w:r>
    </w:p>
    <w:p>
      <w:pPr>
        <w:snapToGrid w:val="0"/>
        <w:spacing w:line="360" w:lineRule="auto"/>
        <w:ind w:firstLine="420" w:firstLineChars="200"/>
        <w:rPr>
          <w:rFonts w:ascii="宋体" w:hAnsi="宋体"/>
          <w:szCs w:val="21"/>
        </w:rPr>
      </w:pPr>
      <w:r>
        <w:rPr>
          <w:rFonts w:ascii="宋体" w:hAnsi="宋体"/>
          <w:szCs w:val="21"/>
        </w:rPr>
        <w:t>（6）其他后果严重的特别重大事故。</w:t>
      </w:r>
    </w:p>
    <w:p>
      <w:pPr>
        <w:snapToGrid w:val="0"/>
        <w:spacing w:line="360" w:lineRule="auto"/>
        <w:ind w:firstLine="420" w:firstLineChars="200"/>
        <w:rPr>
          <w:rFonts w:ascii="宋体" w:hAnsi="宋体"/>
          <w:szCs w:val="21"/>
        </w:rPr>
      </w:pPr>
      <w:r>
        <w:rPr>
          <w:rFonts w:ascii="宋体" w:hAnsi="宋体"/>
          <w:szCs w:val="21"/>
        </w:rPr>
        <w:t>本期内发生一次特别重大事故的，视为当期服务不合格，本期考核为零分。</w:t>
      </w:r>
    </w:p>
    <w:p>
      <w:pPr>
        <w:snapToGrid w:val="0"/>
        <w:spacing w:line="360" w:lineRule="auto"/>
        <w:ind w:firstLine="420" w:firstLineChars="200"/>
        <w:rPr>
          <w:rFonts w:ascii="宋体" w:hAnsi="宋体"/>
          <w:szCs w:val="21"/>
        </w:rPr>
      </w:pPr>
      <w:r>
        <w:rPr>
          <w:rFonts w:ascii="宋体" w:hAnsi="宋体"/>
          <w:szCs w:val="21"/>
        </w:rPr>
        <w:t>2.重大事故。是指使本项目涉及的33个业务系统</w:t>
      </w:r>
      <w:r>
        <w:rPr>
          <w:rFonts w:hint="eastAsia" w:ascii="宋体" w:hAnsi="宋体"/>
          <w:szCs w:val="21"/>
        </w:rPr>
        <w:t>中任意一个或多个系统</w:t>
      </w:r>
      <w:r>
        <w:rPr>
          <w:rFonts w:ascii="宋体" w:hAnsi="宋体"/>
          <w:szCs w:val="21"/>
        </w:rPr>
        <w:t>遭受重大的损失，影响涉及大部分厅内用户或直属单位，恢复正常运行和消除事故负面影响所需付出代价很大，但对于信息中心来说仍可承受。具体有：</w:t>
      </w:r>
    </w:p>
    <w:p>
      <w:pPr>
        <w:snapToGrid w:val="0"/>
        <w:spacing w:line="360" w:lineRule="auto"/>
        <w:ind w:firstLine="420" w:firstLineChars="200"/>
        <w:rPr>
          <w:rFonts w:ascii="宋体" w:hAnsi="宋体"/>
          <w:szCs w:val="21"/>
        </w:rPr>
      </w:pPr>
      <w:r>
        <w:rPr>
          <w:rFonts w:ascii="宋体" w:hAnsi="宋体"/>
          <w:szCs w:val="21"/>
        </w:rPr>
        <w:t>（1） 信息系统无法对外服务超过24小时；</w:t>
      </w:r>
    </w:p>
    <w:p>
      <w:pPr>
        <w:snapToGrid w:val="0"/>
        <w:spacing w:line="360" w:lineRule="auto"/>
        <w:ind w:firstLine="420" w:firstLineChars="200"/>
        <w:rPr>
          <w:rFonts w:ascii="宋体" w:hAnsi="宋体"/>
          <w:szCs w:val="21"/>
        </w:rPr>
      </w:pPr>
      <w:r>
        <w:rPr>
          <w:rFonts w:ascii="宋体" w:hAnsi="宋体"/>
          <w:szCs w:val="21"/>
        </w:rPr>
        <w:t>（2）因</w:t>
      </w:r>
      <w:r>
        <w:rPr>
          <w:rFonts w:hint="eastAsia" w:ascii="宋体" w:hAnsi="宋体"/>
          <w:szCs w:val="21"/>
        </w:rPr>
        <w:t>供应商</w:t>
      </w:r>
      <w:r>
        <w:rPr>
          <w:rFonts w:ascii="宋体" w:hAnsi="宋体"/>
          <w:szCs w:val="21"/>
        </w:rPr>
        <w:t>操作不当，造成重要业务数据丢失或被破坏但可恢复，恢复时间超过16小时；</w:t>
      </w:r>
    </w:p>
    <w:p>
      <w:pPr>
        <w:snapToGrid w:val="0"/>
        <w:spacing w:line="360" w:lineRule="auto"/>
        <w:ind w:firstLine="420" w:firstLineChars="200"/>
        <w:rPr>
          <w:rFonts w:ascii="宋体" w:hAnsi="宋体"/>
          <w:szCs w:val="21"/>
        </w:rPr>
      </w:pPr>
      <w:r>
        <w:rPr>
          <w:rFonts w:ascii="宋体" w:hAnsi="宋体"/>
          <w:szCs w:val="21"/>
        </w:rPr>
        <w:t>（3）因</w:t>
      </w:r>
      <w:r>
        <w:rPr>
          <w:rFonts w:hint="eastAsia" w:ascii="宋体" w:hAnsi="宋体"/>
          <w:szCs w:val="21"/>
        </w:rPr>
        <w:t>供应商</w:t>
      </w:r>
      <w:r>
        <w:rPr>
          <w:rFonts w:ascii="宋体" w:hAnsi="宋体"/>
          <w:szCs w:val="21"/>
        </w:rPr>
        <w:t>工作不到位，发生信息系统被黑客入侵，导致业务一般数据、文件被窃取或篡改，但未出现非法言论等有害信息、未篡改重要公告、通知等信息；未影响自治区生态环境厅正常工作秩序；</w:t>
      </w:r>
    </w:p>
    <w:p>
      <w:pPr>
        <w:snapToGrid w:val="0"/>
        <w:spacing w:line="360" w:lineRule="auto"/>
        <w:ind w:firstLine="420" w:firstLineChars="200"/>
        <w:rPr>
          <w:rFonts w:ascii="宋体" w:hAnsi="宋体"/>
          <w:szCs w:val="21"/>
        </w:rPr>
      </w:pPr>
      <w:r>
        <w:rPr>
          <w:rFonts w:ascii="宋体" w:hAnsi="宋体"/>
          <w:szCs w:val="21"/>
        </w:rPr>
        <w:t>（4）其他后果严重的事故。</w:t>
      </w:r>
    </w:p>
    <w:p>
      <w:pPr>
        <w:snapToGrid w:val="0"/>
        <w:spacing w:line="360" w:lineRule="auto"/>
        <w:ind w:firstLine="420" w:firstLineChars="200"/>
        <w:rPr>
          <w:rFonts w:ascii="宋体" w:hAnsi="宋体"/>
          <w:szCs w:val="21"/>
        </w:rPr>
      </w:pPr>
      <w:r>
        <w:rPr>
          <w:rFonts w:ascii="宋体" w:hAnsi="宋体"/>
          <w:szCs w:val="21"/>
        </w:rPr>
        <w:t>本期内发生一次重大事故的，本期考核减30分。</w:t>
      </w:r>
    </w:p>
    <w:p>
      <w:pPr>
        <w:snapToGrid w:val="0"/>
        <w:spacing w:line="360" w:lineRule="auto"/>
        <w:ind w:firstLine="420" w:firstLineChars="200"/>
        <w:rPr>
          <w:rFonts w:ascii="宋体" w:hAnsi="宋体"/>
          <w:szCs w:val="21"/>
        </w:rPr>
      </w:pPr>
      <w:r>
        <w:rPr>
          <w:rFonts w:ascii="宋体" w:hAnsi="宋体"/>
          <w:szCs w:val="21"/>
        </w:rPr>
        <w:t>3.较大事故。是指使本项目涉及的33个业务系统遭受较大的损失，影响涉及部分厅内用户或直属单位，恢复正常运行和消除事故负面影响所需付出代价较大，对于信息中心来说可承受。具体有：</w:t>
      </w:r>
    </w:p>
    <w:p>
      <w:pPr>
        <w:snapToGrid w:val="0"/>
        <w:spacing w:line="360" w:lineRule="auto"/>
        <w:ind w:firstLine="420" w:firstLineChars="200"/>
        <w:rPr>
          <w:rFonts w:ascii="宋体" w:hAnsi="宋体"/>
          <w:szCs w:val="21"/>
        </w:rPr>
      </w:pPr>
      <w:r>
        <w:rPr>
          <w:rFonts w:ascii="宋体" w:hAnsi="宋体"/>
          <w:szCs w:val="21"/>
        </w:rPr>
        <w:t>（1）信息系统无法对外服务超过12小时；</w:t>
      </w:r>
    </w:p>
    <w:p>
      <w:pPr>
        <w:snapToGrid w:val="0"/>
        <w:spacing w:line="360" w:lineRule="auto"/>
        <w:ind w:firstLine="420" w:firstLineChars="200"/>
        <w:rPr>
          <w:rFonts w:ascii="宋体" w:hAnsi="宋体"/>
          <w:szCs w:val="21"/>
        </w:rPr>
      </w:pPr>
      <w:r>
        <w:rPr>
          <w:rFonts w:ascii="宋体" w:hAnsi="宋体"/>
          <w:szCs w:val="21"/>
        </w:rPr>
        <w:t>（2）因</w:t>
      </w:r>
      <w:r>
        <w:rPr>
          <w:rFonts w:hint="eastAsia" w:ascii="宋体" w:hAnsi="宋体"/>
          <w:szCs w:val="21"/>
        </w:rPr>
        <w:t>供应商</w:t>
      </w:r>
      <w:r>
        <w:rPr>
          <w:rFonts w:ascii="宋体" w:hAnsi="宋体"/>
          <w:szCs w:val="21"/>
        </w:rPr>
        <w:t>操作不当，造成业务数据丢失或被破坏但可恢复，恢复时间超过8小时；</w:t>
      </w:r>
    </w:p>
    <w:p>
      <w:pPr>
        <w:snapToGrid w:val="0"/>
        <w:spacing w:line="360" w:lineRule="auto"/>
        <w:ind w:firstLine="420" w:firstLineChars="200"/>
        <w:rPr>
          <w:rFonts w:ascii="宋体" w:hAnsi="宋体"/>
          <w:szCs w:val="21"/>
        </w:rPr>
      </w:pPr>
      <w:r>
        <w:rPr>
          <w:rFonts w:ascii="宋体" w:hAnsi="宋体"/>
          <w:szCs w:val="21"/>
        </w:rPr>
        <w:t>（3）因</w:t>
      </w:r>
      <w:r>
        <w:rPr>
          <w:rFonts w:hint="eastAsia" w:ascii="宋体" w:hAnsi="宋体"/>
          <w:szCs w:val="21"/>
        </w:rPr>
        <w:t>供应商</w:t>
      </w:r>
      <w:r>
        <w:rPr>
          <w:rFonts w:ascii="宋体" w:hAnsi="宋体"/>
          <w:szCs w:val="21"/>
        </w:rPr>
        <w:t>工作不到位，发生信息系统等被黑客入侵，但未发生实际损失；</w:t>
      </w:r>
    </w:p>
    <w:p>
      <w:pPr>
        <w:snapToGrid w:val="0"/>
        <w:spacing w:line="360" w:lineRule="auto"/>
        <w:ind w:firstLine="420" w:firstLineChars="200"/>
        <w:rPr>
          <w:rFonts w:ascii="宋体" w:hAnsi="宋体"/>
          <w:szCs w:val="21"/>
        </w:rPr>
      </w:pPr>
      <w:r>
        <w:rPr>
          <w:rFonts w:ascii="宋体" w:hAnsi="宋体"/>
          <w:szCs w:val="21"/>
        </w:rPr>
        <w:t>（4）其他产生不利后果的事故。</w:t>
      </w:r>
    </w:p>
    <w:p>
      <w:pPr>
        <w:snapToGrid w:val="0"/>
        <w:spacing w:line="360" w:lineRule="auto"/>
        <w:ind w:firstLine="420" w:firstLineChars="200"/>
        <w:rPr>
          <w:rFonts w:ascii="宋体" w:hAnsi="宋体"/>
          <w:szCs w:val="21"/>
        </w:rPr>
      </w:pPr>
      <w:r>
        <w:rPr>
          <w:rFonts w:ascii="宋体" w:hAnsi="宋体"/>
          <w:szCs w:val="21"/>
        </w:rPr>
        <w:t>本期内发生一次较大事故的，本期考核减15分。</w:t>
      </w:r>
    </w:p>
    <w:p>
      <w:pPr>
        <w:snapToGrid w:val="0"/>
        <w:spacing w:line="360" w:lineRule="auto"/>
        <w:ind w:firstLine="420" w:firstLineChars="200"/>
        <w:rPr>
          <w:rFonts w:ascii="宋体" w:hAnsi="宋体"/>
          <w:szCs w:val="21"/>
        </w:rPr>
      </w:pPr>
    </w:p>
    <w:p>
      <w:pPr>
        <w:snapToGrid w:val="0"/>
        <w:spacing w:line="360" w:lineRule="auto"/>
        <w:jc w:val="center"/>
        <w:rPr>
          <w:rFonts w:ascii="宋体" w:hAnsi="宋体" w:cs="宋体"/>
          <w:b/>
          <w:sz w:val="32"/>
          <w:szCs w:val="21"/>
        </w:rPr>
      </w:pPr>
      <w:r>
        <w:rPr>
          <w:rFonts w:ascii="宋体" w:hAnsi="宋体"/>
          <w:szCs w:val="21"/>
        </w:rPr>
        <w:br w:type="page"/>
      </w:r>
      <w:r>
        <w:rPr>
          <w:rFonts w:hint="eastAsia" w:ascii="宋体" w:hAnsi="宋体" w:cs="宋体"/>
          <w:b/>
          <w:sz w:val="32"/>
          <w:szCs w:val="21"/>
        </w:rPr>
        <w:t>二</w:t>
      </w:r>
      <w:r>
        <w:rPr>
          <w:rFonts w:ascii="宋体" w:hAnsi="宋体" w:cs="宋体"/>
          <w:b/>
          <w:sz w:val="32"/>
          <w:szCs w:val="21"/>
        </w:rPr>
        <w:t>、商务要求</w:t>
      </w:r>
    </w:p>
    <w:p>
      <w:pPr>
        <w:spacing w:line="360" w:lineRule="auto"/>
        <w:ind w:firstLine="422" w:firstLineChars="200"/>
        <w:rPr>
          <w:rFonts w:ascii="宋体" w:hAnsi="宋体" w:cs="楷体"/>
          <w:b/>
          <w:szCs w:val="21"/>
        </w:rPr>
      </w:pPr>
      <w:r>
        <w:rPr>
          <w:rFonts w:hint="eastAsia" w:ascii="宋体" w:hAnsi="宋体" w:cs="楷体"/>
          <w:b/>
          <w:szCs w:val="21"/>
        </w:rPr>
        <w:t>（一）服务期限及服务地点：</w:t>
      </w:r>
    </w:p>
    <w:p>
      <w:pPr>
        <w:spacing w:line="360" w:lineRule="auto"/>
        <w:ind w:firstLine="420" w:firstLineChars="200"/>
        <w:rPr>
          <w:rFonts w:ascii="宋体" w:hAnsi="宋体"/>
          <w:szCs w:val="21"/>
        </w:rPr>
      </w:pPr>
      <w:r>
        <w:rPr>
          <w:rFonts w:ascii="宋体" w:hAnsi="宋体"/>
          <w:szCs w:val="21"/>
        </w:rPr>
        <w:t>1.服务期限：详见“运维服务清单及运维期”</w:t>
      </w:r>
    </w:p>
    <w:p>
      <w:pPr>
        <w:spacing w:line="360" w:lineRule="auto"/>
        <w:ind w:firstLine="420" w:firstLineChars="200"/>
        <w:rPr>
          <w:rFonts w:ascii="宋体" w:hAnsi="宋体"/>
          <w:szCs w:val="21"/>
        </w:rPr>
      </w:pPr>
      <w:r>
        <w:rPr>
          <w:rFonts w:ascii="宋体" w:hAnsi="宋体"/>
          <w:szCs w:val="21"/>
        </w:rPr>
        <w:t>2.服务地点：广西南宁采购人指定地点</w:t>
      </w:r>
    </w:p>
    <w:p>
      <w:pPr>
        <w:spacing w:line="360" w:lineRule="auto"/>
        <w:ind w:firstLine="422" w:firstLineChars="200"/>
        <w:rPr>
          <w:rFonts w:ascii="宋体" w:hAnsi="宋体"/>
          <w:b/>
          <w:szCs w:val="21"/>
        </w:rPr>
      </w:pPr>
      <w:r>
        <w:rPr>
          <w:rFonts w:ascii="宋体" w:hAnsi="宋体" w:cs="楷体"/>
          <w:b/>
          <w:szCs w:val="21"/>
        </w:rPr>
        <w:t>（二）签订合同时间及地点</w:t>
      </w:r>
    </w:p>
    <w:p>
      <w:pPr>
        <w:spacing w:line="360" w:lineRule="auto"/>
        <w:ind w:firstLine="420" w:firstLineChars="200"/>
        <w:rPr>
          <w:rFonts w:ascii="宋体" w:hAnsi="宋体"/>
          <w:szCs w:val="21"/>
        </w:rPr>
      </w:pPr>
      <w:r>
        <w:rPr>
          <w:rFonts w:ascii="宋体" w:hAnsi="宋体"/>
          <w:szCs w:val="21"/>
        </w:rPr>
        <w:t>1.合同签订期：自成交通知书发出之日起30日内（注：成交通知书发出之日起30内必须签订合同。）</w:t>
      </w:r>
    </w:p>
    <w:p>
      <w:pPr>
        <w:spacing w:line="360" w:lineRule="auto"/>
        <w:ind w:firstLine="420" w:firstLineChars="200"/>
        <w:rPr>
          <w:rFonts w:ascii="宋体" w:hAnsi="宋体"/>
          <w:szCs w:val="21"/>
        </w:rPr>
      </w:pPr>
      <w:r>
        <w:rPr>
          <w:rFonts w:ascii="宋体" w:hAnsi="宋体"/>
          <w:szCs w:val="21"/>
        </w:rPr>
        <w:t>2.签订合同地点：采购人指定地点。</w:t>
      </w:r>
    </w:p>
    <w:p>
      <w:pPr>
        <w:spacing w:line="360" w:lineRule="auto"/>
        <w:ind w:firstLine="422" w:firstLineChars="200"/>
        <w:rPr>
          <w:rFonts w:ascii="宋体" w:hAnsi="宋体" w:cs="楷体"/>
          <w:b/>
          <w:szCs w:val="21"/>
        </w:rPr>
      </w:pPr>
      <w:r>
        <w:rPr>
          <w:rFonts w:ascii="宋体" w:hAnsi="宋体" w:cs="楷体"/>
          <w:b/>
          <w:szCs w:val="21"/>
        </w:rPr>
        <w:t>（三）</w:t>
      </w:r>
      <w:r>
        <w:rPr>
          <w:rFonts w:hint="eastAsia" w:ascii="宋体" w:hAnsi="宋体" w:cs="楷体"/>
          <w:b/>
          <w:szCs w:val="21"/>
        </w:rPr>
        <w:t>运维</w:t>
      </w:r>
      <w:r>
        <w:rPr>
          <w:rFonts w:ascii="宋体" w:hAnsi="宋体" w:cs="楷体"/>
          <w:b/>
          <w:szCs w:val="21"/>
        </w:rPr>
        <w:t>服务要求</w:t>
      </w:r>
    </w:p>
    <w:p>
      <w:pPr>
        <w:spacing w:line="360" w:lineRule="auto"/>
        <w:ind w:firstLine="420" w:firstLineChars="200"/>
        <w:rPr>
          <w:rFonts w:ascii="宋体" w:hAnsi="宋体"/>
          <w:szCs w:val="21"/>
        </w:rPr>
      </w:pPr>
      <w:r>
        <w:rPr>
          <w:rFonts w:ascii="宋体" w:hAnsi="宋体"/>
          <w:szCs w:val="21"/>
        </w:rPr>
        <w:t>1.远程电话支持服务：提供7*24小时电话服务</w:t>
      </w:r>
      <w:r>
        <w:rPr>
          <w:rFonts w:hint="eastAsia" w:ascii="宋体" w:hAnsi="宋体"/>
          <w:szCs w:val="21"/>
        </w:rPr>
        <w:t>、</w:t>
      </w:r>
      <w:r>
        <w:rPr>
          <w:rFonts w:ascii="宋体" w:hAnsi="宋体"/>
          <w:szCs w:val="21"/>
        </w:rPr>
        <w:t>故障即时诊断或远程技术支持服务，不限次数。</w:t>
      </w:r>
    </w:p>
    <w:p>
      <w:pPr>
        <w:spacing w:line="360" w:lineRule="auto"/>
        <w:ind w:firstLine="420" w:firstLineChars="200"/>
        <w:rPr>
          <w:rFonts w:ascii="宋体" w:hAnsi="宋体"/>
          <w:szCs w:val="21"/>
        </w:rPr>
      </w:pPr>
      <w:r>
        <w:rPr>
          <w:rFonts w:ascii="宋体" w:hAnsi="宋体"/>
          <w:szCs w:val="21"/>
        </w:rPr>
        <w:t>2.现场维护服务：运维团队至少派9名人员到采购人指定地点驻场。出现系统故障应当在30分钟内做出响应安排及有效处理，4小时内做出故障诊断报告。如需</w:t>
      </w:r>
      <w:r>
        <w:rPr>
          <w:rFonts w:hint="eastAsia" w:ascii="宋体" w:hAnsi="宋体"/>
          <w:szCs w:val="21"/>
        </w:rPr>
        <w:t>二线技术团队</w:t>
      </w:r>
      <w:r>
        <w:rPr>
          <w:rFonts w:ascii="宋体" w:hAnsi="宋体"/>
          <w:szCs w:val="21"/>
        </w:rPr>
        <w:t>现场处理的，应在接到通知后2小时内到达现场期限内解决问题</w:t>
      </w:r>
      <w:r>
        <w:rPr>
          <w:rFonts w:hint="eastAsia" w:ascii="宋体" w:hAnsi="宋体"/>
          <w:szCs w:val="21"/>
        </w:rPr>
        <w:t>。</w:t>
      </w:r>
    </w:p>
    <w:p>
      <w:pPr>
        <w:spacing w:line="360" w:lineRule="auto"/>
        <w:ind w:firstLine="420" w:firstLineChars="200"/>
        <w:rPr>
          <w:rFonts w:ascii="宋体" w:hAnsi="宋体"/>
          <w:szCs w:val="21"/>
        </w:rPr>
      </w:pPr>
      <w:r>
        <w:rPr>
          <w:rFonts w:ascii="宋体" w:hAnsi="宋体"/>
          <w:szCs w:val="21"/>
        </w:rPr>
        <w:t>3.免费技术培训：提供满足用户需求的系统日常操作、简单的维护和错误处理等等。</w:t>
      </w:r>
    </w:p>
    <w:p>
      <w:pPr>
        <w:spacing w:line="360" w:lineRule="auto"/>
        <w:ind w:firstLine="422" w:firstLineChars="200"/>
        <w:rPr>
          <w:rFonts w:ascii="宋体" w:hAnsi="宋体"/>
          <w:b/>
          <w:szCs w:val="21"/>
        </w:rPr>
      </w:pPr>
      <w:r>
        <w:rPr>
          <w:rFonts w:ascii="宋体" w:hAnsi="宋体" w:cs="楷体"/>
          <w:b/>
          <w:szCs w:val="21"/>
        </w:rPr>
        <w:t>（四）履约保证金</w:t>
      </w:r>
    </w:p>
    <w:p>
      <w:pPr>
        <w:spacing w:line="360" w:lineRule="auto"/>
        <w:ind w:firstLine="420" w:firstLineChars="200"/>
        <w:rPr>
          <w:rFonts w:ascii="宋体" w:hAnsi="宋体"/>
          <w:szCs w:val="21"/>
        </w:rPr>
      </w:pPr>
      <w:r>
        <w:rPr>
          <w:rFonts w:ascii="宋体" w:hAnsi="宋体"/>
          <w:szCs w:val="21"/>
        </w:rPr>
        <w:t>本项目收取履约保证金，成交价5%收取，如该项目由</w:t>
      </w:r>
      <w:r>
        <w:rPr>
          <w:rFonts w:hint="eastAsia" w:ascii="宋体" w:hAnsi="宋体"/>
          <w:szCs w:val="21"/>
        </w:rPr>
        <w:t>中小</w:t>
      </w:r>
      <w:r>
        <w:rPr>
          <w:rFonts w:ascii="宋体" w:hAnsi="宋体"/>
          <w:szCs w:val="21"/>
        </w:rPr>
        <w:t>企业承接，则按2%收取。</w:t>
      </w:r>
    </w:p>
    <w:p>
      <w:pPr>
        <w:spacing w:line="360" w:lineRule="auto"/>
        <w:ind w:firstLine="422" w:firstLineChars="200"/>
        <w:rPr>
          <w:rFonts w:ascii="宋体" w:hAnsi="宋体" w:cs="楷体"/>
          <w:b/>
          <w:szCs w:val="21"/>
        </w:rPr>
      </w:pPr>
      <w:r>
        <w:rPr>
          <w:rFonts w:ascii="宋体" w:hAnsi="宋体" w:cs="楷体"/>
          <w:b/>
          <w:szCs w:val="21"/>
        </w:rPr>
        <w:t>（五）付款方式</w:t>
      </w:r>
    </w:p>
    <w:p>
      <w:pPr>
        <w:spacing w:line="360" w:lineRule="auto"/>
        <w:ind w:firstLine="420" w:firstLineChars="200"/>
        <w:rPr>
          <w:rFonts w:ascii="宋体" w:hAnsi="宋体"/>
          <w:szCs w:val="21"/>
        </w:rPr>
      </w:pPr>
      <w:r>
        <w:rPr>
          <w:rFonts w:ascii="宋体" w:hAnsi="宋体"/>
          <w:szCs w:val="21"/>
        </w:rPr>
        <w:t>合同生效后十个工作日内，</w:t>
      </w:r>
      <w:r>
        <w:rPr>
          <w:rFonts w:hint="eastAsia" w:ascii="宋体" w:hAnsi="宋体"/>
          <w:szCs w:val="21"/>
        </w:rPr>
        <w:t>采购人</w:t>
      </w:r>
      <w:r>
        <w:rPr>
          <w:rFonts w:ascii="宋体" w:hAnsi="宋体"/>
          <w:szCs w:val="21"/>
        </w:rPr>
        <w:t>向中标供应商支付合同总金额的4</w:t>
      </w:r>
      <w:r>
        <w:rPr>
          <w:rFonts w:hint="eastAsia" w:ascii="宋体" w:hAnsi="宋体"/>
          <w:szCs w:val="21"/>
        </w:rPr>
        <w:t>5</w:t>
      </w:r>
      <w:r>
        <w:rPr>
          <w:rFonts w:ascii="宋体" w:hAnsi="宋体"/>
          <w:szCs w:val="21"/>
        </w:rPr>
        <w:t>%做为第一笔合同款；</w:t>
      </w:r>
      <w:r>
        <w:rPr>
          <w:rFonts w:hint="eastAsia" w:ascii="宋体" w:hAnsi="宋体"/>
          <w:szCs w:val="21"/>
        </w:rPr>
        <w:t>中标供应商</w:t>
      </w:r>
      <w:r>
        <w:rPr>
          <w:rFonts w:ascii="宋体" w:hAnsi="宋体"/>
          <w:szCs w:val="21"/>
        </w:rPr>
        <w:t>连续两个季度通过运维服务考核并向</w:t>
      </w:r>
      <w:r>
        <w:rPr>
          <w:rFonts w:hint="eastAsia" w:ascii="宋体" w:hAnsi="宋体"/>
          <w:szCs w:val="21"/>
        </w:rPr>
        <w:t>采购人</w:t>
      </w:r>
      <w:r>
        <w:rPr>
          <w:rFonts w:ascii="宋体" w:hAnsi="宋体"/>
          <w:szCs w:val="21"/>
        </w:rPr>
        <w:t>递交请款申请后十个工作日内，</w:t>
      </w:r>
      <w:r>
        <w:rPr>
          <w:rFonts w:hint="eastAsia" w:ascii="宋体" w:hAnsi="宋体"/>
          <w:szCs w:val="21"/>
        </w:rPr>
        <w:t>采购人</w:t>
      </w:r>
      <w:r>
        <w:rPr>
          <w:rFonts w:ascii="宋体" w:hAnsi="宋体"/>
          <w:szCs w:val="21"/>
        </w:rPr>
        <w:t>向</w:t>
      </w:r>
      <w:r>
        <w:rPr>
          <w:rFonts w:hint="eastAsia" w:ascii="宋体" w:hAnsi="宋体"/>
          <w:szCs w:val="21"/>
        </w:rPr>
        <w:t>中标供应商</w:t>
      </w:r>
      <w:r>
        <w:rPr>
          <w:rFonts w:ascii="宋体" w:hAnsi="宋体"/>
          <w:szCs w:val="21"/>
        </w:rPr>
        <w:t>支付合同费用总金额的50%做为第二笔合同款；项目验收通过且经</w:t>
      </w:r>
      <w:r>
        <w:rPr>
          <w:rFonts w:hint="eastAsia" w:ascii="宋体" w:hAnsi="宋体"/>
          <w:szCs w:val="21"/>
        </w:rPr>
        <w:t>采购人</w:t>
      </w:r>
      <w:r>
        <w:rPr>
          <w:rFonts w:ascii="宋体" w:hAnsi="宋体"/>
          <w:szCs w:val="21"/>
        </w:rPr>
        <w:t>签署项目合同验收书后十个工作日内，</w:t>
      </w:r>
      <w:r>
        <w:rPr>
          <w:rFonts w:hint="eastAsia" w:ascii="宋体" w:hAnsi="宋体"/>
          <w:szCs w:val="21"/>
        </w:rPr>
        <w:t>采购人</w:t>
      </w:r>
      <w:r>
        <w:rPr>
          <w:rFonts w:ascii="宋体" w:hAnsi="宋体"/>
          <w:szCs w:val="21"/>
        </w:rPr>
        <w:t>向</w:t>
      </w:r>
      <w:r>
        <w:rPr>
          <w:rFonts w:hint="eastAsia" w:ascii="宋体" w:hAnsi="宋体"/>
          <w:szCs w:val="21"/>
        </w:rPr>
        <w:t>中标供应商</w:t>
      </w:r>
      <w:r>
        <w:rPr>
          <w:rFonts w:ascii="宋体" w:hAnsi="宋体"/>
          <w:szCs w:val="21"/>
        </w:rPr>
        <w:t>支付合同费用总金额的</w:t>
      </w:r>
      <w:r>
        <w:rPr>
          <w:rFonts w:hint="eastAsia" w:ascii="宋体" w:hAnsi="宋体"/>
          <w:szCs w:val="21"/>
        </w:rPr>
        <w:t>5</w:t>
      </w:r>
      <w:r>
        <w:rPr>
          <w:rFonts w:ascii="宋体" w:hAnsi="宋体"/>
          <w:szCs w:val="21"/>
        </w:rPr>
        <w:t>%。</w:t>
      </w:r>
    </w:p>
    <w:p>
      <w:pPr>
        <w:spacing w:before="120" w:beforeLines="50" w:after="120" w:afterLines="50" w:line="360" w:lineRule="auto"/>
        <w:ind w:firstLine="420" w:firstLineChars="200"/>
        <w:rPr>
          <w:rFonts w:ascii="宋体" w:hAnsi="宋体" w:cs="楷体"/>
          <w:b/>
          <w:color w:val="000000"/>
          <w:szCs w:val="21"/>
        </w:rPr>
      </w:pPr>
      <w:r>
        <w:rPr>
          <w:rFonts w:hint="eastAsia" w:ascii="宋体" w:hAnsi="宋体"/>
          <w:szCs w:val="21"/>
        </w:rPr>
        <w:t>中标供应商</w:t>
      </w:r>
      <w:r>
        <w:rPr>
          <w:rFonts w:ascii="宋体" w:hAnsi="宋体"/>
          <w:szCs w:val="21"/>
        </w:rPr>
        <w:t>应在</w:t>
      </w:r>
      <w:r>
        <w:rPr>
          <w:rFonts w:hint="eastAsia" w:ascii="宋体" w:hAnsi="宋体"/>
          <w:szCs w:val="21"/>
        </w:rPr>
        <w:t>采购人</w:t>
      </w:r>
      <w:r>
        <w:rPr>
          <w:rFonts w:ascii="宋体" w:hAnsi="宋体"/>
          <w:szCs w:val="21"/>
        </w:rPr>
        <w:t>付款前向</w:t>
      </w:r>
      <w:r>
        <w:rPr>
          <w:rFonts w:hint="eastAsia" w:ascii="宋体" w:hAnsi="宋体"/>
          <w:szCs w:val="21"/>
        </w:rPr>
        <w:t>采购人</w:t>
      </w:r>
      <w:r>
        <w:rPr>
          <w:rFonts w:ascii="宋体" w:hAnsi="宋体"/>
          <w:szCs w:val="21"/>
        </w:rPr>
        <w:t>提供等额的</w:t>
      </w:r>
      <w:r>
        <w:rPr>
          <w:rFonts w:hint="eastAsia" w:ascii="宋体" w:hAnsi="宋体"/>
          <w:szCs w:val="21"/>
        </w:rPr>
        <w:t>、符合国家财税规定的合法发票</w:t>
      </w:r>
      <w:r>
        <w:rPr>
          <w:rFonts w:ascii="宋体" w:hAnsi="宋体"/>
          <w:szCs w:val="21"/>
        </w:rPr>
        <w:t>，</w:t>
      </w:r>
      <w:r>
        <w:rPr>
          <w:rFonts w:hint="eastAsia" w:ascii="宋体" w:hAnsi="宋体"/>
          <w:szCs w:val="21"/>
        </w:rPr>
        <w:t>采购人</w:t>
      </w:r>
      <w:r>
        <w:rPr>
          <w:rFonts w:ascii="宋体" w:hAnsi="宋体"/>
          <w:szCs w:val="21"/>
        </w:rPr>
        <w:t>在收到发票十个工作日内支付相应金额。</w:t>
      </w:r>
      <w:r>
        <w:rPr>
          <w:rFonts w:hint="eastAsia" w:ascii="宋体" w:hAnsi="宋体"/>
          <w:szCs w:val="21"/>
        </w:rPr>
        <w:t>中标供应商</w:t>
      </w:r>
      <w:r>
        <w:rPr>
          <w:rFonts w:ascii="宋体" w:hAnsi="宋体"/>
          <w:szCs w:val="21"/>
        </w:rPr>
        <w:t>未及时向</w:t>
      </w:r>
      <w:r>
        <w:rPr>
          <w:rFonts w:hint="eastAsia" w:ascii="宋体" w:hAnsi="宋体"/>
          <w:szCs w:val="21"/>
        </w:rPr>
        <w:t>采购人</w:t>
      </w:r>
      <w:r>
        <w:rPr>
          <w:rFonts w:ascii="宋体" w:hAnsi="宋体"/>
          <w:szCs w:val="21"/>
        </w:rPr>
        <w:t>开具发票的，</w:t>
      </w:r>
      <w:r>
        <w:rPr>
          <w:rFonts w:hint="eastAsia" w:ascii="宋体" w:hAnsi="宋体"/>
          <w:szCs w:val="21"/>
        </w:rPr>
        <w:t>采购人</w:t>
      </w:r>
      <w:r>
        <w:rPr>
          <w:rFonts w:ascii="宋体" w:hAnsi="宋体"/>
          <w:szCs w:val="21"/>
        </w:rPr>
        <w:t>有权顺延付款时间，且不承担任何逾期付款违约责任</w:t>
      </w:r>
    </w:p>
    <w:p>
      <w:pPr>
        <w:spacing w:before="120" w:beforeLines="50" w:after="120" w:afterLines="50" w:line="360" w:lineRule="auto"/>
        <w:ind w:firstLine="422" w:firstLineChars="200"/>
        <w:rPr>
          <w:rFonts w:ascii="宋体" w:hAnsi="宋体" w:cs="楷体"/>
          <w:b/>
          <w:color w:val="000000"/>
          <w:szCs w:val="21"/>
        </w:rPr>
      </w:pPr>
      <w:r>
        <w:rPr>
          <w:rFonts w:ascii="宋体" w:hAnsi="宋体" w:cs="楷体"/>
          <w:b/>
          <w:color w:val="000000"/>
          <w:szCs w:val="21"/>
        </w:rPr>
        <w:t>（六）报价说明</w:t>
      </w:r>
    </w:p>
    <w:p>
      <w:pPr>
        <w:spacing w:line="360" w:lineRule="auto"/>
        <w:ind w:firstLine="420" w:firstLineChars="200"/>
        <w:rPr>
          <w:rFonts w:ascii="宋体" w:hAnsi="宋体"/>
          <w:szCs w:val="21"/>
        </w:rPr>
      </w:pPr>
      <w:r>
        <w:rPr>
          <w:rFonts w:ascii="宋体" w:hAnsi="宋体"/>
          <w:szCs w:val="21"/>
        </w:rPr>
        <w:t>1、报价是成交供应商完成本项目的全部服务内容及其相关工作所需的全部费用：应包含（但不限于）相关项目方案、设计、开发、安装、调试、验收、技术资料归档、培训、派出工作人员的交通费、住宿费、伙食补助费、临时场地租用费等各种费用和售后服务、税金及其它所有成本费用的总和。</w:t>
      </w:r>
    </w:p>
    <w:p>
      <w:pPr>
        <w:spacing w:line="360" w:lineRule="auto"/>
        <w:ind w:firstLine="420" w:firstLineChars="200"/>
        <w:rPr>
          <w:rFonts w:ascii="宋体" w:hAnsi="宋体"/>
          <w:szCs w:val="21"/>
        </w:rPr>
      </w:pPr>
      <w:r>
        <w:rPr>
          <w:rFonts w:ascii="宋体" w:hAnsi="宋体"/>
          <w:szCs w:val="21"/>
        </w:rPr>
        <w:t>2、本次报价为固定总价，在合同执行过程及结算时均不允许变更；采购人不再支付任何费用。</w:t>
      </w:r>
    </w:p>
    <w:p>
      <w:pPr>
        <w:spacing w:line="360" w:lineRule="auto"/>
        <w:ind w:firstLine="422" w:firstLineChars="200"/>
        <w:rPr>
          <w:rFonts w:ascii="宋体" w:hAnsi="宋体" w:cs="楷体"/>
          <w:b/>
          <w:szCs w:val="21"/>
        </w:rPr>
      </w:pPr>
      <w:r>
        <w:rPr>
          <w:rFonts w:ascii="宋体" w:hAnsi="宋体" w:cs="楷体"/>
          <w:b/>
          <w:szCs w:val="21"/>
        </w:rPr>
        <w:t>（七）保密要求</w:t>
      </w:r>
    </w:p>
    <w:p>
      <w:pPr>
        <w:spacing w:line="360" w:lineRule="auto"/>
        <w:ind w:firstLine="420" w:firstLineChars="200"/>
        <w:rPr>
          <w:rFonts w:ascii="宋体" w:hAnsi="宋体"/>
          <w:szCs w:val="21"/>
        </w:rPr>
      </w:pPr>
      <w:r>
        <w:rPr>
          <w:rFonts w:ascii="宋体" w:hAnsi="宋体"/>
          <w:szCs w:val="21"/>
        </w:rPr>
        <w:t>中标供应商在提供服务过程中，对所接触到的所有信息负有保密义务，并签署相关保密协议；必须严格遵守采购人各项管理规定，</w:t>
      </w:r>
      <w:r>
        <w:rPr>
          <w:rFonts w:hint="eastAsia" w:ascii="宋体" w:hAnsi="宋体"/>
          <w:szCs w:val="21"/>
        </w:rPr>
        <w:t>未经采购人同意，</w:t>
      </w:r>
      <w:r>
        <w:rPr>
          <w:rFonts w:ascii="宋体" w:hAnsi="宋体"/>
          <w:szCs w:val="21"/>
        </w:rPr>
        <w:t>中标供应商服务人员不得对采购人的业务数据</w:t>
      </w:r>
      <w:r>
        <w:rPr>
          <w:rFonts w:hint="eastAsia" w:ascii="宋体" w:hAnsi="宋体"/>
          <w:szCs w:val="21"/>
        </w:rPr>
        <w:t>、工作措施等信息</w:t>
      </w:r>
      <w:r>
        <w:rPr>
          <w:rFonts w:ascii="宋体" w:hAnsi="宋体"/>
          <w:szCs w:val="21"/>
        </w:rPr>
        <w:t>进行</w:t>
      </w:r>
      <w:r>
        <w:rPr>
          <w:rFonts w:hint="eastAsia" w:ascii="宋体" w:hAnsi="宋体"/>
          <w:szCs w:val="21"/>
        </w:rPr>
        <w:t>复制、</w:t>
      </w:r>
      <w:r>
        <w:rPr>
          <w:rFonts w:ascii="宋体" w:hAnsi="宋体"/>
          <w:szCs w:val="21"/>
        </w:rPr>
        <w:t>增删、修改、传播、记录等。如出现业务数据、涉密数据泄漏，采购人将终止服务合同，并将追究服务供应商相关法律责任。</w:t>
      </w:r>
    </w:p>
    <w:p>
      <w:pPr>
        <w:spacing w:line="360" w:lineRule="auto"/>
        <w:ind w:firstLine="422" w:firstLineChars="200"/>
        <w:rPr>
          <w:rFonts w:ascii="宋体" w:hAnsi="宋体" w:cs="楷体"/>
          <w:b/>
          <w:szCs w:val="21"/>
        </w:rPr>
      </w:pPr>
      <w:r>
        <w:rPr>
          <w:rFonts w:ascii="宋体" w:hAnsi="宋体" w:cs="楷体"/>
          <w:b/>
          <w:szCs w:val="21"/>
        </w:rPr>
        <w:t>（八）其他要求</w:t>
      </w:r>
    </w:p>
    <w:p>
      <w:pPr>
        <w:spacing w:line="360" w:lineRule="auto"/>
        <w:ind w:firstLine="420" w:firstLineChars="200"/>
        <w:rPr>
          <w:rFonts w:ascii="宋体" w:hAnsi="宋体"/>
          <w:szCs w:val="21"/>
        </w:rPr>
      </w:pPr>
      <w:r>
        <w:rPr>
          <w:rFonts w:ascii="宋体" w:hAnsi="宋体"/>
          <w:szCs w:val="21"/>
        </w:rPr>
        <w:t>1.中标供应商应严格按照采购人要求，定期做好安全保障工作，形成相应运维管理台账。</w:t>
      </w:r>
    </w:p>
    <w:p>
      <w:pPr>
        <w:spacing w:line="360" w:lineRule="auto"/>
        <w:ind w:firstLine="420" w:firstLineChars="200"/>
        <w:rPr>
          <w:rFonts w:ascii="宋体" w:hAnsi="宋体"/>
          <w:szCs w:val="21"/>
        </w:rPr>
      </w:pPr>
      <w:r>
        <w:rPr>
          <w:rFonts w:ascii="宋体" w:hAnsi="宋体"/>
          <w:szCs w:val="21"/>
        </w:rPr>
        <w:t>2.中标供应商应积极配合采购人组织开展的各项网络安全自查、检查，配合做好攻防演练的防守工作等。</w:t>
      </w:r>
    </w:p>
    <w:p>
      <w:pPr>
        <w:spacing w:line="360" w:lineRule="auto"/>
        <w:ind w:firstLine="420" w:firstLineChars="200"/>
        <w:rPr>
          <w:rFonts w:ascii="宋体" w:hAnsi="宋体"/>
          <w:szCs w:val="21"/>
        </w:rPr>
      </w:pPr>
      <w:r>
        <w:rPr>
          <w:rFonts w:ascii="宋体" w:hAnsi="宋体"/>
          <w:szCs w:val="21"/>
        </w:rPr>
        <w:t>3.中标供应商应制定并提供明确的故障解决流程、故障分级响应方案和解决措施等相应规范制度。</w:t>
      </w:r>
    </w:p>
    <w:p>
      <w:pPr>
        <w:spacing w:line="360" w:lineRule="auto"/>
        <w:ind w:firstLine="420" w:firstLineChars="200"/>
        <w:rPr>
          <w:rFonts w:ascii="宋体" w:hAnsi="宋体"/>
          <w:szCs w:val="21"/>
        </w:rPr>
      </w:pPr>
      <w:r>
        <w:rPr>
          <w:rFonts w:hint="eastAsia" w:ascii="宋体" w:hAnsi="宋体"/>
          <w:szCs w:val="21"/>
        </w:rPr>
        <w:t>4</w:t>
      </w:r>
      <w:r>
        <w:rPr>
          <w:rFonts w:ascii="宋体" w:hAnsi="宋体"/>
          <w:szCs w:val="21"/>
        </w:rPr>
        <w:t>.中标供应商需提供软件维护服务应急处理方案和灾备方案。</w:t>
      </w:r>
    </w:p>
    <w:p>
      <w:pPr>
        <w:spacing w:line="360" w:lineRule="auto"/>
        <w:ind w:firstLine="420" w:firstLineChars="200"/>
        <w:rPr>
          <w:rFonts w:ascii="宋体" w:hAnsi="宋体"/>
          <w:szCs w:val="21"/>
        </w:rPr>
      </w:pPr>
      <w:r>
        <w:rPr>
          <w:rFonts w:hint="eastAsia" w:ascii="宋体" w:hAnsi="宋体"/>
          <w:szCs w:val="21"/>
        </w:rPr>
        <w:t>5</w:t>
      </w:r>
      <w:r>
        <w:rPr>
          <w:rFonts w:ascii="宋体" w:hAnsi="宋体"/>
          <w:szCs w:val="21"/>
        </w:rPr>
        <w:t>.中标供应商需配备运行维护所需的常用检测设备工具及其它必要器具等。</w:t>
      </w:r>
    </w:p>
    <w:p>
      <w:pPr>
        <w:snapToGrid w:val="0"/>
        <w:spacing w:line="360" w:lineRule="auto"/>
        <w:ind w:firstLine="420" w:firstLineChars="200"/>
        <w:rPr>
          <w:rFonts w:ascii="宋体" w:hAnsi="宋体"/>
          <w:szCs w:val="21"/>
        </w:rPr>
      </w:pPr>
      <w:r>
        <w:rPr>
          <w:rFonts w:hint="eastAsia" w:ascii="宋体" w:hAnsi="宋体"/>
          <w:szCs w:val="21"/>
        </w:rPr>
        <w:t>6</w:t>
      </w:r>
      <w:r>
        <w:rPr>
          <w:rFonts w:ascii="宋体" w:hAnsi="宋体"/>
          <w:szCs w:val="21"/>
        </w:rPr>
        <w:t>.本项目采购标的需执行的国家相关标准、行业标准、地方标准或其他强制性标准、规范等要求：按国家相关标准、中标供应商承诺进行验收。</w:t>
      </w:r>
    </w:p>
    <w:bookmarkEnd w:id="368"/>
    <w:bookmarkEnd w:id="369"/>
    <w:p>
      <w:pPr>
        <w:spacing w:line="360" w:lineRule="auto"/>
        <w:ind w:firstLine="404" w:firstLineChars="202"/>
        <w:jc w:val="left"/>
        <w:rPr>
          <w:rFonts w:ascii="宋体" w:hAnsi="宋体" w:cs="宋体"/>
          <w:sz w:val="20"/>
          <w:szCs w:val="20"/>
        </w:rPr>
        <w:sectPr>
          <w:headerReference r:id="rId9" w:type="first"/>
          <w:footerReference r:id="rId11" w:type="first"/>
          <w:footerReference r:id="rId10" w:type="default"/>
          <w:pgSz w:w="11910" w:h="16840"/>
          <w:pgMar w:top="1340" w:right="1500" w:bottom="280" w:left="1680" w:header="720" w:footer="720" w:gutter="0"/>
          <w:cols w:space="720" w:num="1"/>
        </w:sectPr>
      </w:pPr>
    </w:p>
    <w:p>
      <w:pPr>
        <w:pStyle w:val="3"/>
        <w:keepNext w:val="0"/>
        <w:keepLines w:val="0"/>
        <w:spacing w:before="0" w:after="0" w:line="360" w:lineRule="auto"/>
        <w:jc w:val="center"/>
      </w:pPr>
      <w:bookmarkStart w:id="414" w:name="_Toc19686831"/>
      <w:r>
        <w:rPr>
          <w:rFonts w:hint="eastAsia"/>
        </w:rPr>
        <w:t>第三章  投标人须知</w:t>
      </w:r>
      <w:bookmarkEnd w:id="414"/>
    </w:p>
    <w:p>
      <w:pPr>
        <w:jc w:val="center"/>
        <w:rPr>
          <w:sz w:val="36"/>
          <w:szCs w:val="36"/>
        </w:rPr>
      </w:pPr>
      <w:bookmarkStart w:id="415" w:name="_Toc254970526"/>
      <w:bookmarkStart w:id="416" w:name="_Toc254970667"/>
      <w:r>
        <w:rPr>
          <w:rFonts w:hint="eastAsia"/>
          <w:sz w:val="36"/>
          <w:szCs w:val="36"/>
        </w:rPr>
        <w:t>投标人须知前附表</w:t>
      </w:r>
      <w:bookmarkEnd w:id="415"/>
      <w:bookmarkEnd w:id="416"/>
    </w:p>
    <w:tbl>
      <w:tblPr>
        <w:tblStyle w:val="48"/>
        <w:tblW w:w="913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83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szCs w:val="21"/>
              </w:rPr>
            </w:pPr>
            <w:r>
              <w:rPr>
                <w:rFonts w:hint="eastAsia" w:ascii="宋体" w:hAnsi="宋体"/>
                <w:szCs w:val="21"/>
              </w:rPr>
              <w:t>条款号</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hint="eastAsia" w:ascii="宋体" w:hAnsi="宋体"/>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3</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szCs w:val="21"/>
              </w:rPr>
            </w:pPr>
            <w:r>
              <w:rPr>
                <w:rFonts w:hint="eastAsia" w:ascii="宋体" w:hAnsi="宋体"/>
                <w:szCs w:val="21"/>
              </w:rPr>
              <w:t>投标人的资格要求详见“招标公告”。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17" w:name="_5"/>
            <w:bookmarkEnd w:id="417"/>
            <w:bookmarkStart w:id="418" w:name="_8.1"/>
            <w:bookmarkEnd w:id="418"/>
            <w:bookmarkStart w:id="419" w:name="_9.2"/>
            <w:bookmarkEnd w:id="419"/>
            <w:r>
              <w:rPr>
                <w:rFonts w:hint="eastAsia" w:ascii="宋体" w:hAnsi="宋体"/>
                <w:szCs w:val="21"/>
              </w:rPr>
              <w:t>6.1</w:t>
            </w:r>
          </w:p>
        </w:tc>
        <w:tc>
          <w:tcPr>
            <w:tcW w:w="8318" w:type="dxa"/>
            <w:tcBorders>
              <w:top w:val="single" w:color="auto" w:sz="4" w:space="0"/>
              <w:left w:val="single" w:color="auto" w:sz="4" w:space="0"/>
              <w:bottom w:val="single" w:color="auto" w:sz="4" w:space="0"/>
              <w:right w:val="single" w:color="auto" w:sz="4" w:space="0"/>
            </w:tcBorders>
            <w:vAlign w:val="center"/>
          </w:tcPr>
          <w:p>
            <w:pPr>
              <w:pStyle w:val="16"/>
              <w:spacing w:line="360" w:lineRule="auto"/>
              <w:rPr>
                <w:rFonts w:ascii="宋体" w:hAnsi="宋体"/>
                <w:szCs w:val="21"/>
              </w:rPr>
            </w:pPr>
            <w:r>
              <w:rPr>
                <w:rFonts w:hint="eastAsia" w:ascii="宋体" w:hAnsi="宋体"/>
                <w:szCs w:val="21"/>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szCs w:val="21"/>
              </w:rPr>
              <w:t>6.2</w:t>
            </w:r>
          </w:p>
        </w:tc>
        <w:tc>
          <w:tcPr>
            <w:tcW w:w="8318" w:type="dxa"/>
            <w:tcBorders>
              <w:top w:val="single" w:color="auto" w:sz="4" w:space="0"/>
              <w:left w:val="single" w:color="auto" w:sz="4" w:space="0"/>
              <w:bottom w:val="single" w:color="auto" w:sz="4" w:space="0"/>
              <w:right w:val="single" w:color="auto" w:sz="4" w:space="0"/>
            </w:tcBorders>
            <w:vAlign w:val="center"/>
          </w:tcPr>
          <w:p>
            <w:pPr>
              <w:pStyle w:val="16"/>
              <w:spacing w:line="360" w:lineRule="auto"/>
              <w:rPr>
                <w:rFonts w:ascii="宋体" w:hAnsi="宋体"/>
                <w:szCs w:val="21"/>
              </w:rPr>
            </w:pPr>
            <w:r>
              <w:rPr>
                <w:rFonts w:hint="eastAsia" w:ascii="宋体" w:hAnsi="宋体"/>
                <w:szCs w:val="21"/>
              </w:rPr>
              <w:t>联合体投标要求如下：</w:t>
            </w:r>
          </w:p>
          <w:p>
            <w:pPr>
              <w:pStyle w:val="16"/>
              <w:spacing w:line="360" w:lineRule="auto"/>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两个以上投标人可以组成一个投标联合体，以一个投标人的身份共同参加投标。联合体投标的，须提供《联合体投标协议书》（格式后附）。</w:t>
            </w:r>
          </w:p>
          <w:p>
            <w:pPr>
              <w:pStyle w:val="16"/>
              <w:spacing w:line="360" w:lineRule="auto"/>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pPr>
              <w:pStyle w:val="16"/>
              <w:spacing w:line="360" w:lineRule="auto"/>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联合体各方之间必须签订联合投标协议，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pPr>
              <w:pStyle w:val="16"/>
              <w:spacing w:line="360" w:lineRule="auto"/>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以联合体形式参加政府采购活动的，联合体各方不得再单独参加或者与其他投标人另外组成联合体参加同一合同项下的政府采购活动。</w:t>
            </w:r>
          </w:p>
          <w:p>
            <w:pPr>
              <w:pStyle w:val="16"/>
              <w:spacing w:line="360" w:lineRule="auto"/>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联合体中有同类资质的投标人按照联合体分工承担相同工作的，应当按照资质等级较低的投标人确定资质等级。</w:t>
            </w:r>
          </w:p>
          <w:p>
            <w:pPr>
              <w:pStyle w:val="16"/>
              <w:spacing w:line="360" w:lineRule="auto"/>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联合体投标业绩、履约能力按照联合体各方其中较高的一方认定并计算（招标文件另有规定的除外）。</w:t>
            </w:r>
          </w:p>
          <w:p>
            <w:pPr>
              <w:pStyle w:val="16"/>
              <w:spacing w:line="360" w:lineRule="auto"/>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投标人为联合体的，可以由联合体中的一方或者多方共同交纳投标保证金，其交纳的保证金对联合体各方均具有约束力。</w:t>
            </w:r>
          </w:p>
          <w:p>
            <w:pPr>
              <w:pStyle w:val="16"/>
              <w:spacing w:line="360" w:lineRule="auto"/>
              <w:rPr>
                <w:rFonts w:ascii="宋体" w:hAnsi="宋体"/>
                <w:szCs w:val="21"/>
              </w:rPr>
            </w:pPr>
            <w:r>
              <w:rPr>
                <w:rFonts w:hint="eastAsia" w:ascii="宋体" w:hAnsi="宋体"/>
                <w:szCs w:val="21"/>
              </w:rPr>
              <w:t>8</w:t>
            </w:r>
            <w:r>
              <w:rPr>
                <w:rFonts w:ascii="宋体" w:hAnsi="宋体"/>
                <w:szCs w:val="21"/>
              </w:rPr>
              <w:t>.</w:t>
            </w:r>
            <w:r>
              <w:rPr>
                <w:rFonts w:hint="eastAsia" w:ascii="宋体" w:hAnsi="宋体"/>
                <w:szCs w:val="21"/>
              </w:rPr>
              <w:t>联合体各方均应按照招标文件的规定提交资格证明文件。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7.2</w:t>
            </w:r>
          </w:p>
        </w:tc>
        <w:tc>
          <w:tcPr>
            <w:tcW w:w="8318" w:type="dxa"/>
            <w:tcBorders>
              <w:top w:val="single" w:color="auto" w:sz="4" w:space="0"/>
              <w:left w:val="single" w:color="auto" w:sz="4" w:space="0"/>
              <w:bottom w:val="single" w:color="auto" w:sz="4" w:space="0"/>
              <w:right w:val="single" w:color="auto" w:sz="4" w:space="0"/>
            </w:tcBorders>
            <w:vAlign w:val="center"/>
          </w:tcPr>
          <w:p>
            <w:pPr>
              <w:pStyle w:val="16"/>
              <w:spacing w:line="360" w:lineRule="auto"/>
              <w:rPr>
                <w:rFonts w:ascii="宋体" w:hAnsi="宋体"/>
                <w:szCs w:val="21"/>
              </w:rPr>
            </w:pPr>
            <w:r>
              <w:rPr>
                <w:rFonts w:ascii="Segoe UI Emoji" w:hAnsi="Segoe UI Emoji" w:cs="Segoe UI Emoji"/>
                <w:kern w:val="0"/>
                <w:szCs w:val="21"/>
                <w:lang w:bidi="ar"/>
              </w:rPr>
              <w:t>☑</w:t>
            </w:r>
            <w:r>
              <w:rPr>
                <w:rFonts w:hint="eastAsia" w:ascii="宋体" w:hAnsi="宋体"/>
                <w:szCs w:val="21"/>
              </w:rPr>
              <w:t>不允许分包</w:t>
            </w:r>
          </w:p>
          <w:p>
            <w:pPr>
              <w:pStyle w:val="16"/>
              <w:spacing w:line="360" w:lineRule="auto"/>
              <w:rPr>
                <w:rFonts w:ascii="宋体" w:hAnsi="宋体"/>
                <w:szCs w:val="21"/>
              </w:rPr>
            </w:pPr>
            <w:r>
              <w:rPr>
                <w:rFonts w:hint="eastAsia" w:ascii="宋体" w:hAnsi="宋体"/>
                <w:szCs w:val="21"/>
              </w:rPr>
              <w:t>□允许分包</w:t>
            </w:r>
          </w:p>
          <w:p>
            <w:pPr>
              <w:pStyle w:val="16"/>
              <w:spacing w:line="360" w:lineRule="auto"/>
              <w:rPr>
                <w:rFonts w:ascii="宋体" w:hAnsi="宋体"/>
                <w:szCs w:val="21"/>
                <w:u w:val="single"/>
              </w:rPr>
            </w:pPr>
            <w:r>
              <w:rPr>
                <w:rFonts w:hint="eastAsia" w:ascii="宋体" w:hAnsi="宋体"/>
                <w:szCs w:val="21"/>
              </w:rPr>
              <w:t>分包内容：</w:t>
            </w:r>
            <w:r>
              <w:rPr>
                <w:rFonts w:hint="eastAsia" w:ascii="宋体" w:hAnsi="宋体"/>
                <w:szCs w:val="21"/>
                <w:u w:val="single"/>
              </w:rPr>
              <w:t>/。</w:t>
            </w:r>
          </w:p>
          <w:p>
            <w:pPr>
              <w:pStyle w:val="16"/>
              <w:spacing w:line="360" w:lineRule="auto"/>
              <w:jc w:val="both"/>
              <w:rPr>
                <w:rFonts w:ascii="宋体" w:hAnsi="宋体"/>
                <w:szCs w:val="21"/>
                <w:u w:val="single"/>
              </w:rPr>
            </w:pPr>
            <w:r>
              <w:rPr>
                <w:rFonts w:hint="eastAsia" w:ascii="宋体" w:hAnsi="宋体"/>
                <w:szCs w:val="21"/>
              </w:rPr>
              <w:t>分包金额或者比例：</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r>
              <w:rPr>
                <w:rFonts w:ascii="宋体" w:hAnsi="宋体"/>
                <w:szCs w:val="21"/>
              </w:rPr>
              <w:t>1.2</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ascii="Segoe UI Emoji" w:hAnsi="Segoe UI Emoji" w:cs="Segoe UI Emoji"/>
                <w:kern w:val="0"/>
                <w:szCs w:val="21"/>
                <w:lang w:bidi="ar"/>
              </w:rPr>
              <w:t>☑</w:t>
            </w:r>
            <w:r>
              <w:rPr>
                <w:rFonts w:hint="eastAsia" w:ascii="宋体" w:hAnsi="宋体"/>
                <w:szCs w:val="21"/>
              </w:rPr>
              <w:t>不组织现场考察</w:t>
            </w:r>
          </w:p>
          <w:p>
            <w:pPr>
              <w:snapToGrid w:val="0"/>
              <w:spacing w:line="360" w:lineRule="auto"/>
              <w:rPr>
                <w:rFonts w:ascii="宋体" w:hAnsi="宋体"/>
                <w:szCs w:val="21"/>
              </w:rPr>
            </w:pPr>
            <w:r>
              <w:rPr>
                <w:rFonts w:hint="eastAsia" w:ascii="宋体" w:hAnsi="宋体"/>
                <w:szCs w:val="21"/>
              </w:rPr>
              <w:t>□组织现场考察：</w:t>
            </w:r>
          </w:p>
          <w:p>
            <w:pPr>
              <w:snapToGrid w:val="0"/>
              <w:spacing w:line="360" w:lineRule="auto"/>
              <w:rPr>
                <w:rFonts w:ascii="宋体" w:hAnsi="宋体"/>
                <w:szCs w:val="21"/>
                <w:u w:val="single"/>
              </w:rPr>
            </w:pPr>
            <w:r>
              <w:rPr>
                <w:rFonts w:hint="eastAsia" w:ascii="宋体" w:hAnsi="宋体"/>
                <w:szCs w:val="21"/>
              </w:rPr>
              <w:t>集中时间：</w:t>
            </w:r>
            <w:r>
              <w:rPr>
                <w:rFonts w:hint="eastAsia" w:ascii="宋体" w:hAnsi="宋体"/>
                <w:szCs w:val="21"/>
                <w:u w:val="single"/>
              </w:rPr>
              <w:t xml:space="preserve"> /  </w:t>
            </w:r>
            <w:r>
              <w:rPr>
                <w:rFonts w:hint="eastAsia" w:ascii="宋体" w:hAnsi="宋体"/>
                <w:szCs w:val="21"/>
              </w:rPr>
              <w:t>年</w:t>
            </w:r>
            <w:r>
              <w:rPr>
                <w:rFonts w:hint="eastAsia" w:ascii="宋体" w:hAnsi="宋体"/>
                <w:szCs w:val="21"/>
                <w:u w:val="single"/>
              </w:rPr>
              <w:t xml:space="preserve"> / </w:t>
            </w:r>
            <w:r>
              <w:rPr>
                <w:rFonts w:hint="eastAsia" w:ascii="宋体" w:hAnsi="宋体"/>
                <w:szCs w:val="21"/>
              </w:rPr>
              <w:t>月</w:t>
            </w:r>
            <w:r>
              <w:rPr>
                <w:rFonts w:hint="eastAsia" w:ascii="宋体" w:hAnsi="宋体"/>
                <w:szCs w:val="21"/>
                <w:u w:val="single"/>
              </w:rPr>
              <w:t xml:space="preserve"> / </w:t>
            </w:r>
            <w:r>
              <w:rPr>
                <w:rFonts w:hint="eastAsia" w:ascii="宋体" w:hAnsi="宋体"/>
                <w:szCs w:val="21"/>
              </w:rPr>
              <w:t xml:space="preserve">日 </w:t>
            </w:r>
            <w:r>
              <w:rPr>
                <w:rFonts w:hint="eastAsia" w:ascii="宋体" w:hAnsi="宋体"/>
                <w:szCs w:val="21"/>
                <w:u w:val="single"/>
              </w:rPr>
              <w:t xml:space="preserve"> / </w:t>
            </w:r>
            <w:r>
              <w:rPr>
                <w:rFonts w:hint="eastAsia" w:ascii="宋体" w:hAnsi="宋体"/>
                <w:szCs w:val="21"/>
              </w:rPr>
              <w:t>时</w:t>
            </w:r>
            <w:r>
              <w:rPr>
                <w:rFonts w:hint="eastAsia" w:ascii="宋体" w:hAnsi="宋体"/>
                <w:szCs w:val="21"/>
                <w:u w:val="single"/>
              </w:rPr>
              <w:t xml:space="preserve"> / 分</w:t>
            </w:r>
            <w:r>
              <w:rPr>
                <w:rFonts w:hint="eastAsia" w:ascii="宋体" w:hAnsi="宋体"/>
                <w:szCs w:val="21"/>
              </w:rPr>
              <w:t>，逾期后果自负。集中地点：</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p>
          <w:p>
            <w:pPr>
              <w:snapToGrid w:val="0"/>
              <w:spacing w:line="360" w:lineRule="auto"/>
              <w:rPr>
                <w:rFonts w:ascii="宋体" w:hAnsi="宋体"/>
                <w:szCs w:val="21"/>
                <w:u w:val="single"/>
              </w:rPr>
            </w:pPr>
            <w:r>
              <w:rPr>
                <w:rFonts w:hint="eastAsia" w:ascii="宋体" w:hAnsi="宋体"/>
                <w:szCs w:val="21"/>
              </w:rPr>
              <w:t>联系人：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r>
              <w:rPr>
                <w:rFonts w:hint="eastAsia" w:ascii="宋体" w:hAnsi="宋体"/>
                <w:szCs w:val="21"/>
              </w:rPr>
              <w:t>；联系电话：</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p>
          <w:p>
            <w:pPr>
              <w:snapToGrid w:val="0"/>
              <w:spacing w:line="360" w:lineRule="auto"/>
              <w:rPr>
                <w:rFonts w:ascii="宋体" w:hAnsi="宋体"/>
                <w:szCs w:val="21"/>
              </w:rPr>
            </w:pPr>
            <w:r>
              <w:rPr>
                <w:rFonts w:ascii="Segoe UI Emoji" w:hAnsi="Segoe UI Emoji" w:cs="Segoe UI Emoji"/>
                <w:kern w:val="0"/>
                <w:szCs w:val="21"/>
                <w:lang w:bidi="ar"/>
              </w:rPr>
              <w:t>☑</w:t>
            </w:r>
            <w:r>
              <w:rPr>
                <w:rFonts w:hint="eastAsia" w:ascii="宋体" w:hAnsi="宋体"/>
                <w:szCs w:val="21"/>
              </w:rPr>
              <w:t>不组织召开开标前答疑会</w:t>
            </w:r>
          </w:p>
          <w:p>
            <w:pPr>
              <w:snapToGrid w:val="0"/>
              <w:spacing w:line="360" w:lineRule="auto"/>
              <w:rPr>
                <w:rFonts w:ascii="宋体" w:hAnsi="宋体"/>
                <w:szCs w:val="21"/>
              </w:rPr>
            </w:pPr>
            <w:r>
              <w:rPr>
                <w:rFonts w:hint="eastAsia" w:ascii="宋体" w:hAnsi="宋体"/>
                <w:szCs w:val="21"/>
              </w:rPr>
              <w:t>□组织召开开标前答疑会</w:t>
            </w:r>
          </w:p>
          <w:p>
            <w:pPr>
              <w:snapToGrid w:val="0"/>
              <w:spacing w:line="360" w:lineRule="auto"/>
              <w:rPr>
                <w:rFonts w:ascii="宋体" w:hAnsi="宋体"/>
                <w:szCs w:val="21"/>
              </w:rPr>
            </w:pPr>
            <w:r>
              <w:rPr>
                <w:rFonts w:hint="eastAsia" w:ascii="宋体" w:hAnsi="宋体"/>
                <w:szCs w:val="21"/>
              </w:rPr>
              <w:t>会议开始时间：</w:t>
            </w:r>
            <w:r>
              <w:rPr>
                <w:rFonts w:hint="eastAsia" w:ascii="宋体" w:hAnsi="宋体"/>
                <w:szCs w:val="21"/>
                <w:u w:val="single"/>
              </w:rPr>
              <w:t xml:space="preserve"> /  </w:t>
            </w:r>
            <w:r>
              <w:rPr>
                <w:rFonts w:hint="eastAsia" w:ascii="宋体" w:hAnsi="宋体"/>
                <w:szCs w:val="21"/>
              </w:rPr>
              <w:t>年</w:t>
            </w:r>
            <w:r>
              <w:rPr>
                <w:rFonts w:hint="eastAsia" w:ascii="宋体" w:hAnsi="宋体"/>
                <w:szCs w:val="21"/>
                <w:u w:val="single"/>
              </w:rPr>
              <w:t xml:space="preserve"> / </w:t>
            </w:r>
            <w:r>
              <w:rPr>
                <w:rFonts w:hint="eastAsia" w:ascii="宋体" w:hAnsi="宋体"/>
                <w:szCs w:val="21"/>
              </w:rPr>
              <w:t>月</w:t>
            </w:r>
            <w:r>
              <w:rPr>
                <w:rFonts w:hint="eastAsia" w:ascii="宋体" w:hAnsi="宋体"/>
                <w:szCs w:val="21"/>
                <w:u w:val="single"/>
              </w:rPr>
              <w:t xml:space="preserve"> / </w:t>
            </w:r>
            <w:r>
              <w:rPr>
                <w:rFonts w:hint="eastAsia" w:ascii="宋体" w:hAnsi="宋体"/>
                <w:szCs w:val="21"/>
              </w:rPr>
              <w:t xml:space="preserve">日 </w:t>
            </w:r>
            <w:r>
              <w:rPr>
                <w:rFonts w:hint="eastAsia" w:ascii="宋体" w:hAnsi="宋体"/>
                <w:szCs w:val="21"/>
                <w:u w:val="single"/>
              </w:rPr>
              <w:t xml:space="preserve"> / </w:t>
            </w:r>
            <w:r>
              <w:rPr>
                <w:rFonts w:hint="eastAsia" w:ascii="宋体" w:hAnsi="宋体"/>
                <w:szCs w:val="21"/>
              </w:rPr>
              <w:t>时</w:t>
            </w:r>
            <w:r>
              <w:rPr>
                <w:rFonts w:hint="eastAsia" w:ascii="宋体" w:hAnsi="宋体"/>
                <w:szCs w:val="21"/>
                <w:u w:val="single"/>
              </w:rPr>
              <w:t xml:space="preserve"> / 分</w:t>
            </w:r>
            <w:r>
              <w:rPr>
                <w:rFonts w:hint="eastAsia" w:ascii="宋体" w:hAnsi="宋体"/>
                <w:szCs w:val="21"/>
              </w:rPr>
              <w:t>,逾期后果自负。会议地点：</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w:t>
            </w:r>
            <w:r>
              <w:rPr>
                <w:rFonts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szCs w:val="21"/>
              </w:rPr>
            </w:pPr>
            <w:bookmarkStart w:id="420" w:name="_13.1"/>
            <w:bookmarkEnd w:id="420"/>
            <w:r>
              <w:rPr>
                <w:rFonts w:hint="eastAsia" w:ascii="宋体" w:hAnsi="宋体"/>
                <w:szCs w:val="21"/>
              </w:rPr>
              <w:t>13.</w:t>
            </w:r>
            <w:bookmarkStart w:id="421" w:name="_Hlt19632543"/>
            <w:r>
              <w:rPr>
                <w:rFonts w:hint="eastAsia" w:ascii="宋体" w:hAnsi="宋体"/>
                <w:szCs w:val="21"/>
              </w:rPr>
              <w:t>1</w:t>
            </w:r>
            <w:bookmarkEnd w:id="421"/>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Courier New"/>
                <w:b/>
                <w:szCs w:val="21"/>
              </w:rPr>
            </w:pPr>
            <w:r>
              <w:rPr>
                <w:rFonts w:hint="eastAsia" w:ascii="宋体" w:hAnsi="宋体" w:cs="Courier New"/>
                <w:b/>
                <w:szCs w:val="21"/>
              </w:rPr>
              <w:t>报价文件：</w:t>
            </w:r>
          </w:p>
          <w:p>
            <w:pPr>
              <w:numPr>
                <w:ilvl w:val="0"/>
                <w:numId w:val="6"/>
              </w:numPr>
              <w:tabs>
                <w:tab w:val="left" w:pos="459"/>
              </w:tabs>
              <w:snapToGrid w:val="0"/>
              <w:spacing w:line="360" w:lineRule="auto"/>
              <w:ind w:left="459" w:hanging="39"/>
              <w:jc w:val="left"/>
              <w:rPr>
                <w:rFonts w:ascii="宋体" w:hAnsi="宋体"/>
                <w:szCs w:val="21"/>
              </w:rPr>
            </w:pPr>
            <w:r>
              <w:rPr>
                <w:rFonts w:hint="eastAsia" w:ascii="宋体" w:hAnsi="宋体"/>
                <w:szCs w:val="21"/>
              </w:rPr>
              <w:t>投标函（格式后附）；</w:t>
            </w:r>
            <w:r>
              <w:rPr>
                <w:rFonts w:hint="eastAsia" w:ascii="宋体" w:hAnsi="宋体"/>
                <w:b/>
                <w:szCs w:val="21"/>
              </w:rPr>
              <w:t>（必须提供，否则按无效投标处理）</w:t>
            </w:r>
          </w:p>
          <w:p>
            <w:pPr>
              <w:numPr>
                <w:ilvl w:val="0"/>
                <w:numId w:val="6"/>
              </w:numPr>
              <w:tabs>
                <w:tab w:val="left" w:pos="459"/>
              </w:tabs>
              <w:snapToGrid w:val="0"/>
              <w:spacing w:line="360" w:lineRule="auto"/>
              <w:ind w:left="459" w:hanging="39"/>
              <w:jc w:val="left"/>
              <w:rPr>
                <w:rFonts w:ascii="宋体" w:hAnsi="宋体"/>
                <w:szCs w:val="21"/>
              </w:rPr>
            </w:pPr>
            <w:r>
              <w:rPr>
                <w:rFonts w:hint="eastAsia" w:ascii="宋体" w:hAnsi="宋体"/>
                <w:szCs w:val="21"/>
              </w:rPr>
              <w:t>开标一览表（格式后附）； （</w:t>
            </w:r>
            <w:r>
              <w:rPr>
                <w:rFonts w:hint="eastAsia" w:ascii="宋体" w:hAnsi="宋体"/>
                <w:b/>
                <w:szCs w:val="21"/>
              </w:rPr>
              <w:t>必须提供，否则按无效投标处理</w:t>
            </w:r>
            <w:r>
              <w:rPr>
                <w:rFonts w:hint="eastAsia" w:ascii="宋体" w:hAnsi="宋体"/>
                <w:szCs w:val="21"/>
              </w:rPr>
              <w:t>）</w:t>
            </w:r>
          </w:p>
          <w:p>
            <w:pPr>
              <w:numPr>
                <w:ilvl w:val="0"/>
                <w:numId w:val="6"/>
              </w:numPr>
              <w:tabs>
                <w:tab w:val="left" w:pos="459"/>
              </w:tabs>
              <w:snapToGrid w:val="0"/>
              <w:spacing w:line="360" w:lineRule="auto"/>
              <w:ind w:left="459" w:hanging="39"/>
              <w:jc w:val="left"/>
              <w:rPr>
                <w:rFonts w:ascii="宋体" w:hAnsi="宋体"/>
                <w:szCs w:val="21"/>
              </w:rPr>
            </w:pPr>
            <w:r>
              <w:rPr>
                <w:rFonts w:hint="eastAsia" w:ascii="宋体" w:hAnsi="宋体"/>
                <w:szCs w:val="21"/>
              </w:rPr>
              <w:t>投标人针对报价需要说明的其他文件和说明（格式自拟）。</w:t>
            </w:r>
          </w:p>
          <w:p>
            <w:pPr>
              <w:snapToGrid w:val="0"/>
              <w:spacing w:line="360" w:lineRule="auto"/>
              <w:ind w:firstLine="420"/>
              <w:jc w:val="left"/>
              <w:rPr>
                <w:rFonts w:ascii="宋体" w:hAnsi="宋体"/>
                <w:szCs w:val="21"/>
              </w:rPr>
            </w:pPr>
            <w:r>
              <w:rPr>
                <w:rFonts w:hint="eastAsia" w:ascii="宋体" w:hAnsi="宋体"/>
                <w:b/>
                <w:bCs/>
                <w:szCs w:val="21"/>
              </w:rPr>
              <w:t>注：投标函、开标一览表必须由法定代表人或者委托代理人在规定签章处逐一签字</w:t>
            </w:r>
            <w:r>
              <w:rPr>
                <w:rFonts w:hint="eastAsia" w:ascii="宋体" w:hAnsi="宋体" w:cs="宋体"/>
                <w:b/>
                <w:szCs w:val="21"/>
              </w:rPr>
              <w:t>（或电子签名）</w:t>
            </w:r>
            <w:r>
              <w:rPr>
                <w:rFonts w:hint="eastAsia" w:ascii="宋体" w:hAnsi="宋体"/>
                <w:b/>
                <w:bCs/>
                <w:szCs w:val="21"/>
              </w:rPr>
              <w:t>并加盖投标人</w:t>
            </w:r>
            <w:r>
              <w:rPr>
                <w:rFonts w:hint="eastAsia" w:ascii="宋体" w:hAnsi="宋体" w:cs="宋体"/>
                <w:b/>
                <w:szCs w:val="21"/>
              </w:rPr>
              <w:t>电子签章</w:t>
            </w:r>
            <w:r>
              <w:rPr>
                <w:rFonts w:hint="eastAsia" w:ascii="宋体" w:hAnsi="宋体"/>
                <w:b/>
                <w:bCs/>
                <w:szCs w:val="21"/>
              </w:rPr>
              <w:t>，否则</w:t>
            </w:r>
            <w:r>
              <w:rPr>
                <w:rFonts w:hint="eastAsia" w:ascii="宋体" w:hAnsi="宋体" w:cs="Courier New"/>
                <w:b/>
                <w:szCs w:val="21"/>
              </w:rPr>
              <w:t>按无效投标处理</w:t>
            </w:r>
            <w:r>
              <w:rPr>
                <w:rFonts w:hint="eastAsia" w:ascii="宋体" w:hAnsi="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8" w:hRule="atLeast"/>
        </w:trPr>
        <w:tc>
          <w:tcPr>
            <w:tcW w:w="817" w:type="dxa"/>
            <w:vMerge w:val="continue"/>
            <w:tcBorders>
              <w:left w:val="single" w:color="auto" w:sz="4" w:space="0"/>
              <w:right w:val="single" w:color="auto" w:sz="4" w:space="0"/>
            </w:tcBorders>
            <w:vAlign w:val="center"/>
          </w:tcPr>
          <w:p>
            <w:pPr>
              <w:spacing w:line="360" w:lineRule="auto"/>
              <w:rPr>
                <w:rFonts w:ascii="宋体" w:hAnsi="宋体"/>
                <w:szCs w:val="21"/>
              </w:rPr>
            </w:pPr>
            <w:bookmarkStart w:id="422" w:name="_13.2"/>
            <w:bookmarkEnd w:id="422"/>
          </w:p>
        </w:tc>
        <w:tc>
          <w:tcPr>
            <w:tcW w:w="8318" w:type="dxa"/>
            <w:tcBorders>
              <w:top w:val="single" w:color="auto" w:sz="4" w:space="0"/>
              <w:left w:val="single" w:color="auto" w:sz="4" w:space="0"/>
              <w:bottom w:val="single" w:color="auto" w:sz="4" w:space="0"/>
              <w:right w:val="single" w:color="auto" w:sz="4" w:space="0"/>
            </w:tcBorders>
            <w:vAlign w:val="center"/>
          </w:tcPr>
          <w:p>
            <w:pPr>
              <w:tabs>
                <w:tab w:val="left" w:pos="34"/>
              </w:tabs>
              <w:snapToGrid w:val="0"/>
              <w:spacing w:line="360" w:lineRule="auto"/>
              <w:jc w:val="left"/>
              <w:rPr>
                <w:rFonts w:ascii="宋体" w:hAnsi="宋体" w:cs="Courier New"/>
                <w:b/>
                <w:szCs w:val="21"/>
              </w:rPr>
            </w:pPr>
            <w:r>
              <w:rPr>
                <w:rFonts w:hint="eastAsia" w:ascii="宋体" w:hAnsi="宋体" w:cs="Courier New"/>
                <w:b/>
                <w:szCs w:val="21"/>
              </w:rPr>
              <w:t>资格证明文件</w:t>
            </w:r>
          </w:p>
          <w:p>
            <w:pPr>
              <w:numPr>
                <w:ilvl w:val="0"/>
                <w:numId w:val="7"/>
              </w:numPr>
              <w:tabs>
                <w:tab w:val="left" w:pos="34"/>
              </w:tabs>
              <w:snapToGrid w:val="0"/>
              <w:spacing w:line="360" w:lineRule="auto"/>
              <w:jc w:val="left"/>
              <w:rPr>
                <w:rFonts w:ascii="宋体" w:hAnsi="宋体"/>
                <w:szCs w:val="21"/>
              </w:rPr>
            </w:pPr>
            <w:r>
              <w:rPr>
                <w:rFonts w:hint="eastAsia" w:ascii="宋体" w:hAnsi="宋体"/>
                <w:szCs w:val="21"/>
              </w:rPr>
              <w:t>投标人为法人或者其他组织的，提供营业执照等证明文件</w:t>
            </w:r>
            <w:r>
              <w:rPr>
                <w:rFonts w:hint="eastAsia" w:ascii="宋体" w:hAnsi="宋体" w:cs="宋体"/>
                <w:szCs w:val="21"/>
              </w:rPr>
              <w:t>（如营业执照或者事业单位法人证书或者</w:t>
            </w:r>
            <w:r>
              <w:rPr>
                <w:rStyle w:val="92"/>
                <w:color w:val="auto"/>
                <w:sz w:val="21"/>
                <w:szCs w:val="21"/>
              </w:rPr>
              <w:t>执业许可证</w:t>
            </w:r>
            <w:r>
              <w:rPr>
                <w:rFonts w:hint="eastAsia" w:ascii="宋体" w:hAnsi="宋体" w:cs="宋体"/>
                <w:szCs w:val="21"/>
              </w:rPr>
              <w:t>等）</w:t>
            </w:r>
            <w:r>
              <w:rPr>
                <w:rFonts w:hint="eastAsia" w:ascii="宋体" w:hAnsi="宋体"/>
                <w:szCs w:val="21"/>
              </w:rPr>
              <w:t>，投标人为自然人的，提供身份证</w:t>
            </w:r>
            <w:r>
              <w:rPr>
                <w:rFonts w:hint="eastAsia" w:ascii="宋体" w:hAnsi="宋体" w:cs="宋体"/>
                <w:szCs w:val="21"/>
              </w:rPr>
              <w:t>复印件</w:t>
            </w:r>
            <w:r>
              <w:rPr>
                <w:rFonts w:hint="eastAsia" w:ascii="宋体" w:hAnsi="宋体"/>
                <w:szCs w:val="21"/>
              </w:rPr>
              <w:t>；（</w:t>
            </w:r>
            <w:r>
              <w:rPr>
                <w:rFonts w:hint="eastAsia" w:ascii="宋体" w:hAnsi="宋体"/>
                <w:b/>
                <w:szCs w:val="21"/>
              </w:rPr>
              <w:t>必须提供，否则按无效投标处理</w:t>
            </w:r>
            <w:r>
              <w:rPr>
                <w:rFonts w:hint="eastAsia" w:ascii="宋体" w:hAnsi="宋体"/>
                <w:szCs w:val="21"/>
              </w:rPr>
              <w:t>）</w:t>
            </w:r>
          </w:p>
          <w:p>
            <w:pPr>
              <w:numPr>
                <w:ilvl w:val="0"/>
                <w:numId w:val="7"/>
              </w:numPr>
              <w:tabs>
                <w:tab w:val="left" w:pos="34"/>
              </w:tabs>
              <w:snapToGrid w:val="0"/>
              <w:spacing w:line="360" w:lineRule="auto"/>
              <w:jc w:val="left"/>
              <w:rPr>
                <w:rFonts w:ascii="宋体" w:hAnsi="宋体"/>
                <w:szCs w:val="21"/>
              </w:rPr>
            </w:pPr>
            <w:r>
              <w:rPr>
                <w:rFonts w:hint="eastAsia" w:ascii="宋体" w:hAnsi="宋体" w:cs="宋体"/>
                <w:szCs w:val="21"/>
              </w:rPr>
              <w:t>投标人依法缴纳税收的相关材料（投标截止时间前半年内任意连续</w:t>
            </w:r>
            <w:r>
              <w:rPr>
                <w:rFonts w:hint="eastAsia" w:ascii="宋体" w:hAnsi="宋体" w:cs="宋体"/>
                <w:szCs w:val="21"/>
                <w:u w:val="single"/>
              </w:rPr>
              <w:t xml:space="preserve">  3  </w:t>
            </w:r>
            <w:r>
              <w:rPr>
                <w:rFonts w:hint="eastAsia" w:ascii="宋体" w:hAnsi="宋体" w:cs="宋体"/>
                <w:szCs w:val="21"/>
              </w:rPr>
              <w:t>个月的依法缴纳税收的凭据复印件；</w:t>
            </w:r>
            <w:r>
              <w:rPr>
                <w:rFonts w:hint="eastAsia" w:ascii="宋体" w:hAnsi="宋体"/>
                <w:szCs w:val="21"/>
              </w:rPr>
              <w:t>依法免税的供应商，必须提供相应文件证明其依法免税。</w:t>
            </w:r>
            <w:r>
              <w:rPr>
                <w:rFonts w:hint="eastAsia" w:ascii="宋体" w:hAnsi="宋体" w:cs="宋体"/>
                <w:szCs w:val="21"/>
              </w:rPr>
              <w:t>从取得营业执照时间起到投标文件提交截止时间为止不足要求月数的，只需提供从取得营业执照起的依法缴纳税收</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必须提供，否则按无效投标处理</w:t>
            </w:r>
            <w:r>
              <w:rPr>
                <w:rFonts w:hint="eastAsia" w:ascii="宋体" w:hAnsi="宋体"/>
                <w:szCs w:val="21"/>
              </w:rPr>
              <w:t>）</w:t>
            </w:r>
          </w:p>
          <w:p>
            <w:pPr>
              <w:numPr>
                <w:ilvl w:val="0"/>
                <w:numId w:val="7"/>
              </w:numPr>
              <w:tabs>
                <w:tab w:val="left" w:pos="34"/>
              </w:tabs>
              <w:snapToGrid w:val="0"/>
              <w:spacing w:line="360" w:lineRule="auto"/>
              <w:jc w:val="left"/>
              <w:rPr>
                <w:rFonts w:ascii="宋体" w:hAnsi="宋体"/>
                <w:szCs w:val="21"/>
              </w:rPr>
            </w:pPr>
            <w:r>
              <w:rPr>
                <w:rFonts w:hint="eastAsia" w:ascii="宋体" w:hAnsi="宋体" w:cs="宋体"/>
                <w:szCs w:val="21"/>
              </w:rPr>
              <w:t>投标人依法缴纳社会保障资金的相关材料[投标截止时间前半年内任意连续</w:t>
            </w:r>
            <w:r>
              <w:rPr>
                <w:rFonts w:hint="eastAsia" w:ascii="宋体" w:hAnsi="宋体" w:cs="宋体"/>
                <w:szCs w:val="21"/>
                <w:u w:val="single"/>
              </w:rPr>
              <w:t xml:space="preserve">  3  </w:t>
            </w:r>
            <w:r>
              <w:rPr>
                <w:rFonts w:hint="eastAsia" w:ascii="宋体" w:hAnsi="宋体" w:cs="宋体"/>
                <w:szCs w:val="21"/>
              </w:rPr>
              <w:t>个月的依法缴纳社会保障资金的缴费凭证（专用收据或者社会保险缴纳清单）复印件；</w:t>
            </w:r>
            <w:r>
              <w:rPr>
                <w:rFonts w:hint="eastAsia" w:ascii="宋体" w:hAnsi="宋体"/>
                <w:szCs w:val="21"/>
              </w:rPr>
              <w:t>依法不需要缴纳社会保障资金的供应商，必须提供相应文件证明不需要缴纳社会保障资金。</w:t>
            </w:r>
            <w:r>
              <w:rPr>
                <w:rFonts w:hint="eastAsia" w:ascii="宋体" w:hAnsi="宋体" w:cs="宋体"/>
                <w:szCs w:val="21"/>
              </w:rPr>
              <w:t>从取得营业执照时间起到投标文件提交截止时间为止不足要求月数的只需提供从取得营业执照起的依法缴纳社会保障资金的</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必须提供，否则按无效投标处理</w:t>
            </w:r>
            <w:r>
              <w:rPr>
                <w:rFonts w:hint="eastAsia" w:ascii="宋体" w:hAnsi="宋体"/>
                <w:szCs w:val="21"/>
              </w:rPr>
              <w:t>）</w:t>
            </w:r>
          </w:p>
          <w:p>
            <w:pPr>
              <w:numPr>
                <w:ilvl w:val="0"/>
                <w:numId w:val="7"/>
              </w:numPr>
              <w:tabs>
                <w:tab w:val="left" w:pos="34"/>
              </w:tabs>
              <w:snapToGrid w:val="0"/>
              <w:spacing w:line="360" w:lineRule="auto"/>
              <w:jc w:val="left"/>
              <w:rPr>
                <w:rFonts w:ascii="宋体" w:hAnsi="宋体"/>
                <w:szCs w:val="21"/>
              </w:rPr>
            </w:pPr>
            <w:r>
              <w:rPr>
                <w:rFonts w:hint="eastAsia" w:ascii="宋体" w:hAnsi="宋体" w:cs="宋体"/>
                <w:szCs w:val="21"/>
              </w:rPr>
              <w:t>投标人财务状况报：</w:t>
            </w:r>
            <w:r>
              <w:rPr>
                <w:rFonts w:hint="eastAsia" w:ascii="宋体" w:hAnsi="宋体" w:cs="宋体"/>
                <w:szCs w:val="21"/>
                <w:u w:val="single"/>
              </w:rPr>
              <w:t>2022</w:t>
            </w:r>
            <w:r>
              <w:rPr>
                <w:rFonts w:hint="eastAsia" w:ascii="宋体" w:hAnsi="宋体" w:cs="宋体"/>
                <w:szCs w:val="21"/>
              </w:rPr>
              <w:t>年或2023年财务状况报告复印件，</w:t>
            </w:r>
            <w:r>
              <w:rPr>
                <w:rFonts w:hint="eastAsia" w:ascii="宋体" w:hAnsi="宋体"/>
                <w:color w:val="000000"/>
                <w:szCs w:val="21"/>
              </w:rPr>
              <w:t>供应商执行《企业会计准则》的，提供资产负债表、利润表、现金流量表、所有者权益变动表及其附注（以下称“四表一注”）；供应商执行</w:t>
            </w:r>
            <w:r>
              <w:rPr>
                <w:rFonts w:hint="eastAsia" w:ascii="宋体" w:hAnsi="宋体"/>
                <w:color w:val="000000"/>
                <w:szCs w:val="21"/>
                <w:lang w:eastAsia="zh-CN"/>
              </w:rPr>
              <w:t>《中</w:t>
            </w:r>
            <w:r>
              <w:rPr>
                <w:rFonts w:hint="eastAsia" w:ascii="宋体" w:hAnsi="宋体"/>
                <w:color w:val="000000"/>
                <w:szCs w:val="21"/>
              </w:rPr>
              <w:t>小企业会计准则》的，提供资产负债表、利润表、现金流量表及其附注（以下称“三表一注”）；供应商执行《政府会计制度》的，提供资产负债表、收入费用表和净资产变动表及其附注)</w:t>
            </w:r>
            <w:r>
              <w:rPr>
                <w:rFonts w:hint="eastAsia" w:ascii="宋体" w:hAnsi="宋体"/>
                <w:szCs w:val="21"/>
              </w:rPr>
              <w:t>；（</w:t>
            </w:r>
            <w:r>
              <w:rPr>
                <w:rFonts w:hint="eastAsia" w:ascii="宋体" w:hAnsi="宋体"/>
                <w:b/>
                <w:szCs w:val="21"/>
              </w:rPr>
              <w:t>必须提供，否则按无效投标处理</w:t>
            </w:r>
            <w:r>
              <w:rPr>
                <w:rFonts w:hint="eastAsia" w:ascii="宋体" w:hAnsi="宋体"/>
                <w:szCs w:val="21"/>
              </w:rPr>
              <w:t>）</w:t>
            </w:r>
          </w:p>
          <w:p>
            <w:pPr>
              <w:numPr>
                <w:ilvl w:val="0"/>
                <w:numId w:val="7"/>
              </w:numPr>
              <w:tabs>
                <w:tab w:val="left" w:pos="34"/>
              </w:tabs>
              <w:snapToGrid w:val="0"/>
              <w:spacing w:line="360" w:lineRule="auto"/>
              <w:jc w:val="left"/>
              <w:rPr>
                <w:rFonts w:ascii="宋体" w:hAnsi="宋体"/>
                <w:szCs w:val="21"/>
              </w:rPr>
            </w:pPr>
            <w:r>
              <w:rPr>
                <w:rFonts w:hint="eastAsia" w:ascii="宋体" w:hAnsi="宋体"/>
                <w:szCs w:val="21"/>
              </w:rPr>
              <w:t>投标人直接控股、管理关系信息表（格式后附）；（</w:t>
            </w:r>
            <w:r>
              <w:rPr>
                <w:rFonts w:hint="eastAsia" w:ascii="宋体" w:hAnsi="宋体"/>
                <w:b/>
                <w:szCs w:val="21"/>
              </w:rPr>
              <w:t>必须提供，否则按无效投标处理</w:t>
            </w:r>
            <w:r>
              <w:rPr>
                <w:rFonts w:hint="eastAsia" w:ascii="宋体" w:hAnsi="宋体"/>
                <w:szCs w:val="21"/>
              </w:rPr>
              <w:t>）</w:t>
            </w:r>
          </w:p>
          <w:p>
            <w:pPr>
              <w:numPr>
                <w:ilvl w:val="0"/>
                <w:numId w:val="7"/>
              </w:numPr>
              <w:tabs>
                <w:tab w:val="left" w:pos="34"/>
              </w:tabs>
              <w:snapToGrid w:val="0"/>
              <w:spacing w:line="360" w:lineRule="auto"/>
              <w:jc w:val="left"/>
              <w:rPr>
                <w:rFonts w:ascii="宋体" w:hAnsi="宋体"/>
                <w:szCs w:val="21"/>
              </w:rPr>
            </w:pPr>
            <w:r>
              <w:rPr>
                <w:rFonts w:hint="eastAsia" w:ascii="宋体" w:hAnsi="宋体"/>
                <w:szCs w:val="21"/>
              </w:rPr>
              <w:t>投标声明（格式后附）；（</w:t>
            </w:r>
            <w:r>
              <w:rPr>
                <w:rFonts w:hint="eastAsia" w:ascii="宋体" w:hAnsi="宋体"/>
                <w:b/>
                <w:szCs w:val="21"/>
              </w:rPr>
              <w:t>必须提供，否则按无效投标处理</w:t>
            </w:r>
            <w:r>
              <w:rPr>
                <w:rFonts w:hint="eastAsia" w:ascii="宋体" w:hAnsi="宋体"/>
                <w:szCs w:val="21"/>
              </w:rPr>
              <w:t>）</w:t>
            </w:r>
          </w:p>
          <w:p>
            <w:pPr>
              <w:numPr>
                <w:ilvl w:val="0"/>
                <w:numId w:val="7"/>
              </w:numPr>
              <w:tabs>
                <w:tab w:val="left" w:pos="34"/>
              </w:tabs>
              <w:snapToGrid w:val="0"/>
              <w:spacing w:line="360" w:lineRule="auto"/>
              <w:jc w:val="left"/>
              <w:rPr>
                <w:rFonts w:ascii="宋体" w:hAnsi="宋体"/>
                <w:szCs w:val="21"/>
              </w:rPr>
            </w:pPr>
            <w:r>
              <w:rPr>
                <w:rFonts w:hint="eastAsia" w:ascii="宋体" w:hAnsi="宋体"/>
                <w:szCs w:val="21"/>
              </w:rPr>
              <w:t>承诺函（</w:t>
            </w:r>
            <w:r>
              <w:rPr>
                <w:rFonts w:hint="eastAsia" w:ascii="宋体" w:hAnsi="宋体"/>
                <w:b/>
                <w:szCs w:val="21"/>
              </w:rPr>
              <w:t>必须提供，否则按无效投标处理）</w:t>
            </w:r>
          </w:p>
          <w:p>
            <w:pPr>
              <w:pStyle w:val="58"/>
              <w:spacing w:before="120" w:after="120"/>
              <w:ind w:firstLine="420"/>
            </w:pPr>
            <w:r>
              <w:rPr>
                <w:rFonts w:hint="eastAsia" w:ascii="宋体" w:hAnsi="宋体" w:eastAsia="宋体"/>
                <w:color w:val="auto"/>
                <w:sz w:val="21"/>
                <w:szCs w:val="21"/>
              </w:rPr>
              <w:t>8.法定代表人授权委托书及其委托代理人有效身份证正反面复印件，委托代理人竞标截止时间前半年内连续3个月社保缴纳证明复印件，属事业单位编制人员的须同时提供在编人员证明复印件；（委托时必须提供，否则响应文件按无效响应处理。属于复印件的扫描件的，必须加盖供应商公章，否则响应文件按无效响应处理。委托代理人未能出具有效身份证明或者出具的身份证明与授权委托书中的信息不符的，将被视为响应文件无效处理。）</w:t>
            </w:r>
          </w:p>
          <w:p>
            <w:pPr>
              <w:numPr>
                <w:ilvl w:val="255"/>
                <w:numId w:val="0"/>
              </w:numPr>
              <w:tabs>
                <w:tab w:val="left" w:pos="34"/>
              </w:tabs>
              <w:snapToGrid w:val="0"/>
              <w:spacing w:line="360" w:lineRule="auto"/>
              <w:ind w:firstLine="420" w:firstLineChars="200"/>
              <w:jc w:val="left"/>
              <w:rPr>
                <w:rFonts w:ascii="宋体" w:hAnsi="宋体"/>
                <w:szCs w:val="21"/>
              </w:rPr>
            </w:pPr>
            <w:r>
              <w:rPr>
                <w:rFonts w:hint="eastAsia" w:ascii="宋体" w:hAnsi="宋体"/>
                <w:szCs w:val="21"/>
              </w:rPr>
              <w:t>9.除招标文件规定必须提供以外，投标人认为需要提供的其他证明材料。</w:t>
            </w:r>
          </w:p>
          <w:p>
            <w:pPr>
              <w:snapToGrid w:val="0"/>
              <w:spacing w:line="360" w:lineRule="auto"/>
              <w:ind w:firstLine="422" w:firstLineChars="200"/>
              <w:jc w:val="left"/>
              <w:rPr>
                <w:rFonts w:ascii="宋体" w:hAnsi="宋体" w:cs="Courier New"/>
                <w:b/>
                <w:szCs w:val="21"/>
              </w:rPr>
            </w:pPr>
            <w:r>
              <w:rPr>
                <w:rFonts w:hint="eastAsia" w:ascii="宋体" w:hAnsi="宋体"/>
                <w:b/>
                <w:bCs/>
                <w:szCs w:val="21"/>
              </w:rPr>
              <w:t>注：1.</w:t>
            </w:r>
            <w:r>
              <w:rPr>
                <w:rFonts w:hint="eastAsia" w:ascii="宋体" w:hAnsi="宋体"/>
                <w:szCs w:val="21"/>
              </w:rPr>
              <w:t xml:space="preserve"> </w:t>
            </w:r>
            <w:r>
              <w:rPr>
                <w:rFonts w:hint="eastAsia" w:ascii="宋体" w:hAnsi="宋体"/>
                <w:b/>
                <w:bCs/>
                <w:szCs w:val="21"/>
              </w:rPr>
              <w:t>以上标明“必须提供”的材料属于复印件的，必须加盖投标人</w:t>
            </w:r>
            <w:r>
              <w:rPr>
                <w:rFonts w:hint="eastAsia" w:ascii="宋体" w:hAnsi="宋体" w:cs="宋体"/>
                <w:b/>
                <w:szCs w:val="21"/>
              </w:rPr>
              <w:t>电子签章</w:t>
            </w:r>
            <w:r>
              <w:rPr>
                <w:rFonts w:hint="eastAsia" w:ascii="宋体" w:hAnsi="宋体"/>
                <w:b/>
                <w:bCs/>
                <w:szCs w:val="21"/>
              </w:rPr>
              <w:t>，否则</w:t>
            </w:r>
            <w:r>
              <w:rPr>
                <w:rFonts w:hint="eastAsia" w:ascii="宋体" w:hAnsi="宋体" w:cs="Courier New"/>
                <w:b/>
                <w:szCs w:val="21"/>
              </w:rPr>
              <w:t>按无效投标处理。</w:t>
            </w:r>
          </w:p>
          <w:p>
            <w:pPr>
              <w:snapToGrid w:val="0"/>
              <w:spacing w:line="360" w:lineRule="auto"/>
              <w:ind w:firstLine="422" w:firstLineChars="200"/>
              <w:jc w:val="left"/>
              <w:rPr>
                <w:rFonts w:ascii="宋体" w:hAnsi="宋体"/>
                <w:b/>
                <w:bCs/>
                <w:szCs w:val="21"/>
              </w:rPr>
            </w:pPr>
            <w:r>
              <w:rPr>
                <w:rFonts w:hint="eastAsia" w:ascii="宋体" w:hAnsi="宋体" w:cs="Courier New"/>
                <w:b/>
                <w:szCs w:val="21"/>
              </w:rPr>
              <w:t>2.</w:t>
            </w:r>
            <w:r>
              <w:rPr>
                <w:rFonts w:hint="eastAsia" w:ascii="宋体" w:hAnsi="宋体"/>
                <w:b/>
                <w:bCs/>
                <w:szCs w:val="21"/>
              </w:rPr>
              <w:t>投标声明必须由法定代表人在规定签章处签字</w:t>
            </w:r>
            <w:r>
              <w:rPr>
                <w:rFonts w:hint="eastAsia" w:ascii="宋体" w:hAnsi="宋体" w:cs="宋体"/>
                <w:b/>
                <w:szCs w:val="21"/>
              </w:rPr>
              <w:t>（或电子签名）</w:t>
            </w:r>
            <w:r>
              <w:rPr>
                <w:rFonts w:hint="eastAsia" w:ascii="宋体" w:hAnsi="宋体"/>
                <w:b/>
                <w:bCs/>
                <w:szCs w:val="21"/>
              </w:rPr>
              <w:t>并加盖投标人</w:t>
            </w:r>
            <w:r>
              <w:rPr>
                <w:rFonts w:hint="eastAsia" w:ascii="宋体" w:hAnsi="宋体" w:cs="宋体"/>
                <w:b/>
                <w:szCs w:val="21"/>
              </w:rPr>
              <w:t>电子签章</w:t>
            </w:r>
            <w:r>
              <w:rPr>
                <w:rFonts w:hint="eastAsia" w:ascii="宋体" w:hAnsi="宋体"/>
                <w:b/>
                <w:bCs/>
                <w:szCs w:val="21"/>
              </w:rPr>
              <w:t>，否则按无效投标处理。</w:t>
            </w:r>
          </w:p>
          <w:p>
            <w:pPr>
              <w:snapToGrid w:val="0"/>
              <w:spacing w:line="360" w:lineRule="auto"/>
              <w:ind w:firstLine="422" w:firstLineChars="200"/>
              <w:jc w:val="left"/>
              <w:rPr>
                <w:rFonts w:ascii="宋体" w:hAnsi="宋体"/>
                <w:b/>
                <w:bCs/>
                <w:szCs w:val="21"/>
              </w:rPr>
            </w:pPr>
            <w:r>
              <w:rPr>
                <w:rFonts w:hint="eastAsia" w:ascii="宋体" w:hAnsi="宋体"/>
                <w:b/>
                <w:bCs/>
                <w:szCs w:val="21"/>
              </w:rPr>
              <w:t>3.投标人直接控股、管理关系信息表必须由法定代表人或者委托代理人在规定签章处签字</w:t>
            </w:r>
            <w:r>
              <w:rPr>
                <w:rFonts w:hint="eastAsia" w:ascii="宋体" w:hAnsi="宋体" w:cs="宋体"/>
                <w:b/>
                <w:szCs w:val="21"/>
              </w:rPr>
              <w:t>（或电子签名）</w:t>
            </w:r>
            <w:r>
              <w:rPr>
                <w:rFonts w:hint="eastAsia" w:ascii="宋体" w:hAnsi="宋体"/>
                <w:b/>
                <w:bCs/>
                <w:szCs w:val="21"/>
              </w:rPr>
              <w:t>并加盖投标人</w:t>
            </w:r>
            <w:r>
              <w:rPr>
                <w:rFonts w:hint="eastAsia" w:ascii="宋体" w:hAnsi="宋体" w:cs="宋体"/>
                <w:b/>
                <w:szCs w:val="21"/>
              </w:rPr>
              <w:t>电子签章</w:t>
            </w:r>
            <w:r>
              <w:rPr>
                <w:rFonts w:hint="eastAsia" w:ascii="宋体" w:hAnsi="宋体"/>
                <w:b/>
                <w:bCs/>
                <w:szCs w:val="21"/>
              </w:rPr>
              <w:t>，否则</w:t>
            </w:r>
            <w:r>
              <w:rPr>
                <w:rFonts w:hint="eastAsia" w:ascii="宋体" w:hAnsi="宋体" w:cs="Courier New"/>
                <w:b/>
                <w:szCs w:val="21"/>
              </w:rPr>
              <w:t>按无效投标处理</w:t>
            </w:r>
            <w:r>
              <w:rPr>
                <w:rFonts w:hint="eastAsia" w:ascii="宋体" w:hAnsi="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vMerge w:val="continue"/>
            <w:tcBorders>
              <w:left w:val="single" w:color="auto" w:sz="4" w:space="0"/>
              <w:right w:val="single" w:color="auto" w:sz="4" w:space="0"/>
            </w:tcBorders>
            <w:vAlign w:val="center"/>
          </w:tcPr>
          <w:p>
            <w:pPr>
              <w:spacing w:line="360" w:lineRule="auto"/>
              <w:rPr>
                <w:rFonts w:ascii="宋体" w:hAnsi="宋体"/>
                <w:szCs w:val="21"/>
              </w:rPr>
            </w:pPr>
            <w:bookmarkStart w:id="423" w:name="_13.3"/>
            <w:bookmarkEnd w:id="423"/>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szCs w:val="21"/>
              </w:rPr>
            </w:pPr>
            <w:r>
              <w:rPr>
                <w:rFonts w:hint="eastAsia" w:ascii="宋体" w:hAnsi="宋体"/>
                <w:szCs w:val="21"/>
              </w:rPr>
              <w:t>商务文件：</w:t>
            </w:r>
          </w:p>
          <w:p>
            <w:pPr>
              <w:snapToGrid w:val="0"/>
              <w:spacing w:line="360" w:lineRule="auto"/>
              <w:ind w:left="413"/>
              <w:jc w:val="left"/>
              <w:rPr>
                <w:rFonts w:ascii="宋体" w:hAnsi="宋体"/>
                <w:szCs w:val="21"/>
              </w:rPr>
            </w:pPr>
            <w:r>
              <w:rPr>
                <w:rFonts w:hint="eastAsia" w:ascii="宋体" w:hAnsi="宋体"/>
                <w:szCs w:val="21"/>
              </w:rPr>
              <w:t>1.无串通投标行为的承诺函（格式后附）；</w:t>
            </w:r>
            <w:r>
              <w:rPr>
                <w:rFonts w:hint="eastAsia" w:ascii="宋体" w:hAnsi="宋体"/>
                <w:b/>
                <w:szCs w:val="21"/>
              </w:rPr>
              <w:t>（必须提供，否则按无效投标处理）</w:t>
            </w:r>
          </w:p>
          <w:p>
            <w:pPr>
              <w:snapToGrid w:val="0"/>
              <w:spacing w:line="360" w:lineRule="auto"/>
              <w:ind w:left="413"/>
              <w:jc w:val="left"/>
              <w:rPr>
                <w:rFonts w:ascii="宋体" w:hAnsi="宋体"/>
                <w:szCs w:val="21"/>
              </w:rPr>
            </w:pPr>
            <w:r>
              <w:rPr>
                <w:rFonts w:hint="eastAsia" w:ascii="宋体" w:hAnsi="宋体"/>
                <w:szCs w:val="21"/>
              </w:rPr>
              <w:t>2.法定代表人身份证明及法定代表人有效身份证正反面复印件（格式后附）；（除自然人投标外必须提供，否则按无效投标处理）</w:t>
            </w:r>
          </w:p>
          <w:p>
            <w:pPr>
              <w:snapToGrid w:val="0"/>
              <w:spacing w:line="360" w:lineRule="auto"/>
              <w:ind w:left="413"/>
              <w:jc w:val="left"/>
              <w:rPr>
                <w:rFonts w:ascii="宋体" w:hAnsi="宋体"/>
                <w:szCs w:val="21"/>
              </w:rPr>
            </w:pPr>
            <w:r>
              <w:rPr>
                <w:rFonts w:hint="eastAsia" w:ascii="宋体" w:hAnsi="宋体"/>
                <w:szCs w:val="21"/>
              </w:rPr>
              <w:t>3.法定代表人授权委托书及委托代理人有效身份证正反面复印件（格式后附）；（委托时必须提供，否则按无效投标处理）</w:t>
            </w:r>
          </w:p>
          <w:p>
            <w:pPr>
              <w:snapToGrid w:val="0"/>
              <w:spacing w:line="360" w:lineRule="auto"/>
              <w:ind w:left="413"/>
              <w:jc w:val="left"/>
              <w:rPr>
                <w:rFonts w:ascii="宋体" w:hAnsi="宋体"/>
                <w:b/>
                <w:szCs w:val="21"/>
              </w:rPr>
            </w:pPr>
            <w:r>
              <w:rPr>
                <w:rFonts w:hint="eastAsia" w:ascii="宋体" w:hAnsi="宋体"/>
                <w:szCs w:val="21"/>
              </w:rPr>
              <w:t>4</w:t>
            </w:r>
            <w:r>
              <w:rPr>
                <w:rFonts w:ascii="宋体" w:hAnsi="宋体"/>
                <w:szCs w:val="21"/>
              </w:rPr>
              <w:t>.</w:t>
            </w:r>
            <w:r>
              <w:rPr>
                <w:rFonts w:hint="eastAsia" w:ascii="宋体" w:hAnsi="宋体"/>
                <w:szCs w:val="21"/>
              </w:rPr>
              <w:t>商务偏离表（格式后附）；</w:t>
            </w:r>
            <w:r>
              <w:rPr>
                <w:rFonts w:hint="eastAsia" w:ascii="宋体" w:hAnsi="宋体"/>
                <w:b/>
                <w:szCs w:val="21"/>
              </w:rPr>
              <w:t>（必须提供，否则按无效投标处理）</w:t>
            </w:r>
          </w:p>
          <w:p>
            <w:pPr>
              <w:snapToGrid w:val="0"/>
              <w:spacing w:line="360" w:lineRule="auto"/>
              <w:ind w:left="413"/>
              <w:jc w:val="left"/>
              <w:rPr>
                <w:rFonts w:ascii="宋体" w:hAnsi="宋体"/>
                <w:b/>
                <w:szCs w:val="21"/>
              </w:rPr>
            </w:pPr>
            <w:r>
              <w:rPr>
                <w:rFonts w:ascii="宋体" w:hAnsi="宋体"/>
                <w:szCs w:val="21"/>
              </w:rPr>
              <w:t>5</w:t>
            </w:r>
            <w:r>
              <w:rPr>
                <w:rFonts w:hint="eastAsia" w:ascii="宋体" w:hAnsi="宋体"/>
                <w:szCs w:val="21"/>
              </w:rPr>
              <w:t>.售后服务承诺（格式自拟）；</w:t>
            </w:r>
            <w:r>
              <w:rPr>
                <w:rFonts w:hint="eastAsia" w:ascii="宋体" w:hAnsi="宋体"/>
                <w:b/>
                <w:szCs w:val="21"/>
              </w:rPr>
              <w:t>（必须提供，否则按无效投标处理）</w:t>
            </w:r>
          </w:p>
          <w:p>
            <w:pPr>
              <w:snapToGrid w:val="0"/>
              <w:spacing w:line="360" w:lineRule="auto"/>
              <w:ind w:left="413"/>
              <w:jc w:val="left"/>
              <w:rPr>
                <w:rFonts w:ascii="宋体" w:hAnsi="宋体"/>
                <w:szCs w:val="21"/>
              </w:rPr>
            </w:pPr>
            <w:r>
              <w:rPr>
                <w:rFonts w:ascii="宋体" w:hAnsi="宋体"/>
                <w:szCs w:val="21"/>
              </w:rPr>
              <w:t>6</w:t>
            </w:r>
            <w:r>
              <w:rPr>
                <w:rFonts w:hint="eastAsia" w:ascii="宋体" w:hAnsi="宋体"/>
                <w:szCs w:val="21"/>
              </w:rPr>
              <w:t>.投标人情况介绍（格式自拟）；</w:t>
            </w:r>
          </w:p>
          <w:p>
            <w:pPr>
              <w:snapToGrid w:val="0"/>
              <w:spacing w:line="360" w:lineRule="auto"/>
              <w:ind w:left="413"/>
              <w:jc w:val="left"/>
              <w:rPr>
                <w:rFonts w:ascii="宋体" w:hAnsi="宋体"/>
                <w:szCs w:val="21"/>
              </w:rPr>
            </w:pPr>
            <w:r>
              <w:rPr>
                <w:rFonts w:hint="eastAsia" w:ascii="宋体" w:hAnsi="宋体"/>
                <w:szCs w:val="21"/>
              </w:rPr>
              <w:t>7.投标人系统维护的业绩证明文件（如有请提供，格式后附）</w:t>
            </w:r>
          </w:p>
          <w:p>
            <w:pPr>
              <w:snapToGrid w:val="0"/>
              <w:spacing w:line="360" w:lineRule="auto"/>
              <w:ind w:left="413"/>
              <w:jc w:val="left"/>
              <w:rPr>
                <w:rFonts w:ascii="宋体" w:hAnsi="宋体"/>
                <w:szCs w:val="21"/>
              </w:rPr>
            </w:pPr>
            <w:r>
              <w:rPr>
                <w:rFonts w:hint="eastAsia" w:ascii="宋体" w:hAnsi="宋体"/>
                <w:szCs w:val="21"/>
              </w:rPr>
              <w:t>8.项目实施人员一览表（如有请提供，格式后附）；</w:t>
            </w:r>
          </w:p>
          <w:p>
            <w:pPr>
              <w:snapToGrid w:val="0"/>
              <w:spacing w:line="360" w:lineRule="auto"/>
              <w:ind w:left="413"/>
              <w:jc w:val="left"/>
              <w:rPr>
                <w:rFonts w:ascii="宋体" w:hAnsi="宋体"/>
                <w:szCs w:val="21"/>
              </w:rPr>
            </w:pPr>
            <w:r>
              <w:rPr>
                <w:rFonts w:hint="eastAsia" w:ascii="宋体" w:hAnsi="宋体"/>
                <w:szCs w:val="21"/>
              </w:rPr>
              <w:t>9.除招标文件规定必须提供以外，投标人认为需要提供的其他证明材料（格式自拟）。（投标人根据“第二章 采购需求”及“第四章 评标方法及评标标准”提供有关证明材料）。</w:t>
            </w:r>
          </w:p>
          <w:p>
            <w:pPr>
              <w:snapToGrid w:val="0"/>
              <w:spacing w:line="360" w:lineRule="auto"/>
              <w:ind w:firstLine="420" w:firstLineChars="200"/>
              <w:jc w:val="left"/>
              <w:rPr>
                <w:rFonts w:ascii="宋体" w:hAnsi="宋体"/>
                <w:szCs w:val="21"/>
              </w:rPr>
            </w:pPr>
            <w:r>
              <w:rPr>
                <w:rFonts w:hint="eastAsia" w:ascii="宋体" w:hAnsi="宋体"/>
                <w:szCs w:val="21"/>
              </w:rPr>
              <w:t>注： 1.法定代表人授权委托书必须由法定代表人及委托代理人签字（或电子签名），并加盖投标人电子签章，否则按无效投标处理。</w:t>
            </w:r>
          </w:p>
          <w:p>
            <w:pPr>
              <w:snapToGrid w:val="0"/>
              <w:spacing w:line="360" w:lineRule="auto"/>
              <w:ind w:firstLine="420" w:firstLineChars="200"/>
              <w:jc w:val="left"/>
              <w:rPr>
                <w:rFonts w:ascii="宋体" w:hAnsi="宋体"/>
                <w:szCs w:val="21"/>
              </w:rPr>
            </w:pPr>
            <w:r>
              <w:rPr>
                <w:rFonts w:hint="eastAsia" w:ascii="宋体" w:hAnsi="宋体"/>
                <w:szCs w:val="21"/>
              </w:rPr>
              <w:t>2. 以上标明“必须提供”的材料属于复印件的，必须加盖投标人电子签章，否则按无效投标处理。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szCs w:val="21"/>
              </w:rPr>
            </w:pPr>
            <w:bookmarkStart w:id="424" w:name="_13.4"/>
            <w:bookmarkEnd w:id="424"/>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Courier New"/>
                <w:b/>
                <w:szCs w:val="21"/>
              </w:rPr>
            </w:pPr>
            <w:r>
              <w:rPr>
                <w:rFonts w:hint="eastAsia" w:ascii="宋体" w:hAnsi="宋体" w:cs="Courier New"/>
                <w:b/>
                <w:szCs w:val="21"/>
              </w:rPr>
              <w:t>技术文件：</w:t>
            </w:r>
          </w:p>
          <w:p>
            <w:pPr>
              <w:snapToGrid w:val="0"/>
              <w:spacing w:line="360" w:lineRule="auto"/>
              <w:ind w:left="420"/>
              <w:jc w:val="left"/>
              <w:rPr>
                <w:rFonts w:ascii="宋体" w:hAnsi="宋体"/>
                <w:szCs w:val="21"/>
              </w:rPr>
            </w:pPr>
            <w:r>
              <w:rPr>
                <w:rFonts w:ascii="宋体" w:hAnsi="宋体"/>
                <w:szCs w:val="21"/>
              </w:rPr>
              <w:t>1</w:t>
            </w:r>
            <w:r>
              <w:rPr>
                <w:rFonts w:hint="eastAsia" w:ascii="宋体" w:hAnsi="宋体"/>
                <w:szCs w:val="21"/>
              </w:rPr>
              <w:t>.技术偏离表（格式后附）；（</w:t>
            </w:r>
            <w:r>
              <w:rPr>
                <w:rFonts w:hint="eastAsia" w:ascii="宋体" w:hAnsi="宋体"/>
                <w:b/>
                <w:szCs w:val="21"/>
              </w:rPr>
              <w:t>必须提供，否则按无效投标处理</w:t>
            </w:r>
            <w:r>
              <w:rPr>
                <w:rFonts w:hint="eastAsia" w:ascii="宋体" w:hAnsi="宋体"/>
                <w:szCs w:val="21"/>
              </w:rPr>
              <w:t>）</w:t>
            </w:r>
          </w:p>
          <w:p>
            <w:pPr>
              <w:snapToGrid w:val="0"/>
              <w:spacing w:line="360" w:lineRule="auto"/>
              <w:ind w:left="420"/>
              <w:jc w:val="left"/>
              <w:rPr>
                <w:rFonts w:ascii="宋体" w:hAnsi="宋体"/>
                <w:szCs w:val="21"/>
              </w:rPr>
            </w:pPr>
            <w:r>
              <w:rPr>
                <w:rFonts w:ascii="宋体" w:hAnsi="宋体"/>
                <w:szCs w:val="21"/>
              </w:rPr>
              <w:t>2</w:t>
            </w:r>
            <w:r>
              <w:rPr>
                <w:rFonts w:hint="eastAsia" w:ascii="宋体" w:hAnsi="宋体"/>
                <w:szCs w:val="21"/>
              </w:rPr>
              <w:t>.服务方案（格式自拟）【</w:t>
            </w:r>
            <w:r>
              <w:rPr>
                <w:rFonts w:ascii="宋体" w:hAnsi="宋体"/>
                <w:szCs w:val="21"/>
              </w:rPr>
              <w:t>项目运维服务方案、</w:t>
            </w:r>
            <w:r>
              <w:rPr>
                <w:rFonts w:hint="eastAsia" w:ascii="宋体" w:hAnsi="宋体"/>
                <w:szCs w:val="21"/>
              </w:rPr>
              <w:t>安全保障服务方案，</w:t>
            </w:r>
            <w:r>
              <w:rPr>
                <w:rFonts w:ascii="宋体" w:hAnsi="宋体"/>
                <w:szCs w:val="21"/>
              </w:rPr>
              <w:t>应急响应方案、</w:t>
            </w:r>
            <w:r>
              <w:rPr>
                <w:rFonts w:hint="eastAsia" w:ascii="宋体" w:hAnsi="宋体"/>
                <w:szCs w:val="21"/>
              </w:rPr>
              <w:t>以及对</w:t>
            </w:r>
            <w:r>
              <w:rPr>
                <w:rFonts w:ascii="宋体" w:hAnsi="宋体"/>
                <w:szCs w:val="21"/>
              </w:rPr>
              <w:t>运维</w:t>
            </w:r>
            <w:r>
              <w:rPr>
                <w:rFonts w:hint="eastAsia" w:ascii="宋体" w:hAnsi="宋体"/>
                <w:szCs w:val="21"/>
              </w:rPr>
              <w:t>团队</w:t>
            </w:r>
            <w:r>
              <w:rPr>
                <w:rFonts w:ascii="宋体" w:hAnsi="宋体"/>
                <w:szCs w:val="21"/>
              </w:rPr>
              <w:t>管理方案</w:t>
            </w:r>
            <w:r>
              <w:rPr>
                <w:rFonts w:hint="eastAsia" w:ascii="宋体" w:hAnsi="宋体"/>
                <w:szCs w:val="21"/>
              </w:rPr>
              <w:t>】；（如有请提供）</w:t>
            </w:r>
          </w:p>
          <w:p>
            <w:pPr>
              <w:snapToGrid w:val="0"/>
              <w:spacing w:line="360" w:lineRule="auto"/>
              <w:ind w:left="420"/>
              <w:jc w:val="left"/>
              <w:rPr>
                <w:rFonts w:ascii="宋体" w:hAnsi="宋体"/>
                <w:bCs/>
                <w:szCs w:val="21"/>
              </w:rPr>
            </w:pPr>
            <w:r>
              <w:rPr>
                <w:rFonts w:hint="eastAsia" w:ascii="宋体" w:hAnsi="宋体"/>
                <w:szCs w:val="21"/>
              </w:rPr>
              <w:t>3.除招标文件规定必须提供以外，投标人需要说明的其他文件和说明（格式自拟）。</w:t>
            </w:r>
          </w:p>
          <w:p>
            <w:pPr>
              <w:snapToGrid w:val="0"/>
              <w:spacing w:line="360" w:lineRule="auto"/>
              <w:ind w:firstLine="422" w:firstLineChars="200"/>
              <w:jc w:val="left"/>
              <w:rPr>
                <w:rFonts w:ascii="宋体" w:hAnsi="宋体"/>
                <w:b/>
                <w:bCs/>
                <w:szCs w:val="21"/>
              </w:rPr>
            </w:pPr>
            <w:r>
              <w:rPr>
                <w:rFonts w:hint="eastAsia" w:ascii="宋体" w:hAnsi="宋体"/>
                <w:b/>
                <w:bCs/>
                <w:szCs w:val="21"/>
              </w:rPr>
              <w:t>注：以上标明“必须提供”的材料属于复印件的，必须加盖投标人公章，否则</w:t>
            </w:r>
            <w:r>
              <w:rPr>
                <w:rFonts w:hint="eastAsia" w:ascii="宋体" w:hAnsi="宋体" w:cs="Courier New"/>
                <w:b/>
                <w:szCs w:val="21"/>
              </w:rPr>
              <w:t>按无效投标处理</w:t>
            </w:r>
            <w:r>
              <w:rPr>
                <w:rFonts w:hint="eastAsia" w:ascii="宋体" w:hAnsi="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bookmarkStart w:id="425" w:name="_13.5"/>
            <w:bookmarkEnd w:id="425"/>
            <w:r>
              <w:rPr>
                <w:rFonts w:hint="eastAsia" w:ascii="宋体" w:hAnsi="宋体"/>
                <w:szCs w:val="21"/>
              </w:rPr>
              <w:t>13.</w:t>
            </w:r>
            <w:r>
              <w:rPr>
                <w:rFonts w:ascii="宋体" w:hAnsi="宋体"/>
                <w:szCs w:val="21"/>
              </w:rPr>
              <w:t>2</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Courier New"/>
                <w:szCs w:val="21"/>
              </w:rPr>
            </w:pPr>
            <w:r>
              <w:rPr>
                <w:rFonts w:hint="eastAsia" w:ascii="宋体" w:hAnsi="宋体" w:cs="Courier New"/>
                <w:szCs w:val="21"/>
              </w:rPr>
              <w:t>投标文件电子版。投标人在递交投标文件时，同时递交投标文件电子版。</w:t>
            </w:r>
          </w:p>
          <w:p>
            <w:pPr>
              <w:snapToGrid w:val="0"/>
              <w:spacing w:line="360" w:lineRule="auto"/>
              <w:ind w:left="459"/>
              <w:jc w:val="left"/>
              <w:rPr>
                <w:rFonts w:ascii="宋体" w:hAnsi="宋体" w:cs="Courier New"/>
                <w:szCs w:val="21"/>
              </w:rPr>
            </w:pPr>
            <w:r>
              <w:rPr>
                <w:rFonts w:hint="eastAsia" w:ascii="宋体" w:hAnsi="宋体" w:cs="Courier New"/>
                <w:szCs w:val="21"/>
              </w:rPr>
              <w:t>1.投标文件电子版内容：与纸质投标文件全部内容一致。</w:t>
            </w:r>
          </w:p>
          <w:p>
            <w:pPr>
              <w:snapToGrid w:val="0"/>
              <w:spacing w:line="360" w:lineRule="auto"/>
              <w:ind w:left="459"/>
              <w:jc w:val="left"/>
              <w:rPr>
                <w:rFonts w:ascii="宋体" w:hAnsi="宋体" w:cs="Courier New"/>
                <w:szCs w:val="21"/>
              </w:rPr>
            </w:pPr>
            <w:r>
              <w:rPr>
                <w:rFonts w:hint="eastAsia" w:ascii="宋体" w:hAnsi="宋体" w:cs="Courier New"/>
                <w:szCs w:val="21"/>
              </w:rPr>
              <w:t>2.投标文件电子版形式：可编辑的word文档格式1份</w:t>
            </w:r>
            <w:r>
              <w:rPr>
                <w:rFonts w:hint="eastAsia" w:ascii="宋体" w:hAnsi="宋体"/>
                <w:szCs w:val="21"/>
              </w:rPr>
              <w:t>和已签字盖章的投标文件正本的扫描件（PDF格式）</w:t>
            </w:r>
            <w:r>
              <w:rPr>
                <w:rFonts w:hint="eastAsia" w:ascii="宋体" w:hAnsi="宋体" w:cs="Courier New"/>
                <w:szCs w:val="21"/>
              </w:rPr>
              <w:t>1份。</w:t>
            </w:r>
          </w:p>
          <w:p>
            <w:pPr>
              <w:snapToGrid w:val="0"/>
              <w:spacing w:line="360" w:lineRule="auto"/>
              <w:ind w:left="459"/>
              <w:jc w:val="left"/>
              <w:rPr>
                <w:rFonts w:ascii="宋体" w:hAnsi="宋体" w:cs="Courier New"/>
                <w:szCs w:val="21"/>
              </w:rPr>
            </w:pPr>
            <w:r>
              <w:rPr>
                <w:rFonts w:hint="eastAsia" w:ascii="宋体" w:hAnsi="宋体" w:cs="Courier New"/>
                <w:szCs w:val="21"/>
              </w:rPr>
              <w:t>3.投标文件电子版密封方式：投标文件电子版光盘（或者U盘）与纸质版投标文件一并装入投标文件袋中。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bookmarkStart w:id="426" w:name="_16.2"/>
            <w:bookmarkEnd w:id="426"/>
            <w:r>
              <w:rPr>
                <w:rFonts w:hint="eastAsia" w:ascii="宋体" w:hAnsi="宋体"/>
                <w:szCs w:val="21"/>
              </w:rPr>
              <w:t>16</w:t>
            </w:r>
            <w:bookmarkStart w:id="427" w:name="_Hlt19194067"/>
            <w:bookmarkStart w:id="428" w:name="_Hlt19693759"/>
            <w:bookmarkStart w:id="429" w:name="_Hlt19693758"/>
            <w:bookmarkStart w:id="430" w:name="_Hlt19194066"/>
            <w:r>
              <w:rPr>
                <w:rFonts w:hint="eastAsia" w:ascii="宋体" w:hAnsi="宋体"/>
                <w:szCs w:val="21"/>
              </w:rPr>
              <w:t>.</w:t>
            </w:r>
            <w:bookmarkEnd w:id="427"/>
            <w:bookmarkEnd w:id="428"/>
            <w:bookmarkEnd w:id="429"/>
            <w:bookmarkEnd w:id="430"/>
            <w:r>
              <w:rPr>
                <w:rFonts w:hint="eastAsia" w:ascii="宋体" w:hAnsi="宋体"/>
                <w:szCs w:val="21"/>
              </w:rPr>
              <w:t>2</w:t>
            </w:r>
          </w:p>
        </w:tc>
        <w:tc>
          <w:tcPr>
            <w:tcW w:w="831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ascii="宋体" w:hAnsi="宋体"/>
                <w:szCs w:val="21"/>
              </w:rPr>
              <w:t>1、报价是成交供应商完成本项目的全部服务内容及其相关工作所需的全部费用：应包含（但不限于）相关项目方案、设计、开发、安装、调试、验收、技术资料归档、培训、派出工作人员的交通费、住宿费、伙食补助费、临时场地租用费等各种费用和售后服务、税金及其它所有成本费用的总和。</w:t>
            </w:r>
          </w:p>
          <w:p>
            <w:pPr>
              <w:spacing w:line="360" w:lineRule="auto"/>
              <w:rPr>
                <w:rFonts w:ascii="宋体" w:hAnsi="宋体"/>
                <w:szCs w:val="21"/>
              </w:rPr>
            </w:pPr>
            <w:r>
              <w:rPr>
                <w:rFonts w:ascii="宋体" w:hAnsi="宋体"/>
                <w:szCs w:val="21"/>
              </w:rPr>
              <w:t>2、本次报价为固定总价，在合同执行过程及结算时均不允许变更；采购人不再支付任何费用。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bookmarkStart w:id="431" w:name="_17.1"/>
            <w:bookmarkEnd w:id="431"/>
            <w:r>
              <w:rPr>
                <w:rFonts w:hint="eastAsia" w:ascii="宋体" w:hAnsi="宋体"/>
                <w:szCs w:val="21"/>
              </w:rPr>
              <w:t>17.</w:t>
            </w:r>
            <w:r>
              <w:rPr>
                <w:rFonts w:ascii="宋体" w:hAnsi="宋体"/>
                <w:szCs w:val="21"/>
              </w:rPr>
              <w:t>2</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hint="eastAsia" w:ascii="宋体" w:hAnsi="宋体"/>
                <w:szCs w:val="21"/>
              </w:rPr>
              <w:t>投标有效期：自投标截止之日起</w:t>
            </w:r>
            <w:r>
              <w:rPr>
                <w:rFonts w:ascii="宋体" w:hAnsi="宋体"/>
                <w:szCs w:val="21"/>
                <w:u w:val="single"/>
              </w:rPr>
              <w:t xml:space="preserve"> 90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bookmarkStart w:id="432" w:name="_18"/>
            <w:bookmarkEnd w:id="432"/>
            <w:r>
              <w:rPr>
                <w:rFonts w:hint="eastAsia" w:ascii="宋体" w:hAnsi="宋体"/>
                <w:szCs w:val="21"/>
              </w:rPr>
              <w:t>18</w:t>
            </w:r>
            <w:r>
              <w:rPr>
                <w:rFonts w:ascii="宋体" w:hAnsi="宋体"/>
                <w:szCs w:val="21"/>
              </w:rPr>
              <w:t>.1</w:t>
            </w:r>
          </w:p>
        </w:tc>
        <w:tc>
          <w:tcPr>
            <w:tcW w:w="831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szCs w:val="21"/>
              </w:rPr>
            </w:pPr>
            <w:r>
              <w:rPr>
                <w:rFonts w:ascii="Segoe UI Emoji" w:hAnsi="Segoe UI Emoji" w:cs="Segoe UI Emoji"/>
                <w:kern w:val="0"/>
                <w:szCs w:val="21"/>
                <w:lang w:bidi="ar"/>
              </w:rPr>
              <w:t>☑</w:t>
            </w:r>
            <w:r>
              <w:rPr>
                <w:rFonts w:hint="eastAsia" w:ascii="宋体" w:hAnsi="宋体"/>
                <w:szCs w:val="21"/>
              </w:rPr>
              <w:t>本项目不收取投标保证金。</w:t>
            </w:r>
          </w:p>
          <w:p>
            <w:pPr>
              <w:snapToGrid w:val="0"/>
              <w:spacing w:line="360" w:lineRule="auto"/>
              <w:rPr>
                <w:rFonts w:ascii="宋体" w:hAnsi="宋体"/>
                <w:szCs w:val="21"/>
              </w:rPr>
            </w:pPr>
            <w:r>
              <w:rPr>
                <w:rFonts w:hint="eastAsia" w:ascii="宋体" w:hAnsi="宋体"/>
                <w:szCs w:val="21"/>
              </w:rPr>
              <w:t>□本项目收取投标保证金，具体规定如下：</w:t>
            </w:r>
          </w:p>
          <w:p>
            <w:pPr>
              <w:snapToGrid w:val="0"/>
              <w:spacing w:line="360" w:lineRule="auto"/>
              <w:rPr>
                <w:rFonts w:ascii="宋体" w:hAnsi="宋体"/>
                <w:szCs w:val="21"/>
              </w:rPr>
            </w:pPr>
            <w:r>
              <w:rPr>
                <w:rFonts w:hint="eastAsia" w:ascii="宋体" w:hAnsi="宋体"/>
                <w:szCs w:val="21"/>
              </w:rPr>
              <w:t>投标保证金的交纳方式：详见招标公告</w:t>
            </w:r>
          </w:p>
          <w:p>
            <w:pPr>
              <w:snapToGrid w:val="0"/>
              <w:spacing w:line="360" w:lineRule="auto"/>
              <w:rPr>
                <w:rFonts w:ascii="宋体" w:hAnsi="宋体"/>
                <w:szCs w:val="21"/>
              </w:rPr>
            </w:pPr>
            <w:r>
              <w:rPr>
                <w:rFonts w:hint="eastAsia" w:ascii="宋体" w:hAnsi="宋体"/>
                <w:szCs w:val="21"/>
              </w:rPr>
              <w:t>投标保证金的金额：详见招标公告</w:t>
            </w:r>
          </w:p>
          <w:p>
            <w:pPr>
              <w:snapToGrid w:val="0"/>
              <w:spacing w:line="360" w:lineRule="auto"/>
              <w:rPr>
                <w:rFonts w:ascii="宋体" w:hAnsi="宋体"/>
                <w:szCs w:val="21"/>
              </w:rPr>
            </w:pPr>
            <w:r>
              <w:rPr>
                <w:rFonts w:hint="eastAsia" w:ascii="宋体" w:hAnsi="宋体"/>
                <w:szCs w:val="21"/>
              </w:rPr>
              <w:t>相关要求：</w:t>
            </w:r>
          </w:p>
          <w:p>
            <w:pPr>
              <w:pStyle w:val="16"/>
              <w:spacing w:line="360" w:lineRule="auto"/>
              <w:rPr>
                <w:rFonts w:ascii="宋体" w:hAnsi="宋体"/>
                <w:szCs w:val="21"/>
              </w:rPr>
            </w:pPr>
            <w:r>
              <w:rPr>
                <w:rFonts w:hint="eastAsia" w:ascii="宋体" w:hAnsi="宋体"/>
                <w:szCs w:val="21"/>
              </w:rPr>
              <w:t>1.投标保证金采用银行转账交纳方式的，在投标截止时间前交至采购代理机构指定账户并且到账，投标人应将银行转账底单的复印件作为投标保证金提交凭证，</w:t>
            </w:r>
            <w:r>
              <w:rPr>
                <w:rFonts w:ascii="宋体" w:hAnsi="宋体"/>
                <w:szCs w:val="21"/>
              </w:rPr>
              <w:t>放置于</w:t>
            </w:r>
            <w:r>
              <w:rPr>
                <w:rFonts w:hint="eastAsia" w:ascii="宋体" w:hAnsi="宋体"/>
                <w:szCs w:val="21"/>
              </w:rPr>
              <w:t>商务文件</w:t>
            </w:r>
            <w:r>
              <w:rPr>
                <w:rFonts w:ascii="宋体" w:hAnsi="宋体"/>
                <w:szCs w:val="21"/>
              </w:rPr>
              <w:t>中</w:t>
            </w:r>
            <w:r>
              <w:rPr>
                <w:rFonts w:hint="eastAsia" w:ascii="宋体" w:hAnsi="宋体"/>
                <w:szCs w:val="21"/>
              </w:rPr>
              <w:t>，</w:t>
            </w:r>
            <w:r>
              <w:rPr>
                <w:rFonts w:hint="eastAsia" w:ascii="宋体" w:hAnsi="宋体"/>
                <w:b/>
                <w:szCs w:val="21"/>
              </w:rPr>
              <w:t>否则投标无效</w:t>
            </w:r>
            <w:r>
              <w:rPr>
                <w:rFonts w:hint="eastAsia" w:ascii="宋体" w:hAnsi="宋体"/>
                <w:szCs w:val="21"/>
              </w:rPr>
              <w:t>。</w:t>
            </w:r>
          </w:p>
          <w:p>
            <w:pPr>
              <w:snapToGrid w:val="0"/>
              <w:spacing w:line="360" w:lineRule="auto"/>
              <w:rPr>
                <w:rFonts w:ascii="宋体" w:hAnsi="宋体"/>
                <w:szCs w:val="21"/>
              </w:rPr>
            </w:pPr>
            <w:r>
              <w:rPr>
                <w:rFonts w:hint="eastAsia" w:ascii="宋体" w:hAnsi="宋体"/>
                <w:szCs w:val="21"/>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宋体" w:hAnsi="宋体"/>
                <w:b/>
                <w:szCs w:val="21"/>
              </w:rPr>
              <w:t>否则投标无效</w:t>
            </w:r>
            <w:r>
              <w:rPr>
                <w:rFonts w:hint="eastAsia" w:ascii="宋体" w:hAnsi="宋体"/>
                <w:szCs w:val="21"/>
              </w:rPr>
              <w:t>。投标人必须于递交投标文件时将支票、汇票、本票或者金融、担保机构出具的保函原件提交给采购人或者采购代理机构，由采购人或者采购代理机构向投标人出具回执，并妥善保管。</w:t>
            </w:r>
          </w:p>
          <w:p>
            <w:pPr>
              <w:snapToGrid w:val="0"/>
              <w:spacing w:line="360" w:lineRule="auto"/>
              <w:rPr>
                <w:rFonts w:ascii="宋体" w:hAnsi="宋体"/>
                <w:szCs w:val="21"/>
              </w:rPr>
            </w:pPr>
            <w:r>
              <w:rPr>
                <w:rFonts w:hint="eastAsia" w:ascii="宋体" w:hAnsi="宋体"/>
                <w:szCs w:val="21"/>
              </w:rPr>
              <w:t>3.投标保证金</w:t>
            </w:r>
            <w:r>
              <w:rPr>
                <w:rFonts w:hint="eastAsia" w:ascii="宋体" w:hAnsi="宋体"/>
                <w:szCs w:val="21"/>
                <w:lang w:eastAsia="zh-CN"/>
              </w:rPr>
              <w:t>指定账户</w:t>
            </w:r>
            <w:r>
              <w:rPr>
                <w:rFonts w:hint="eastAsia" w:ascii="宋体" w:hAnsi="宋体"/>
                <w:szCs w:val="21"/>
              </w:rPr>
              <w:t>：详见招标公告。</w:t>
            </w:r>
          </w:p>
          <w:p>
            <w:pPr>
              <w:snapToGrid w:val="0"/>
              <w:spacing w:line="360" w:lineRule="auto"/>
              <w:rPr>
                <w:rFonts w:ascii="宋体" w:hAnsi="宋体"/>
                <w:szCs w:val="21"/>
              </w:rPr>
            </w:pPr>
            <w:r>
              <w:rPr>
                <w:rFonts w:hint="eastAsia" w:ascii="宋体" w:hAnsi="宋体" w:cs="宋体"/>
                <w:szCs w:val="21"/>
              </w:rPr>
              <w:t>4.投标人为联合体的，可以由联合体中的一方或者多方共同交纳投标保证金，其交纳的保证金对联合体各方均具有约束力。</w:t>
            </w:r>
          </w:p>
          <w:p>
            <w:pPr>
              <w:snapToGrid w:val="0"/>
              <w:spacing w:line="360" w:lineRule="auto"/>
              <w:rPr>
                <w:rFonts w:ascii="宋体" w:hAnsi="宋体"/>
                <w:b/>
                <w:szCs w:val="21"/>
              </w:rPr>
            </w:pPr>
            <w:r>
              <w:rPr>
                <w:rFonts w:hint="eastAsia" w:ascii="宋体" w:hAnsi="宋体"/>
                <w:b/>
                <w:szCs w:val="21"/>
              </w:rPr>
              <w:t xml:space="preserve">备注： </w:t>
            </w:r>
          </w:p>
          <w:p>
            <w:pPr>
              <w:snapToGrid w:val="0"/>
              <w:spacing w:line="360" w:lineRule="auto"/>
              <w:rPr>
                <w:rFonts w:ascii="宋体" w:hAnsi="宋体"/>
                <w:b/>
                <w:szCs w:val="21"/>
              </w:rPr>
            </w:pPr>
            <w:r>
              <w:rPr>
                <w:rFonts w:hint="eastAsia" w:ascii="宋体" w:hAnsi="宋体"/>
                <w:b/>
                <w:szCs w:val="21"/>
              </w:rPr>
              <w:t>1. 投标保证金在投标截止时间后提交的，或者不按规定交纳方式交纳的，或者未足额交纳的（包含保函额度不足的），视为无效投标保证金。</w:t>
            </w:r>
          </w:p>
          <w:p>
            <w:pPr>
              <w:snapToGrid w:val="0"/>
              <w:spacing w:line="360" w:lineRule="auto"/>
              <w:rPr>
                <w:rFonts w:ascii="宋体" w:hAnsi="宋体"/>
                <w:b/>
                <w:szCs w:val="21"/>
              </w:rPr>
            </w:pPr>
            <w:r>
              <w:rPr>
                <w:rFonts w:hint="eastAsia" w:ascii="宋体" w:hAnsi="宋体"/>
                <w:b/>
                <w:szCs w:val="21"/>
              </w:rPr>
              <w:t>2.投标人采用现钞方式或者从个人账户（自然人投标除外）转出的投标保证金，视为无效投标保证金。</w:t>
            </w:r>
          </w:p>
          <w:p>
            <w:pPr>
              <w:snapToGrid w:val="0"/>
              <w:spacing w:line="360" w:lineRule="auto"/>
              <w:rPr>
                <w:rFonts w:ascii="宋体" w:hAnsi="宋体"/>
                <w:b/>
                <w:szCs w:val="21"/>
              </w:rPr>
            </w:pPr>
            <w:r>
              <w:rPr>
                <w:rFonts w:hint="eastAsia" w:ascii="宋体" w:hAnsi="宋体"/>
                <w:b/>
                <w:szCs w:val="21"/>
              </w:rPr>
              <w:t>3.支票、汇票或者本票出现无效或者背书情形的，视为无效投标保证金。</w:t>
            </w:r>
          </w:p>
          <w:p>
            <w:pPr>
              <w:snapToGrid w:val="0"/>
              <w:spacing w:line="360" w:lineRule="auto"/>
              <w:rPr>
                <w:rFonts w:ascii="宋体" w:hAnsi="宋体"/>
                <w:b/>
                <w:szCs w:val="21"/>
              </w:rPr>
            </w:pPr>
            <w:r>
              <w:rPr>
                <w:rFonts w:hint="eastAsia" w:ascii="宋体" w:hAnsi="宋体"/>
                <w:b/>
                <w:szCs w:val="21"/>
              </w:rPr>
              <w:t>4.保函有效期低于投标有效期的，视为无效投标保证金。</w:t>
            </w:r>
          </w:p>
          <w:p>
            <w:pPr>
              <w:snapToGrid w:val="0"/>
              <w:spacing w:line="360" w:lineRule="auto"/>
              <w:rPr>
                <w:rFonts w:ascii="宋体" w:hAnsi="宋体"/>
                <w:b/>
                <w:szCs w:val="21"/>
              </w:rPr>
            </w:pPr>
            <w:r>
              <w:rPr>
                <w:rFonts w:hint="eastAsia" w:ascii="宋体" w:hAnsi="宋体"/>
                <w:b/>
                <w:szCs w:val="21"/>
              </w:rPr>
              <w:t>5.采用金融、担保机构出具保函的，必须为无条件保函，否则视为无效投标保证金。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33" w:name="_19.2"/>
            <w:bookmarkEnd w:id="433"/>
            <w:r>
              <w:rPr>
                <w:rFonts w:hint="eastAsia" w:ascii="宋体" w:hAnsi="宋体"/>
                <w:szCs w:val="21"/>
              </w:rPr>
              <w:t>19.2</w:t>
            </w:r>
          </w:p>
        </w:tc>
        <w:tc>
          <w:tcPr>
            <w:tcW w:w="831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szCs w:val="21"/>
              </w:rPr>
            </w:pPr>
            <w:r>
              <w:rPr>
                <w:rFonts w:hint="eastAsia" w:ascii="宋体" w:hAnsi="宋体" w:cs="宋体"/>
                <w:szCs w:val="21"/>
              </w:rPr>
              <w:t>投标文件编制要求</w:t>
            </w:r>
            <w:r>
              <w:rPr>
                <w:rFonts w:hint="eastAsia" w:ascii="宋体" w:hAnsi="宋体"/>
                <w:szCs w:val="21"/>
              </w:rPr>
              <w:t>：</w:t>
            </w:r>
          </w:p>
          <w:p>
            <w:pPr>
              <w:autoSpaceDE w:val="0"/>
              <w:autoSpaceDN w:val="0"/>
              <w:snapToGrid w:val="0"/>
              <w:spacing w:line="360" w:lineRule="auto"/>
              <w:textAlignment w:val="bottom"/>
              <w:rPr>
                <w:rFonts w:ascii="宋体" w:hAnsi="宋体"/>
                <w:szCs w:val="21"/>
              </w:rPr>
            </w:pPr>
            <w:r>
              <w:rPr>
                <w:rFonts w:hint="eastAsia" w:ascii="宋体" w:hAnsi="宋体" w:cs="宋体"/>
                <w:szCs w:val="21"/>
              </w:rPr>
              <w:t>资格证明文件、报价文件、商务文件、技术文件可分别编制并生成电子文件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34" w:name="_21.1"/>
            <w:bookmarkEnd w:id="434"/>
            <w:r>
              <w:rPr>
                <w:rFonts w:hint="eastAsia" w:ascii="宋体" w:hAnsi="宋体"/>
                <w:szCs w:val="21"/>
              </w:rPr>
              <w:t>21.1</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u w:val="single"/>
              </w:rPr>
            </w:pPr>
            <w:r>
              <w:rPr>
                <w:rFonts w:hint="eastAsia" w:ascii="宋体" w:hAnsi="宋体"/>
                <w:szCs w:val="21"/>
              </w:rPr>
              <w:t>1.投标截止时间：详见招标公告</w:t>
            </w:r>
          </w:p>
          <w:p>
            <w:pPr>
              <w:snapToGrid w:val="0"/>
              <w:spacing w:line="360" w:lineRule="auto"/>
              <w:rPr>
                <w:rFonts w:ascii="宋体" w:hAnsi="宋体"/>
                <w:szCs w:val="21"/>
              </w:rPr>
            </w:pPr>
            <w:r>
              <w:rPr>
                <w:rFonts w:hint="eastAsia" w:ascii="宋体" w:hAnsi="宋体"/>
                <w:szCs w:val="21"/>
              </w:rPr>
              <w:t>2.投标文件提交起止时间：详见招标公告</w:t>
            </w:r>
          </w:p>
          <w:p>
            <w:pPr>
              <w:snapToGrid w:val="0"/>
              <w:spacing w:line="360" w:lineRule="auto"/>
              <w:rPr>
                <w:rFonts w:ascii="宋体" w:hAnsi="宋体"/>
                <w:szCs w:val="21"/>
              </w:rPr>
            </w:pPr>
            <w:r>
              <w:rPr>
                <w:rFonts w:hint="eastAsia" w:ascii="宋体" w:hAnsi="宋体"/>
                <w:szCs w:val="21"/>
              </w:rPr>
              <w:t>3.投标地点：详见招标公告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35" w:name="_23"/>
            <w:bookmarkEnd w:id="435"/>
            <w:r>
              <w:rPr>
                <w:rFonts w:hint="eastAsia" w:ascii="宋体" w:hAnsi="宋体"/>
                <w:szCs w:val="21"/>
              </w:rPr>
              <w:t>23</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hint="eastAsia" w:ascii="宋体" w:hAnsi="宋体"/>
                <w:szCs w:val="21"/>
              </w:rPr>
              <w:t>1.开标时间：详见招标公告</w:t>
            </w:r>
          </w:p>
          <w:p>
            <w:pPr>
              <w:snapToGrid w:val="0"/>
              <w:spacing w:line="360" w:lineRule="auto"/>
              <w:rPr>
                <w:rFonts w:ascii="宋体" w:hAnsi="宋体"/>
                <w:szCs w:val="21"/>
              </w:rPr>
            </w:pPr>
            <w:r>
              <w:rPr>
                <w:rFonts w:hint="eastAsia" w:ascii="宋体" w:hAnsi="宋体"/>
                <w:szCs w:val="21"/>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24（</w:t>
            </w:r>
            <w:r>
              <w:rPr>
                <w:rFonts w:ascii="宋体" w:hAnsi="宋体"/>
                <w:szCs w:val="21"/>
              </w:rPr>
              <w:t>3</w:t>
            </w:r>
            <w:r>
              <w:rPr>
                <w:rFonts w:hint="eastAsia" w:ascii="宋体" w:hAnsi="宋体"/>
                <w:szCs w:val="21"/>
              </w:rPr>
              <w:t>）</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hint="eastAsia" w:hAnsi="宋体"/>
              </w:rPr>
              <w:t>电子投标文件解密时间：</w:t>
            </w:r>
            <w:r>
              <w:rPr>
                <w:rFonts w:hAnsi="宋体"/>
                <w:u w:val="single"/>
              </w:rPr>
              <w:t>30</w:t>
            </w:r>
            <w:r>
              <w:rPr>
                <w:rFonts w:hint="eastAsia" w:hAnsi="宋体"/>
                <w:u w:val="single"/>
              </w:rPr>
              <w:t xml:space="preserve"> </w:t>
            </w:r>
            <w:r>
              <w:rPr>
                <w:rFonts w:hint="eastAsia" w:hAnsi="宋体"/>
              </w:rPr>
              <w:t>分钟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36" w:name="_25.3"/>
            <w:bookmarkEnd w:id="436"/>
            <w:r>
              <w:rPr>
                <w:rFonts w:hint="eastAsia" w:ascii="宋体" w:hAnsi="宋体"/>
                <w:szCs w:val="21"/>
              </w:rPr>
              <w:t>25.3（2）</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hint="eastAsia" w:ascii="宋体" w:hAnsi="宋体"/>
                <w:szCs w:val="21"/>
              </w:rPr>
              <w:t>采购人或者采购代理机构在资格审查结束前，对投标人进行信用查询。</w:t>
            </w:r>
          </w:p>
          <w:p>
            <w:pPr>
              <w:snapToGrid w:val="0"/>
              <w:spacing w:line="360" w:lineRule="auto"/>
              <w:rPr>
                <w:rFonts w:ascii="宋体" w:hAnsi="宋体"/>
                <w:szCs w:val="21"/>
              </w:rPr>
            </w:pPr>
            <w:r>
              <w:rPr>
                <w:rFonts w:hint="eastAsia" w:ascii="宋体" w:hAnsi="宋体"/>
                <w:szCs w:val="21"/>
              </w:rPr>
              <w:t>查询渠道：“信用中国”网站(www.creditchina.gov.cn) 、中国政府采购网(www.ccgp.gov.cn)。</w:t>
            </w:r>
          </w:p>
          <w:p>
            <w:pPr>
              <w:snapToGrid w:val="0"/>
              <w:spacing w:line="360" w:lineRule="auto"/>
              <w:rPr>
                <w:rFonts w:ascii="宋体" w:hAnsi="宋体"/>
                <w:szCs w:val="21"/>
              </w:rPr>
            </w:pPr>
            <w:r>
              <w:rPr>
                <w:rFonts w:hint="eastAsia" w:ascii="宋体" w:hAnsi="宋体"/>
                <w:szCs w:val="21"/>
              </w:rPr>
              <w:t>信用查询截止时点：资格审查结束前</w:t>
            </w:r>
          </w:p>
          <w:p>
            <w:pPr>
              <w:snapToGrid w:val="0"/>
              <w:spacing w:line="360" w:lineRule="auto"/>
              <w:rPr>
                <w:rFonts w:ascii="宋体" w:hAnsi="宋体"/>
                <w:szCs w:val="21"/>
              </w:rPr>
            </w:pPr>
            <w:r>
              <w:rPr>
                <w:rFonts w:hint="eastAsia" w:ascii="宋体" w:hAnsi="宋体"/>
                <w:szCs w:val="21"/>
              </w:rPr>
              <w:t>查询记录和证据留存方式：在查询网站中直接打印查询记录，打印材料作为评审资料保存。</w:t>
            </w:r>
          </w:p>
          <w:p>
            <w:pPr>
              <w:snapToGrid w:val="0"/>
              <w:spacing w:line="360" w:lineRule="auto"/>
              <w:rPr>
                <w:rFonts w:ascii="宋体" w:hAnsi="宋体"/>
                <w:b/>
                <w:szCs w:val="21"/>
              </w:rPr>
            </w:pPr>
            <w:r>
              <w:rPr>
                <w:rFonts w:hint="eastAsia" w:ascii="宋体" w:hAnsi="宋体"/>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37" w:name="_26"/>
            <w:bookmarkEnd w:id="437"/>
            <w:r>
              <w:rPr>
                <w:rFonts w:hint="eastAsia" w:ascii="宋体" w:hAnsi="宋体"/>
                <w:szCs w:val="21"/>
              </w:rPr>
              <w:t>26</w:t>
            </w:r>
          </w:p>
        </w:tc>
        <w:tc>
          <w:tcPr>
            <w:tcW w:w="831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szCs w:val="21"/>
              </w:rPr>
            </w:pPr>
            <w:r>
              <w:rPr>
                <w:rFonts w:hint="eastAsia" w:ascii="宋体" w:hAnsi="宋体"/>
                <w:szCs w:val="21"/>
              </w:rPr>
              <w:t>评标委员会的人数：</w:t>
            </w:r>
            <w:r>
              <w:rPr>
                <w:rFonts w:hint="eastAsia" w:ascii="宋体" w:hAnsi="宋体"/>
                <w:szCs w:val="21"/>
                <w:u w:val="single"/>
              </w:rPr>
              <w:t xml:space="preserve">  </w:t>
            </w:r>
            <w:r>
              <w:rPr>
                <w:rFonts w:ascii="宋体" w:hAnsi="宋体"/>
                <w:szCs w:val="21"/>
                <w:u w:val="single"/>
              </w:rPr>
              <w:t>5</w:t>
            </w:r>
            <w:r>
              <w:rPr>
                <w:rFonts w:hint="eastAsia" w:ascii="宋体" w:hAnsi="宋体"/>
                <w:szCs w:val="21"/>
                <w:u w:val="single"/>
              </w:rPr>
              <w:t xml:space="preserve">  </w:t>
            </w:r>
            <w:r>
              <w:rPr>
                <w:rFonts w:hint="eastAsia" w:ascii="宋体" w:hAnsi="宋体"/>
                <w:szCs w:val="21"/>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38" w:name="_28.3"/>
            <w:bookmarkEnd w:id="438"/>
            <w:r>
              <w:rPr>
                <w:rFonts w:ascii="宋体" w:hAnsi="宋体"/>
                <w:szCs w:val="21"/>
              </w:rPr>
              <w:t>29.1</w:t>
            </w:r>
          </w:p>
        </w:tc>
        <w:tc>
          <w:tcPr>
            <w:tcW w:w="831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szCs w:val="21"/>
              </w:rPr>
            </w:pPr>
            <w:r>
              <w:rPr>
                <w:rFonts w:hint="eastAsia" w:ascii="宋体" w:hAnsi="宋体"/>
                <w:szCs w:val="21"/>
              </w:rPr>
              <w:t>评标方法：</w:t>
            </w:r>
          </w:p>
          <w:p>
            <w:pPr>
              <w:autoSpaceDE w:val="0"/>
              <w:autoSpaceDN w:val="0"/>
              <w:snapToGrid w:val="0"/>
              <w:spacing w:line="360" w:lineRule="auto"/>
              <w:textAlignment w:val="bottom"/>
              <w:rPr>
                <w:rFonts w:ascii="宋体" w:hAnsi="宋体"/>
                <w:szCs w:val="21"/>
              </w:rPr>
            </w:pPr>
            <w:r>
              <w:rPr>
                <w:rFonts w:ascii="Segoe UI Emoji" w:hAnsi="Segoe UI Emoji" w:cs="Segoe UI Emoji"/>
                <w:kern w:val="0"/>
                <w:szCs w:val="21"/>
                <w:lang w:bidi="ar"/>
              </w:rPr>
              <w:t>☑</w:t>
            </w:r>
            <w:r>
              <w:rPr>
                <w:rFonts w:hint="eastAsia" w:ascii="宋体" w:hAnsi="宋体"/>
                <w:szCs w:val="21"/>
              </w:rPr>
              <w:t>综合评分法</w:t>
            </w:r>
          </w:p>
          <w:p>
            <w:pPr>
              <w:autoSpaceDE w:val="0"/>
              <w:autoSpaceDN w:val="0"/>
              <w:snapToGrid w:val="0"/>
              <w:spacing w:line="360" w:lineRule="auto"/>
              <w:textAlignment w:val="bottom"/>
              <w:rPr>
                <w:rFonts w:ascii="宋体" w:hAnsi="宋体"/>
                <w:szCs w:val="21"/>
              </w:rPr>
            </w:pPr>
            <w:r>
              <w:rPr>
                <w:rFonts w:hint="eastAsia" w:ascii="宋体" w:hAnsi="宋体"/>
                <w:szCs w:val="21"/>
              </w:rPr>
              <w:t>□最低评标报价法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17" w:type="dxa"/>
            <w:tcBorders>
              <w:top w:val="single" w:color="auto" w:sz="4" w:space="0"/>
              <w:left w:val="single" w:color="auto" w:sz="4" w:space="0"/>
              <w:right w:val="single" w:color="auto" w:sz="4" w:space="0"/>
            </w:tcBorders>
            <w:vAlign w:val="center"/>
          </w:tcPr>
          <w:p>
            <w:pPr>
              <w:spacing w:line="360" w:lineRule="auto"/>
              <w:jc w:val="center"/>
              <w:rPr>
                <w:rFonts w:ascii="宋体" w:hAnsi="宋体"/>
                <w:szCs w:val="21"/>
              </w:rPr>
            </w:pPr>
            <w:bookmarkStart w:id="439" w:name="_29.2.2（2）"/>
            <w:bookmarkEnd w:id="439"/>
            <w:r>
              <w:rPr>
                <w:rFonts w:hint="eastAsia" w:ascii="宋体" w:hAnsi="宋体"/>
                <w:szCs w:val="21"/>
              </w:rPr>
              <w:t>29</w:t>
            </w:r>
            <w:r>
              <w:rPr>
                <w:rFonts w:ascii="宋体" w:hAnsi="宋体"/>
                <w:szCs w:val="21"/>
              </w:rPr>
              <w:t>.2</w:t>
            </w:r>
          </w:p>
        </w:tc>
        <w:tc>
          <w:tcPr>
            <w:tcW w:w="8318" w:type="dxa"/>
            <w:tcBorders>
              <w:top w:val="single" w:color="auto" w:sz="4" w:space="0"/>
              <w:left w:val="single" w:color="auto" w:sz="4" w:space="0"/>
              <w:right w:val="single" w:color="auto" w:sz="4" w:space="0"/>
            </w:tcBorders>
            <w:vAlign w:val="center"/>
          </w:tcPr>
          <w:p>
            <w:pPr>
              <w:snapToGrid w:val="0"/>
              <w:spacing w:line="380" w:lineRule="exact"/>
              <w:rPr>
                <w:rFonts w:ascii="宋体" w:hAnsi="宋体"/>
                <w:b/>
                <w:color w:val="000000"/>
                <w:szCs w:val="21"/>
              </w:rPr>
            </w:pPr>
            <w:r>
              <w:rPr>
                <w:rFonts w:hint="eastAsia" w:ascii="宋体" w:hAnsi="宋体" w:cs="宋体"/>
                <w:b/>
                <w:color w:val="000000"/>
                <w:szCs w:val="21"/>
              </w:rPr>
              <w:t>商务条款</w:t>
            </w:r>
            <w:r>
              <w:rPr>
                <w:rFonts w:hint="eastAsia" w:ascii="宋体" w:hAnsi="宋体"/>
                <w:b/>
                <w:color w:val="000000"/>
                <w:szCs w:val="21"/>
              </w:rPr>
              <w:t>评审中允许负偏离的条款数为</w:t>
            </w:r>
            <w:r>
              <w:rPr>
                <w:rFonts w:hint="eastAsia" w:ascii="宋体" w:hAnsi="宋体"/>
                <w:b/>
                <w:color w:val="000000"/>
                <w:szCs w:val="21"/>
                <w:u w:val="single"/>
              </w:rPr>
              <w:t xml:space="preserve">  0  </w:t>
            </w:r>
            <w:r>
              <w:rPr>
                <w:rFonts w:hint="eastAsia" w:ascii="宋体" w:hAnsi="宋体"/>
                <w:b/>
                <w:color w:val="000000"/>
                <w:szCs w:val="21"/>
              </w:rPr>
              <w:t>项。</w:t>
            </w:r>
          </w:p>
          <w:p>
            <w:pPr>
              <w:snapToGrid w:val="0"/>
              <w:spacing w:line="360" w:lineRule="auto"/>
              <w:rPr>
                <w:rFonts w:ascii="宋体" w:hAnsi="宋体"/>
                <w:szCs w:val="21"/>
              </w:rPr>
            </w:pPr>
            <w:r>
              <w:rPr>
                <w:rFonts w:hint="eastAsia" w:ascii="宋体" w:hAnsi="宋体" w:cs="宋体"/>
                <w:b/>
                <w:color w:val="000000"/>
                <w:szCs w:val="21"/>
              </w:rPr>
              <w:t>技术需求</w:t>
            </w:r>
            <w:r>
              <w:rPr>
                <w:rFonts w:hint="eastAsia" w:ascii="宋体" w:hAnsi="宋体"/>
                <w:b/>
                <w:color w:val="000000"/>
                <w:szCs w:val="21"/>
              </w:rPr>
              <w:t>评审中允许负偏离的条款数为</w:t>
            </w:r>
            <w:r>
              <w:rPr>
                <w:rFonts w:hint="eastAsia" w:ascii="宋体" w:hAnsi="宋体"/>
                <w:b/>
                <w:color w:val="000000"/>
                <w:szCs w:val="21"/>
                <w:u w:val="single"/>
              </w:rPr>
              <w:t xml:space="preserve">  0  </w:t>
            </w:r>
            <w:r>
              <w:rPr>
                <w:rFonts w:hint="eastAsia" w:ascii="宋体" w:hAnsi="宋体"/>
                <w:b/>
                <w:color w:val="000000"/>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30</w:t>
            </w:r>
            <w:r>
              <w:rPr>
                <w:rFonts w:ascii="宋体" w:hAnsi="宋体"/>
                <w:szCs w:val="21"/>
              </w:rPr>
              <w:t>.1</w:t>
            </w:r>
          </w:p>
        </w:tc>
        <w:tc>
          <w:tcPr>
            <w:tcW w:w="831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szCs w:val="21"/>
              </w:rPr>
            </w:pPr>
            <w:r>
              <w:rPr>
                <w:rFonts w:hint="eastAsia" w:ascii="宋体" w:hAnsi="宋体"/>
                <w:szCs w:val="21"/>
              </w:rPr>
              <w:t>采购人确定中标人时，出现中标候选人并列的情形，采购人按以下的方式确定中标人：</w:t>
            </w:r>
          </w:p>
          <w:p>
            <w:pPr>
              <w:autoSpaceDE w:val="0"/>
              <w:autoSpaceDN w:val="0"/>
              <w:snapToGrid w:val="0"/>
              <w:spacing w:line="360" w:lineRule="auto"/>
              <w:textAlignment w:val="bottom"/>
              <w:rPr>
                <w:rFonts w:ascii="宋体" w:hAnsi="宋体"/>
                <w:szCs w:val="21"/>
              </w:rPr>
            </w:pPr>
            <w:r>
              <w:rPr>
                <w:rFonts w:ascii="Segoe UI Emoji" w:hAnsi="Segoe UI Emoji" w:cs="Segoe UI Emoji"/>
                <w:kern w:val="0"/>
                <w:szCs w:val="21"/>
                <w:lang w:bidi="ar"/>
              </w:rPr>
              <w:t>☑</w:t>
            </w:r>
            <w:r>
              <w:rPr>
                <w:rFonts w:hint="eastAsia"/>
              </w:rPr>
              <w:t>以投标报价由低到高顺序排列。得分相同且投标报价相同的并列，投标文件满足招标文件全部实质性要求，且按照评审因素的量化指标服务方案、人员配置、履约能分评审得分等得分高低依次确定</w:t>
            </w:r>
            <w:r>
              <w:rPr>
                <w:rFonts w:hint="eastAsia" w:ascii="宋体" w:hAnsi="宋体"/>
                <w:szCs w:val="21"/>
              </w:rPr>
              <w:t>；</w:t>
            </w:r>
          </w:p>
          <w:p>
            <w:pPr>
              <w:snapToGrid w:val="0"/>
              <w:spacing w:line="360" w:lineRule="auto"/>
              <w:rPr>
                <w:rFonts w:ascii="宋体" w:hAnsi="宋体"/>
                <w:b/>
                <w:szCs w:val="21"/>
              </w:rPr>
            </w:pPr>
            <w:r>
              <w:rPr>
                <w:rFonts w:hint="eastAsia" w:ascii="宋体" w:hAnsi="宋体"/>
                <w:szCs w:val="21"/>
              </w:rPr>
              <w:t>□随机抽取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40" w:name="_39.1"/>
            <w:bookmarkEnd w:id="440"/>
            <w:r>
              <w:rPr>
                <w:rFonts w:hint="eastAsia" w:ascii="宋体" w:hAnsi="宋体"/>
                <w:szCs w:val="21"/>
              </w:rPr>
              <w:t>35</w:t>
            </w:r>
            <w:r>
              <w:rPr>
                <w:rFonts w:ascii="宋体" w:hAnsi="宋体"/>
                <w:szCs w:val="21"/>
              </w:rPr>
              <w:t>.1</w:t>
            </w:r>
          </w:p>
        </w:tc>
        <w:tc>
          <w:tcPr>
            <w:tcW w:w="831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szCs w:val="21"/>
              </w:rPr>
            </w:pPr>
            <w:r>
              <w:rPr>
                <w:rFonts w:hint="eastAsia" w:ascii="宋体" w:hAnsi="宋体"/>
                <w:szCs w:val="21"/>
              </w:rPr>
              <w:t>□本项目不收取履约保证金。</w:t>
            </w:r>
          </w:p>
          <w:p>
            <w:pPr>
              <w:snapToGrid w:val="0"/>
              <w:spacing w:line="360" w:lineRule="auto"/>
              <w:rPr>
                <w:rFonts w:ascii="宋体" w:hAnsi="宋体"/>
                <w:szCs w:val="21"/>
              </w:rPr>
            </w:pPr>
            <w:r>
              <w:rPr>
                <w:rFonts w:ascii="Segoe UI Emoji" w:hAnsi="Segoe UI Emoji" w:cs="Segoe UI Emoji"/>
                <w:kern w:val="0"/>
                <w:szCs w:val="21"/>
                <w:lang w:bidi="ar"/>
              </w:rPr>
              <w:t>☑</w:t>
            </w:r>
            <w:r>
              <w:rPr>
                <w:rFonts w:hint="eastAsia" w:ascii="宋体" w:hAnsi="宋体"/>
                <w:szCs w:val="21"/>
              </w:rPr>
              <w:t>本项目收取履约保证金，具体规定如下：</w:t>
            </w:r>
          </w:p>
          <w:p>
            <w:pPr>
              <w:autoSpaceDE w:val="0"/>
              <w:autoSpaceDN w:val="0"/>
              <w:spacing w:line="360" w:lineRule="auto"/>
              <w:contextualSpacing/>
              <w:textAlignment w:val="bottom"/>
              <w:rPr>
                <w:rFonts w:ascii="宋体" w:hAnsi="宋体"/>
                <w:szCs w:val="21"/>
              </w:rPr>
            </w:pPr>
            <w:r>
              <w:rPr>
                <w:rFonts w:hint="eastAsia" w:ascii="宋体" w:hAnsi="宋体"/>
                <w:szCs w:val="21"/>
              </w:rPr>
              <w:t>履约保证金金额：按中标金额的</w:t>
            </w:r>
            <w:r>
              <w:rPr>
                <w:rFonts w:hint="eastAsia" w:ascii="宋体" w:hAnsi="宋体" w:cs="Arial"/>
                <w:szCs w:val="21"/>
                <w:u w:val="single"/>
              </w:rPr>
              <w:t xml:space="preserve"> 5 </w:t>
            </w:r>
            <w:r>
              <w:rPr>
                <w:rFonts w:hint="eastAsia" w:ascii="宋体" w:hAnsi="宋体"/>
                <w:szCs w:val="21"/>
              </w:rPr>
              <w:t>%（注：履约保证金不超过</w:t>
            </w:r>
            <w:r>
              <w:rPr>
                <w:rFonts w:ascii="宋体" w:hAnsi="宋体"/>
                <w:szCs w:val="21"/>
              </w:rPr>
              <w:t>5</w:t>
            </w:r>
            <w:r>
              <w:rPr>
                <w:rFonts w:hint="eastAsia" w:ascii="宋体" w:hAnsi="宋体"/>
                <w:szCs w:val="21"/>
              </w:rPr>
              <w:t>%，中标人为</w:t>
            </w:r>
            <w:r>
              <w:rPr>
                <w:rStyle w:val="103"/>
                <w:rFonts w:ascii="宋体" w:hAnsi="宋体"/>
              </w:rPr>
              <w:t>中小企业</w:t>
            </w:r>
            <w:r>
              <w:rPr>
                <w:rStyle w:val="103"/>
                <w:rFonts w:hint="eastAsia" w:ascii="宋体" w:hAnsi="宋体"/>
              </w:rPr>
              <w:t>的，为2%</w:t>
            </w:r>
            <w:r>
              <w:rPr>
                <w:rFonts w:hint="eastAsia" w:ascii="宋体" w:hAnsi="宋体"/>
                <w:szCs w:val="21"/>
              </w:rPr>
              <w:t>）。</w:t>
            </w:r>
          </w:p>
          <w:p>
            <w:pPr>
              <w:autoSpaceDE w:val="0"/>
              <w:autoSpaceDN w:val="0"/>
              <w:spacing w:line="360" w:lineRule="auto"/>
              <w:contextualSpacing/>
              <w:textAlignment w:val="bottom"/>
              <w:rPr>
                <w:rFonts w:ascii="宋体" w:hAnsi="宋体"/>
                <w:szCs w:val="21"/>
              </w:rPr>
            </w:pPr>
            <w:r>
              <w:rPr>
                <w:rFonts w:hint="eastAsia" w:ascii="宋体" w:hAnsi="宋体"/>
                <w:szCs w:val="21"/>
              </w:rPr>
              <w:t>履约保证金递交方式：银行转账、支票、汇票、本票或者金融、担保机构出具的保函等非现金方式（参照投标保证金）</w:t>
            </w:r>
          </w:p>
          <w:p>
            <w:pPr>
              <w:autoSpaceDE w:val="0"/>
              <w:autoSpaceDN w:val="0"/>
              <w:spacing w:line="360" w:lineRule="auto"/>
              <w:contextualSpacing/>
              <w:textAlignment w:val="bottom"/>
              <w:rPr>
                <w:rFonts w:ascii="宋体" w:hAnsi="宋体"/>
                <w:szCs w:val="21"/>
                <w:u w:val="single"/>
              </w:rPr>
            </w:pPr>
            <w:r>
              <w:rPr>
                <w:rFonts w:hint="eastAsia" w:ascii="宋体" w:hAnsi="宋体"/>
                <w:szCs w:val="21"/>
              </w:rPr>
              <w:t>履约保证金退付方式、时间及条件：</w:t>
            </w:r>
            <w:r>
              <w:rPr>
                <w:rFonts w:hint="eastAsia" w:ascii="宋体" w:hAnsi="宋体" w:cs="宋体"/>
                <w:bCs/>
                <w:szCs w:val="21"/>
              </w:rPr>
              <w:t>由乙方向履约保证金收取单位提供《广西壮族自治区政府采购项目合同验收书》及《政府采购项目履约保证金退付意见书》，保证金收取单位在收到合格材料后5个工作日内办理退还手续（不计利息）</w:t>
            </w:r>
            <w:r>
              <w:rPr>
                <w:rFonts w:hint="eastAsia" w:ascii="宋体" w:hAnsi="宋体" w:cs="宋体"/>
                <w:szCs w:val="21"/>
              </w:rPr>
              <w:t>。</w:t>
            </w:r>
          </w:p>
          <w:p>
            <w:pPr>
              <w:autoSpaceDE w:val="0"/>
              <w:autoSpaceDN w:val="0"/>
              <w:spacing w:line="360" w:lineRule="auto"/>
              <w:contextualSpacing/>
              <w:textAlignment w:val="bottom"/>
              <w:rPr>
                <w:rFonts w:ascii="宋体" w:hAnsi="宋体"/>
                <w:szCs w:val="21"/>
              </w:rPr>
            </w:pPr>
            <w:r>
              <w:rPr>
                <w:rFonts w:hint="eastAsia" w:ascii="宋体" w:hAnsi="宋体"/>
                <w:szCs w:val="21"/>
              </w:rPr>
              <w:t>履约保证金指定账户：</w:t>
            </w:r>
          </w:p>
          <w:p>
            <w:pPr>
              <w:autoSpaceDE w:val="0"/>
              <w:autoSpaceDN w:val="0"/>
              <w:spacing w:line="360" w:lineRule="auto"/>
              <w:contextualSpacing/>
              <w:textAlignment w:val="bottom"/>
              <w:rPr>
                <w:rFonts w:ascii="宋体" w:hAnsi="宋体"/>
                <w:szCs w:val="21"/>
              </w:rPr>
            </w:pPr>
            <w:r>
              <w:rPr>
                <w:rFonts w:hint="eastAsia" w:ascii="宋体" w:hAnsi="宋体"/>
                <w:szCs w:val="21"/>
              </w:rPr>
              <w:t>开户名称：广西壮族</w:t>
            </w:r>
            <w:r>
              <w:rPr>
                <w:rFonts w:hint="eastAsia" w:ascii="宋体" w:hAnsi="宋体" w:cs="Arial"/>
                <w:szCs w:val="21"/>
              </w:rPr>
              <w:t>自治区环境信息中心</w:t>
            </w:r>
          </w:p>
          <w:p>
            <w:pPr>
              <w:autoSpaceDE w:val="0"/>
              <w:autoSpaceDN w:val="0"/>
              <w:spacing w:line="360" w:lineRule="auto"/>
              <w:contextualSpacing/>
              <w:textAlignment w:val="bottom"/>
              <w:rPr>
                <w:rFonts w:ascii="宋体" w:hAnsi="宋体" w:cs="Arial"/>
                <w:szCs w:val="21"/>
              </w:rPr>
            </w:pPr>
            <w:r>
              <w:rPr>
                <w:rFonts w:hint="eastAsia" w:ascii="宋体" w:hAnsi="宋体"/>
                <w:szCs w:val="21"/>
              </w:rPr>
              <w:t>开户银行：交通银行凤翔支行</w:t>
            </w:r>
          </w:p>
          <w:p>
            <w:pPr>
              <w:autoSpaceDE w:val="0"/>
              <w:autoSpaceDN w:val="0"/>
              <w:spacing w:line="360" w:lineRule="auto"/>
              <w:contextualSpacing/>
              <w:textAlignment w:val="bottom"/>
              <w:rPr>
                <w:rFonts w:ascii="宋体" w:hAnsi="宋体"/>
                <w:szCs w:val="21"/>
              </w:rPr>
            </w:pPr>
            <w:r>
              <w:rPr>
                <w:rFonts w:hint="eastAsia" w:ascii="宋体" w:hAnsi="宋体"/>
                <w:szCs w:val="21"/>
              </w:rPr>
              <w:t>银行账号：</w:t>
            </w:r>
            <w:r>
              <w:rPr>
                <w:rFonts w:hint="eastAsia" w:ascii="宋体" w:hAnsi="宋体" w:cs="Arial"/>
                <w:szCs w:val="21"/>
                <w:u w:val="single"/>
              </w:rPr>
              <w:t xml:space="preserve"> </w:t>
            </w:r>
            <w:r>
              <w:rPr>
                <w:rFonts w:hint="eastAsia" w:ascii="宋体" w:hAnsi="宋体"/>
                <w:szCs w:val="21"/>
              </w:rPr>
              <w:t>451060310018010039711</w:t>
            </w:r>
          </w:p>
          <w:p>
            <w:pPr>
              <w:spacing w:line="360" w:lineRule="auto"/>
              <w:contextualSpacing/>
              <w:jc w:val="left"/>
              <w:rPr>
                <w:rFonts w:ascii="宋体" w:hAnsi="宋体" w:cs="Courier New"/>
                <w:szCs w:val="21"/>
              </w:rPr>
            </w:pPr>
            <w:r>
              <w:rPr>
                <w:rFonts w:ascii="宋体" w:hAnsi="宋体" w:cs="Courier New"/>
                <w:szCs w:val="21"/>
              </w:rPr>
              <w:t>备注：</w:t>
            </w:r>
          </w:p>
          <w:p>
            <w:pPr>
              <w:spacing w:line="360" w:lineRule="auto"/>
              <w:contextualSpacing/>
              <w:jc w:val="left"/>
              <w:rPr>
                <w:rFonts w:ascii="宋体" w:hAnsi="宋体" w:cs="Courier New"/>
                <w:szCs w:val="21"/>
              </w:rPr>
            </w:pPr>
            <w:r>
              <w:rPr>
                <w:rFonts w:ascii="宋体" w:hAnsi="宋体"/>
                <w:b/>
                <w:szCs w:val="21"/>
              </w:rPr>
              <w:t>1.</w:t>
            </w:r>
            <w:bookmarkStart w:id="441" w:name="_Hlk54170335"/>
            <w:r>
              <w:rPr>
                <w:rFonts w:hint="eastAsia" w:ascii="宋体" w:hAnsi="宋体"/>
                <w:b/>
                <w:szCs w:val="21"/>
              </w:rPr>
              <w:t>根据</w:t>
            </w:r>
            <w:r>
              <w:rPr>
                <w:rStyle w:val="103"/>
                <w:rFonts w:ascii="宋体" w:hAnsi="宋体"/>
                <w:b/>
                <w:szCs w:val="21"/>
              </w:rPr>
              <w:t>《广西壮族自治区财政厅关于进一步发挥政府采购政策功能促进企业发展的通知》</w:t>
            </w:r>
            <w:r>
              <w:rPr>
                <w:rStyle w:val="103"/>
                <w:rFonts w:ascii="宋体" w:hAnsi="宋体"/>
                <w:b/>
              </w:rPr>
              <w:t>（桂财采〔</w:t>
            </w:r>
            <w:r>
              <w:rPr>
                <w:rStyle w:val="103"/>
                <w:rFonts w:ascii="宋体" w:hAnsi="宋体"/>
                <w:b/>
                <w:szCs w:val="21"/>
              </w:rPr>
              <w:t>2022〕30</w:t>
            </w:r>
            <w:r>
              <w:rPr>
                <w:rStyle w:val="103"/>
                <w:rFonts w:ascii="宋体" w:hAnsi="宋体"/>
                <w:b/>
              </w:rPr>
              <w:t>号）规定，鼓励采购人在与中小微企业签订政府采购合同时，减少或免于收取履约保证金，有必要收取履约保证金的，收取的履约保证金不得超过政府采购合同金额的</w:t>
            </w:r>
            <w:r>
              <w:rPr>
                <w:rStyle w:val="103"/>
                <w:rFonts w:ascii="宋体" w:hAnsi="宋体"/>
                <w:b/>
                <w:szCs w:val="21"/>
              </w:rPr>
              <w:t>2</w:t>
            </w:r>
            <w:r>
              <w:rPr>
                <w:rStyle w:val="103"/>
                <w:rFonts w:ascii="宋体" w:hAnsi="宋体"/>
                <w:b/>
              </w:rPr>
              <w:t>%</w:t>
            </w:r>
            <w:r>
              <w:rPr>
                <w:rFonts w:hint="eastAsia" w:ascii="宋体" w:hAnsi="宋体"/>
                <w:b/>
                <w:szCs w:val="21"/>
              </w:rPr>
              <w:t>。</w:t>
            </w:r>
            <w:bookmarkEnd w:id="441"/>
          </w:p>
          <w:p>
            <w:pPr>
              <w:spacing w:line="360" w:lineRule="auto"/>
              <w:contextualSpacing/>
              <w:jc w:val="left"/>
              <w:rPr>
                <w:rFonts w:ascii="宋体" w:hAnsi="宋体"/>
                <w:b/>
                <w:szCs w:val="21"/>
              </w:rPr>
            </w:pPr>
            <w:r>
              <w:rPr>
                <w:rFonts w:ascii="宋体" w:hAnsi="宋体"/>
                <w:b/>
                <w:szCs w:val="21"/>
              </w:rPr>
              <w:t>2.</w:t>
            </w:r>
            <w:r>
              <w:rPr>
                <w:rFonts w:hint="eastAsia" w:ascii="宋体" w:hAnsi="宋体"/>
                <w:b/>
                <w:szCs w:val="21"/>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采购人有权不予签订合同。</w:t>
            </w:r>
          </w:p>
          <w:p>
            <w:pPr>
              <w:spacing w:line="360" w:lineRule="auto"/>
              <w:contextualSpacing/>
              <w:jc w:val="left"/>
              <w:rPr>
                <w:rFonts w:ascii="宋体" w:hAnsi="宋体"/>
                <w:b/>
                <w:szCs w:val="21"/>
              </w:rPr>
            </w:pPr>
            <w:r>
              <w:rPr>
                <w:rFonts w:ascii="宋体" w:hAnsi="宋体"/>
                <w:b/>
                <w:szCs w:val="21"/>
              </w:rPr>
              <w:t>3.采用金融、担保机构出具的保函的，必须为无条件保函，否则</w:t>
            </w:r>
            <w:r>
              <w:rPr>
                <w:rFonts w:hint="eastAsia" w:ascii="宋体" w:hAnsi="宋体"/>
                <w:b/>
                <w:szCs w:val="21"/>
              </w:rPr>
              <w:t>采购人有权</w:t>
            </w:r>
            <w:r>
              <w:rPr>
                <w:rFonts w:ascii="宋体" w:hAnsi="宋体"/>
                <w:b/>
                <w:szCs w:val="21"/>
              </w:rPr>
              <w:t>不予签订合同。</w:t>
            </w:r>
          </w:p>
          <w:p>
            <w:pPr>
              <w:spacing w:line="360" w:lineRule="auto"/>
              <w:contextualSpacing/>
              <w:jc w:val="left"/>
              <w:rPr>
                <w:rFonts w:ascii="宋体" w:hAnsi="宋体" w:cs="宋体"/>
                <w:kern w:val="0"/>
                <w:szCs w:val="21"/>
              </w:rPr>
            </w:pPr>
            <w:r>
              <w:rPr>
                <w:rFonts w:ascii="宋体" w:hAnsi="宋体"/>
                <w:b/>
                <w:szCs w:val="21"/>
              </w:rPr>
              <w:t>4.</w:t>
            </w:r>
            <w:r>
              <w:rPr>
                <w:rFonts w:hint="eastAsia" w:ascii="宋体" w:hAnsi="宋体"/>
                <w:b/>
                <w:szCs w:val="21"/>
              </w:rPr>
              <w:t>投标人为联合体的，由联合体其中一方按规定提交的履约保证金，视为有效履约保证金。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42" w:name="_40.1"/>
            <w:bookmarkEnd w:id="442"/>
            <w:r>
              <w:rPr>
                <w:rFonts w:hint="eastAsia" w:ascii="宋体" w:hAnsi="宋体"/>
                <w:szCs w:val="21"/>
              </w:rPr>
              <w:t>36.1</w:t>
            </w:r>
          </w:p>
        </w:tc>
        <w:tc>
          <w:tcPr>
            <w:tcW w:w="8318"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szCs w:val="21"/>
              </w:rPr>
            </w:pPr>
            <w:r>
              <w:rPr>
                <w:rFonts w:hint="eastAsia" w:ascii="宋体" w:hAnsi="宋体"/>
                <w:szCs w:val="21"/>
              </w:rPr>
              <w:t xml:space="preserve">签订合同携带的证明材料： </w:t>
            </w:r>
          </w:p>
          <w:p>
            <w:pPr>
              <w:autoSpaceDE w:val="0"/>
              <w:autoSpaceDN w:val="0"/>
              <w:snapToGrid w:val="0"/>
              <w:spacing w:line="360" w:lineRule="auto"/>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pPr>
              <w:autoSpaceDE w:val="0"/>
              <w:autoSpaceDN w:val="0"/>
              <w:snapToGrid w:val="0"/>
              <w:spacing w:line="360" w:lineRule="auto"/>
              <w:textAlignment w:val="bottom"/>
              <w:rPr>
                <w:rFonts w:ascii="宋体" w:hAnsi="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3</w:t>
            </w:r>
            <w:r>
              <w:rPr>
                <w:rFonts w:ascii="宋体" w:hAnsi="宋体"/>
                <w:szCs w:val="21"/>
              </w:rPr>
              <w:t>8.2</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hint="eastAsia" w:ascii="宋体" w:hAnsi="宋体"/>
                <w:szCs w:val="21"/>
              </w:rPr>
              <w:t>接收质疑函方式：以书面形式</w:t>
            </w:r>
          </w:p>
          <w:p>
            <w:pPr>
              <w:pStyle w:val="26"/>
              <w:snapToGrid w:val="0"/>
              <w:spacing w:line="360" w:lineRule="auto"/>
              <w:rPr>
                <w:rFonts w:hAnsi="宋体" w:cs="宋体"/>
                <w:kern w:val="2"/>
                <w:sz w:val="21"/>
              </w:rPr>
            </w:pPr>
            <w:r>
              <w:rPr>
                <w:rFonts w:hint="eastAsia" w:hAnsi="宋体" w:cs="宋体"/>
                <w:kern w:val="2"/>
                <w:sz w:val="21"/>
              </w:rPr>
              <w:t>质疑联系部门及联系方式：</w:t>
            </w:r>
            <w:r>
              <w:rPr>
                <w:rFonts w:hint="eastAsia" w:hAnsi="宋体" w:cs="宋体"/>
                <w:kern w:val="2"/>
                <w:sz w:val="21"/>
                <w:u w:val="single"/>
              </w:rPr>
              <w:t xml:space="preserve"> </w:t>
            </w:r>
            <w:r>
              <w:rPr>
                <w:rFonts w:hint="eastAsia" w:hAnsi="宋体"/>
                <w:sz w:val="21"/>
                <w:u w:val="single"/>
              </w:rPr>
              <w:t xml:space="preserve">中化商务有限公司 </w:t>
            </w:r>
            <w:r>
              <w:rPr>
                <w:rFonts w:hint="eastAsia" w:hAnsi="宋体"/>
                <w:sz w:val="21"/>
              </w:rPr>
              <w:t>，</w:t>
            </w:r>
            <w:r>
              <w:rPr>
                <w:rFonts w:hAnsi="宋体"/>
                <w:sz w:val="21"/>
              </w:rPr>
              <w:t>联系电话</w:t>
            </w:r>
            <w:r>
              <w:rPr>
                <w:rFonts w:hint="eastAsia" w:hAnsi="宋体"/>
                <w:sz w:val="21"/>
              </w:rPr>
              <w:t>：</w:t>
            </w:r>
            <w:r>
              <w:rPr>
                <w:rFonts w:hAnsi="宋体"/>
                <w:sz w:val="21"/>
              </w:rPr>
              <w:t>0771-5716661</w:t>
            </w:r>
            <w:r>
              <w:rPr>
                <w:rFonts w:hint="eastAsia" w:hAnsi="宋体"/>
                <w:sz w:val="21"/>
              </w:rPr>
              <w:t>，</w:t>
            </w:r>
            <w:r>
              <w:rPr>
                <w:rFonts w:hAnsi="宋体"/>
                <w:sz w:val="21"/>
              </w:rPr>
              <w:t>通讯地址</w:t>
            </w:r>
            <w:r>
              <w:rPr>
                <w:rFonts w:hint="eastAsia" w:hAnsi="宋体" w:cs="Helvetica"/>
                <w:sz w:val="21"/>
              </w:rPr>
              <w:t>：</w:t>
            </w:r>
            <w:r>
              <w:rPr>
                <w:rFonts w:hint="eastAsia" w:hAnsi="宋体" w:cs="宋体"/>
                <w:sz w:val="21"/>
              </w:rPr>
              <w:t>南宁市良庆区五象大道西段665号南宁环球金融中心T2栋12层1211-1212室</w:t>
            </w:r>
          </w:p>
          <w:p>
            <w:pPr>
              <w:autoSpaceDE w:val="0"/>
              <w:autoSpaceDN w:val="0"/>
              <w:snapToGrid w:val="0"/>
              <w:spacing w:line="360" w:lineRule="auto"/>
              <w:textAlignment w:val="bottom"/>
              <w:rPr>
                <w:rFonts w:ascii="宋体" w:hAnsi="宋体"/>
                <w:szCs w:val="21"/>
              </w:rPr>
            </w:pPr>
            <w:r>
              <w:rPr>
                <w:rFonts w:hint="eastAsia" w:hAnsi="宋体" w:cs="宋体"/>
              </w:rPr>
              <w:t>业务时间：每天上午</w:t>
            </w:r>
            <w:r>
              <w:rPr>
                <w:rFonts w:hAnsi="宋体" w:cs="宋体"/>
              </w:rPr>
              <w:t>9</w:t>
            </w:r>
            <w:r>
              <w:rPr>
                <w:rFonts w:hint="eastAsia" w:hAnsi="宋体" w:cs="宋体"/>
              </w:rPr>
              <w:t>时00分到12时00分，下午</w:t>
            </w:r>
            <w:r>
              <w:rPr>
                <w:rFonts w:hAnsi="宋体" w:cs="宋体"/>
              </w:rPr>
              <w:t>15</w:t>
            </w:r>
            <w:r>
              <w:rPr>
                <w:rFonts w:hint="eastAsia" w:hAnsi="宋体" w:cs="宋体"/>
              </w:rPr>
              <w:t>时00分到</w:t>
            </w:r>
            <w:r>
              <w:rPr>
                <w:rFonts w:hAnsi="宋体" w:cs="宋体"/>
              </w:rPr>
              <w:t>18</w:t>
            </w:r>
            <w:r>
              <w:rPr>
                <w:rFonts w:hint="eastAsia" w:hAnsi="宋体" w:cs="宋体"/>
              </w:rPr>
              <w:t>时00分，双休日和法定节假日不办理业务。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bookmarkStart w:id="443" w:name="_42"/>
            <w:bookmarkEnd w:id="443"/>
            <w:bookmarkStart w:id="444" w:name="_41"/>
            <w:bookmarkEnd w:id="444"/>
            <w:bookmarkStart w:id="445" w:name="_Hlt17709148"/>
            <w:r>
              <w:rPr>
                <w:rFonts w:hint="eastAsia" w:ascii="宋体" w:hAnsi="宋体"/>
                <w:szCs w:val="21"/>
              </w:rPr>
              <w:t>3</w:t>
            </w:r>
            <w:bookmarkEnd w:id="445"/>
            <w:r>
              <w:rPr>
                <w:rFonts w:ascii="宋体" w:hAnsi="宋体"/>
                <w:szCs w:val="21"/>
              </w:rPr>
              <w:t>9.1</w:t>
            </w:r>
          </w:p>
        </w:tc>
        <w:tc>
          <w:tcPr>
            <w:tcW w:w="8318" w:type="dxa"/>
            <w:tcBorders>
              <w:top w:val="single" w:color="auto" w:sz="4" w:space="0"/>
              <w:left w:val="single" w:color="auto" w:sz="4" w:space="0"/>
              <w:bottom w:val="single" w:color="auto" w:sz="4" w:space="0"/>
              <w:right w:val="single" w:color="auto" w:sz="4" w:space="0"/>
            </w:tcBorders>
            <w:vAlign w:val="center"/>
          </w:tcPr>
          <w:p>
            <w:pPr>
              <w:pStyle w:val="26"/>
              <w:snapToGrid w:val="0"/>
              <w:spacing w:line="360" w:lineRule="auto"/>
              <w:rPr>
                <w:rFonts w:hAnsi="宋体" w:cs="宋体"/>
                <w:sz w:val="21"/>
              </w:rPr>
            </w:pPr>
            <w:r>
              <w:rPr>
                <w:rFonts w:hint="eastAsia" w:hAnsi="宋体" w:cs="宋体"/>
                <w:sz w:val="21"/>
              </w:rPr>
              <w:t>1.采购代理费支付方式：</w:t>
            </w:r>
          </w:p>
          <w:p>
            <w:pPr>
              <w:pStyle w:val="26"/>
              <w:snapToGrid w:val="0"/>
              <w:spacing w:line="360" w:lineRule="auto"/>
              <w:rPr>
                <w:rFonts w:hAnsi="宋体" w:cs="宋体"/>
                <w:sz w:val="21"/>
              </w:rPr>
            </w:pPr>
            <w:r>
              <w:rPr>
                <w:rFonts w:ascii="Segoe UI Emoji" w:hAnsi="Segoe UI Emoji" w:cs="Segoe UI Emoji"/>
                <w:lang w:bidi="ar"/>
              </w:rPr>
              <w:t>☑</w:t>
            </w:r>
            <w:r>
              <w:rPr>
                <w:rFonts w:hint="eastAsia" w:hAnsi="宋体" w:cs="宋体"/>
                <w:sz w:val="21"/>
              </w:rPr>
              <w:t>本项目代理服务费由</w:t>
            </w:r>
            <w:r>
              <w:rPr>
                <w:rFonts w:hint="eastAsia" w:hAnsi="宋体" w:cs="宋体"/>
                <w:sz w:val="21"/>
                <w:u w:val="single"/>
              </w:rPr>
              <w:t>中标人</w:t>
            </w:r>
            <w:r>
              <w:rPr>
                <w:rFonts w:hint="eastAsia" w:hAnsi="宋体" w:cs="宋体"/>
                <w:sz w:val="21"/>
              </w:rPr>
              <w:t>在领取中标通知书前，一次性向采购代理机构支付。</w:t>
            </w:r>
          </w:p>
          <w:p>
            <w:pPr>
              <w:pStyle w:val="26"/>
              <w:snapToGrid w:val="0"/>
              <w:spacing w:line="360" w:lineRule="auto"/>
              <w:rPr>
                <w:rFonts w:hAnsi="宋体" w:cs="宋体"/>
                <w:sz w:val="21"/>
              </w:rPr>
            </w:pPr>
            <w:r>
              <w:rPr>
                <w:rFonts w:hint="eastAsia" w:hAnsi="宋体" w:cs="宋体"/>
                <w:sz w:val="21"/>
              </w:rPr>
              <w:t>□采购人支付。</w:t>
            </w:r>
          </w:p>
          <w:p>
            <w:pPr>
              <w:pStyle w:val="26"/>
              <w:snapToGrid w:val="0"/>
              <w:spacing w:line="360" w:lineRule="auto"/>
              <w:rPr>
                <w:rFonts w:hAnsi="宋体" w:cs="宋体"/>
                <w:sz w:val="21"/>
              </w:rPr>
            </w:pPr>
            <w:r>
              <w:rPr>
                <w:rFonts w:hint="eastAsia" w:hAnsi="宋体" w:cs="宋体"/>
                <w:sz w:val="21"/>
              </w:rPr>
              <w:t>2.采购代理费收取标准：</w:t>
            </w:r>
          </w:p>
          <w:p>
            <w:pPr>
              <w:pStyle w:val="26"/>
              <w:snapToGrid w:val="0"/>
              <w:spacing w:line="360" w:lineRule="auto"/>
              <w:rPr>
                <w:rFonts w:hAnsi="宋体" w:cs="宋体"/>
                <w:sz w:val="21"/>
              </w:rPr>
            </w:pPr>
            <w:r>
              <w:rPr>
                <w:rFonts w:ascii="Segoe UI Emoji" w:hAnsi="Segoe UI Emoji" w:cs="Segoe UI Emoji"/>
                <w:lang w:bidi="ar"/>
              </w:rPr>
              <w:t>☑</w:t>
            </w:r>
            <w:r>
              <w:rPr>
                <w:rFonts w:hint="eastAsia" w:hAnsi="宋体" w:cs="宋体"/>
                <w:sz w:val="21"/>
              </w:rPr>
              <w:t>以分标（</w:t>
            </w:r>
            <w:r>
              <w:rPr>
                <w:rFonts w:ascii="Segoe UI Emoji" w:hAnsi="Segoe UI Emoji" w:cs="Segoe UI Emoji"/>
                <w:lang w:bidi="ar"/>
              </w:rPr>
              <w:t>☑</w:t>
            </w:r>
            <w:r>
              <w:rPr>
                <w:rFonts w:hint="eastAsia" w:hAnsi="宋体" w:cs="宋体"/>
                <w:sz w:val="21"/>
              </w:rPr>
              <w:t>中标金额/□采购预算/□暂定中标金额/□其他</w:t>
            </w:r>
            <w:r>
              <w:rPr>
                <w:rFonts w:hint="eastAsia" w:hAnsi="宋体" w:cs="宋体"/>
                <w:sz w:val="21"/>
                <w:u w:val="single"/>
              </w:rPr>
              <w:t xml:space="preserve"> </w:t>
            </w:r>
            <w:r>
              <w:rPr>
                <w:rFonts w:hAnsi="宋体" w:cs="宋体"/>
                <w:sz w:val="21"/>
                <w:u w:val="single"/>
              </w:rPr>
              <w:t xml:space="preserve">  </w:t>
            </w:r>
            <w:r>
              <w:rPr>
                <w:rFonts w:hint="eastAsia" w:hAnsi="宋体" w:cs="宋体"/>
                <w:sz w:val="21"/>
              </w:rPr>
              <w:t>）为计费额，按本须知正文第</w:t>
            </w:r>
            <w:r>
              <w:rPr>
                <w:rFonts w:hAnsi="宋体" w:cs="宋体"/>
                <w:sz w:val="21"/>
              </w:rPr>
              <w:t>39</w:t>
            </w:r>
            <w:r>
              <w:rPr>
                <w:rFonts w:hint="eastAsia" w:hAnsi="宋体" w:cs="宋体"/>
                <w:sz w:val="21"/>
              </w:rPr>
              <w:t>.</w:t>
            </w:r>
            <w:r>
              <w:rPr>
                <w:rFonts w:hAnsi="宋体" w:cs="宋体"/>
                <w:sz w:val="21"/>
              </w:rPr>
              <w:t>2</w:t>
            </w:r>
            <w:r>
              <w:rPr>
                <w:rFonts w:hint="eastAsia" w:hAnsi="宋体" w:cs="宋体"/>
                <w:sz w:val="21"/>
              </w:rPr>
              <w:t>条规定的收费计算标准（□货物招标/</w:t>
            </w:r>
            <w:r>
              <w:rPr>
                <w:rFonts w:ascii="Segoe UI Emoji" w:hAnsi="Segoe UI Emoji" w:cs="Segoe UI Emoji"/>
                <w:lang w:bidi="ar"/>
              </w:rPr>
              <w:t>☑</w:t>
            </w:r>
            <w:r>
              <w:rPr>
                <w:rFonts w:hint="eastAsia" w:hAnsi="宋体" w:cs="宋体"/>
                <w:sz w:val="21"/>
              </w:rPr>
              <w:t>服务招标/□工程招标）采用差额定率累进法计算出收费基准价格，采购代理收费以（</w:t>
            </w:r>
            <w:r>
              <w:rPr>
                <w:rFonts w:ascii="Segoe UI Emoji" w:hAnsi="Segoe UI Emoji" w:cs="Segoe UI Emoji"/>
                <w:lang w:bidi="ar"/>
              </w:rPr>
              <w:t>☑</w:t>
            </w:r>
            <w:r>
              <w:rPr>
                <w:rFonts w:hint="eastAsia" w:hAnsi="宋体" w:cs="宋体"/>
                <w:sz w:val="21"/>
              </w:rPr>
              <w:t>收费基准价格/□收费基准价格下浮</w:t>
            </w:r>
            <w:r>
              <w:rPr>
                <w:rFonts w:hint="eastAsia" w:hAnsi="宋体" w:cs="宋体"/>
                <w:sz w:val="21"/>
                <w:u w:val="single"/>
              </w:rPr>
              <w:t xml:space="preserve">   </w:t>
            </w:r>
            <w:r>
              <w:rPr>
                <w:rFonts w:hAnsi="宋体" w:cs="宋体"/>
                <w:sz w:val="21"/>
                <w:u w:val="single"/>
              </w:rPr>
              <w:t xml:space="preserve"> </w:t>
            </w:r>
            <w:r>
              <w:rPr>
                <w:rFonts w:hint="eastAsia" w:hAnsi="宋体" w:cs="宋体"/>
                <w:sz w:val="21"/>
                <w:u w:val="single"/>
              </w:rPr>
              <w:t>%</w:t>
            </w:r>
            <w:r>
              <w:rPr>
                <w:rFonts w:hAnsi="宋体" w:cs="宋体"/>
                <w:sz w:val="21"/>
              </w:rPr>
              <w:t>/</w:t>
            </w:r>
            <w:r>
              <w:rPr>
                <w:rFonts w:hint="eastAsia" w:hAnsi="宋体" w:cs="宋体"/>
                <w:sz w:val="21"/>
              </w:rPr>
              <w:t>□收费基准价格上浮</w:t>
            </w:r>
            <w:r>
              <w:rPr>
                <w:rFonts w:hint="eastAsia" w:hAnsi="宋体" w:cs="宋体"/>
                <w:sz w:val="21"/>
                <w:u w:val="single"/>
              </w:rPr>
              <w:t xml:space="preserve"> </w:t>
            </w:r>
            <w:r>
              <w:rPr>
                <w:rFonts w:hAnsi="宋体" w:cs="宋体"/>
                <w:sz w:val="21"/>
                <w:u w:val="single"/>
              </w:rPr>
              <w:t xml:space="preserve">  </w:t>
            </w:r>
            <w:r>
              <w:rPr>
                <w:rFonts w:hint="eastAsia" w:hAnsi="宋体" w:cs="宋体"/>
                <w:sz w:val="21"/>
                <w:u w:val="single"/>
              </w:rPr>
              <w:t>%</w:t>
            </w:r>
            <w:r>
              <w:rPr>
                <w:rFonts w:hint="eastAsia" w:hAnsi="宋体" w:cs="宋体"/>
                <w:sz w:val="21"/>
              </w:rPr>
              <w:t>）收取。</w:t>
            </w:r>
          </w:p>
          <w:p>
            <w:pPr>
              <w:pStyle w:val="26"/>
              <w:snapToGrid w:val="0"/>
              <w:spacing w:line="360" w:lineRule="auto"/>
              <w:rPr>
                <w:rFonts w:hAnsi="宋体" w:cs="宋体"/>
                <w:sz w:val="21"/>
                <w:u w:val="single"/>
              </w:rPr>
            </w:pPr>
            <w:r>
              <w:rPr>
                <w:rFonts w:hint="eastAsia" w:hAnsi="宋体" w:cs="宋体"/>
                <w:sz w:val="21"/>
              </w:rPr>
              <w:t>□固定采购代理收费</w:t>
            </w:r>
            <w:r>
              <w:rPr>
                <w:rFonts w:hint="eastAsia" w:hAnsi="宋体" w:cs="宋体"/>
                <w:sz w:val="21"/>
                <w:u w:val="single"/>
              </w:rPr>
              <w:t xml:space="preserve">              。</w:t>
            </w:r>
          </w:p>
          <w:p>
            <w:pPr>
              <w:snapToGrid w:val="0"/>
              <w:spacing w:line="360" w:lineRule="auto"/>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 xml:space="preserve">账户名称： </w:t>
            </w:r>
          </w:p>
          <w:p>
            <w:pPr>
              <w:snapToGrid w:val="0"/>
              <w:spacing w:line="360" w:lineRule="auto"/>
              <w:rPr>
                <w:rFonts w:ascii="宋体" w:hAnsi="宋体" w:cs="宋体"/>
                <w:kern w:val="0"/>
                <w:szCs w:val="21"/>
              </w:rPr>
            </w:pPr>
            <w:r>
              <w:rPr>
                <w:rFonts w:hint="eastAsia" w:ascii="宋体" w:hAnsi="宋体" w:cs="宋体"/>
                <w:kern w:val="0"/>
                <w:szCs w:val="21"/>
              </w:rPr>
              <w:t>开户名称：中化商务有限公司</w:t>
            </w:r>
          </w:p>
          <w:p>
            <w:pPr>
              <w:snapToGrid w:val="0"/>
              <w:spacing w:line="360" w:lineRule="auto"/>
              <w:rPr>
                <w:rFonts w:ascii="宋体" w:hAnsi="宋体" w:cs="宋体"/>
                <w:kern w:val="0"/>
                <w:szCs w:val="21"/>
              </w:rPr>
            </w:pPr>
            <w:r>
              <w:rPr>
                <w:rFonts w:hint="eastAsia" w:ascii="宋体" w:hAnsi="宋体" w:cs="宋体"/>
                <w:kern w:val="0"/>
                <w:szCs w:val="21"/>
              </w:rPr>
              <w:t>开户银行：中国工商银行北京复外支行</w:t>
            </w:r>
          </w:p>
          <w:p>
            <w:pPr>
              <w:snapToGrid w:val="0"/>
              <w:spacing w:line="360" w:lineRule="auto"/>
              <w:rPr>
                <w:rFonts w:ascii="宋体" w:hAnsi="宋体" w:cs="宋体"/>
                <w:kern w:val="0"/>
                <w:szCs w:val="21"/>
              </w:rPr>
            </w:pPr>
            <w:r>
              <w:rPr>
                <w:rFonts w:hint="eastAsia" w:ascii="宋体" w:hAnsi="宋体" w:cs="宋体"/>
                <w:kern w:val="0"/>
                <w:szCs w:val="21"/>
              </w:rPr>
              <w:t>银行账户：</w:t>
            </w:r>
            <w:r>
              <w:rPr>
                <w:rFonts w:ascii="宋体" w:hAnsi="宋体" w:cs="宋体"/>
                <w:kern w:val="0"/>
                <w:szCs w:val="21"/>
              </w:rPr>
              <w:t>0200048509022104668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ascii="宋体" w:hAnsi="宋体"/>
                <w:szCs w:val="21"/>
              </w:rPr>
              <w:t>40.1</w:t>
            </w:r>
          </w:p>
        </w:tc>
        <w:tc>
          <w:tcPr>
            <w:tcW w:w="831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hint="eastAsia" w:ascii="宋体" w:hAnsi="宋体"/>
                <w:szCs w:val="21"/>
              </w:rPr>
              <w:t>解释：</w:t>
            </w:r>
            <w:r>
              <w:rPr>
                <w:rFonts w:ascii="宋体" w:hAnsi="宋体"/>
                <w:szCs w:val="21"/>
              </w:rPr>
              <w:t>构成本招标文件的各个组成文件应互为解释，互为说明；除招标文件中有特别规定外，仅适用于招标投标阶段的规定，按</w:t>
            </w:r>
            <w:r>
              <w:rPr>
                <w:rFonts w:hint="eastAsia" w:ascii="宋体" w:hAnsi="宋体"/>
                <w:szCs w:val="21"/>
              </w:rPr>
              <w:t>更正公告（澄清公告）</w:t>
            </w:r>
            <w:r>
              <w:rPr>
                <w:rFonts w:ascii="宋体" w:hAnsi="宋体"/>
                <w:szCs w:val="21"/>
              </w:rPr>
              <w:t>、招标公告、</w:t>
            </w:r>
            <w:r>
              <w:rPr>
                <w:rFonts w:hint="eastAsia" w:ascii="宋体" w:hAnsi="宋体"/>
                <w:szCs w:val="21"/>
              </w:rPr>
              <w:t>采购需求、</w:t>
            </w:r>
            <w:r>
              <w:rPr>
                <w:rFonts w:ascii="宋体" w:hAnsi="宋体"/>
                <w:szCs w:val="21"/>
              </w:rPr>
              <w:t>投标人须知、</w:t>
            </w:r>
            <w:r>
              <w:rPr>
                <w:rFonts w:hint="eastAsia" w:ascii="宋体" w:hAnsi="宋体"/>
                <w:szCs w:val="21"/>
              </w:rPr>
              <w:t>评标方法及评标标准</w:t>
            </w:r>
            <w:r>
              <w:rPr>
                <w:rFonts w:ascii="宋体" w:hAnsi="宋体"/>
                <w:szCs w:val="21"/>
              </w:rPr>
              <w:t>、</w:t>
            </w:r>
            <w:r>
              <w:rPr>
                <w:rFonts w:hint="eastAsia" w:ascii="宋体" w:hAnsi="宋体"/>
                <w:szCs w:val="21"/>
              </w:rPr>
              <w:t>拟签订的合同文本、</w:t>
            </w:r>
            <w:r>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szCs w:val="21"/>
              </w:rPr>
              <w:t>更正公告（澄清公告）</w:t>
            </w:r>
            <w:r>
              <w:rPr>
                <w:rFonts w:ascii="宋体" w:hAnsi="宋体"/>
                <w:szCs w:val="21"/>
              </w:rPr>
              <w:t>与同步更新的招标文件不一致时以</w:t>
            </w:r>
            <w:r>
              <w:rPr>
                <w:rFonts w:hint="eastAsia" w:ascii="宋体" w:hAnsi="宋体"/>
                <w:szCs w:val="21"/>
              </w:rPr>
              <w:t>更正公告（澄清公告）</w:t>
            </w:r>
            <w:r>
              <w:rPr>
                <w:rFonts w:ascii="宋体" w:hAnsi="宋体"/>
                <w:szCs w:val="21"/>
              </w:rPr>
              <w:t>为准。按本款前述规定仍不能形成结论的，由</w:t>
            </w:r>
            <w:r>
              <w:rPr>
                <w:rFonts w:hint="eastAsia" w:ascii="宋体" w:hAnsi="宋体"/>
                <w:szCs w:val="21"/>
              </w:rPr>
              <w:t>采购</w:t>
            </w:r>
            <w:r>
              <w:rPr>
                <w:rFonts w:ascii="宋体" w:hAnsi="宋体"/>
                <w:szCs w:val="21"/>
              </w:rPr>
              <w:t>人</w:t>
            </w:r>
            <w:r>
              <w:rPr>
                <w:rFonts w:hint="eastAsia" w:ascii="宋体" w:hAnsi="宋体"/>
                <w:szCs w:val="21"/>
              </w:rPr>
              <w:t>或者采购代理机构</w:t>
            </w:r>
            <w:r>
              <w:rPr>
                <w:rFonts w:ascii="宋体" w:hAnsi="宋体"/>
                <w:szCs w:val="21"/>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ascii="宋体" w:hAnsi="宋体"/>
                <w:szCs w:val="21"/>
              </w:rPr>
              <w:t>40.2</w:t>
            </w:r>
          </w:p>
        </w:tc>
        <w:tc>
          <w:tcPr>
            <w:tcW w:w="8318" w:type="dxa"/>
            <w:tcBorders>
              <w:top w:val="single" w:color="auto" w:sz="4" w:space="0"/>
              <w:left w:val="single" w:color="auto" w:sz="4" w:space="0"/>
              <w:bottom w:val="single" w:color="auto" w:sz="4" w:space="0"/>
              <w:right w:val="single" w:color="auto" w:sz="4" w:space="0"/>
            </w:tcBorders>
            <w:vAlign w:val="center"/>
          </w:tcPr>
          <w:p>
            <w:pPr>
              <w:pStyle w:val="26"/>
              <w:snapToGrid w:val="0"/>
              <w:spacing w:line="360" w:lineRule="auto"/>
              <w:rPr>
                <w:rFonts w:hAnsi="宋体" w:cs="宋体"/>
                <w:bCs/>
                <w:sz w:val="21"/>
              </w:rPr>
            </w:pPr>
            <w:r>
              <w:rPr>
                <w:rFonts w:hint="eastAsia" w:hAnsi="宋体" w:cs="宋体"/>
                <w:bCs/>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snapToGrid w:val="0"/>
              <w:spacing w:line="360" w:lineRule="auto"/>
              <w:rPr>
                <w:rFonts w:hAnsi="宋体" w:cs="宋体"/>
              </w:rPr>
            </w:pPr>
            <w:r>
              <w:rPr>
                <w:rFonts w:ascii="宋体" w:hAnsi="宋体" w:cs="宋体"/>
                <w:bCs/>
                <w:kern w:val="0"/>
                <w:szCs w:val="21"/>
              </w:rPr>
              <w:t>2.本</w:t>
            </w:r>
            <w:r>
              <w:rPr>
                <w:rFonts w:hint="eastAsia" w:ascii="宋体" w:hAnsi="宋体" w:cs="宋体"/>
                <w:bCs/>
                <w:kern w:val="0"/>
                <w:szCs w:val="21"/>
              </w:rPr>
              <w:t>招标</w:t>
            </w:r>
            <w:r>
              <w:rPr>
                <w:rFonts w:ascii="宋体" w:hAnsi="宋体" w:cs="宋体"/>
                <w:bCs/>
                <w:kern w:val="0"/>
                <w:szCs w:val="21"/>
              </w:rPr>
              <w:t>文件所称的“</w:t>
            </w:r>
            <w:r>
              <w:rPr>
                <w:rFonts w:ascii="宋体" w:hAnsi="宋体"/>
                <w:kern w:val="0"/>
                <w:szCs w:val="21"/>
              </w:rPr>
              <w:t>电子签章</w:t>
            </w:r>
            <w:r>
              <w:rPr>
                <w:rFonts w:ascii="宋体" w:hAnsi="宋体" w:cs="宋体"/>
                <w:bCs/>
                <w:kern w:val="0"/>
                <w:szCs w:val="21"/>
              </w:rPr>
              <w:t>”、“电子签名”</w:t>
            </w:r>
            <w:r>
              <w:rPr>
                <w:rFonts w:ascii="宋体" w:hAnsi="宋体"/>
                <w:kern w:val="0"/>
                <w:szCs w:val="21"/>
              </w:rPr>
              <w:t>，是指经“政采云”平台认可的CA认证的电子签名数据为表现形式的印章，可用于签署电子响应文件，电子印章与实物印章具有同等法律效力，不因其采用电子化表现形式而否定其法律效力。</w:t>
            </w:r>
          </w:p>
          <w:p>
            <w:pPr>
              <w:pStyle w:val="26"/>
              <w:snapToGrid w:val="0"/>
              <w:spacing w:line="360" w:lineRule="auto"/>
              <w:rPr>
                <w:rFonts w:hAnsi="宋体" w:cs="宋体"/>
                <w:bCs/>
                <w:sz w:val="21"/>
              </w:rPr>
            </w:pPr>
            <w:r>
              <w:rPr>
                <w:rFonts w:hAnsi="宋体" w:cs="宋体"/>
                <w:bCs/>
                <w:sz w:val="21"/>
              </w:rPr>
              <w:t>3</w:t>
            </w:r>
            <w:r>
              <w:rPr>
                <w:rFonts w:hint="eastAsia" w:hAnsi="宋体" w:cs="宋体"/>
                <w:bCs/>
                <w:sz w:val="21"/>
              </w:rPr>
              <w:t>.投标人为其他组织或者自然人时，本招标文件规定的法定代表人指负责人或者自然人。本招标文件所称负责人是指参加投标的其他组织营业执照上的负责人，本招标文件所称自然人指参与投标的自然人本人。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26"/>
              <w:snapToGrid w:val="0"/>
              <w:spacing w:line="360" w:lineRule="auto"/>
              <w:rPr>
                <w:rFonts w:hAnsi="宋体" w:cs="宋体"/>
                <w:bCs/>
                <w:sz w:val="21"/>
              </w:rPr>
            </w:pPr>
            <w:r>
              <w:rPr>
                <w:rFonts w:hAnsi="宋体" w:cs="宋体"/>
                <w:bCs/>
                <w:sz w:val="21"/>
              </w:rPr>
              <w:t>4</w:t>
            </w:r>
            <w:r>
              <w:rPr>
                <w:rFonts w:hint="eastAsia" w:hAnsi="宋体" w:cs="宋体"/>
                <w:bCs/>
                <w:sz w:val="21"/>
              </w:rPr>
              <w:t>.本招标文件中描述投标人的“签字”是指投标人的法定代表人或者委托代理人亲自在文件规定签字处亲笔写上个人的名字的行为，私章、签字章、印鉴、影印等其他形式均不能代替亲笔签字。</w:t>
            </w:r>
          </w:p>
          <w:p>
            <w:pPr>
              <w:pStyle w:val="26"/>
              <w:snapToGrid w:val="0"/>
              <w:spacing w:line="360" w:lineRule="auto"/>
              <w:rPr>
                <w:rFonts w:hAnsi="宋体" w:cs="宋体"/>
                <w:bCs/>
                <w:sz w:val="21"/>
              </w:rPr>
            </w:pPr>
            <w:r>
              <w:rPr>
                <w:rFonts w:hAnsi="宋体" w:cs="宋体"/>
                <w:bCs/>
                <w:sz w:val="21"/>
              </w:rPr>
              <w:t>5</w:t>
            </w:r>
            <w:r>
              <w:rPr>
                <w:rFonts w:hint="eastAsia" w:hAnsi="宋体" w:cs="宋体"/>
                <w:bCs/>
                <w:sz w:val="21"/>
              </w:rPr>
              <w:t>.自然人投标的，招标文件规定盖公章处由自然人摁手指指印。</w:t>
            </w:r>
          </w:p>
          <w:p>
            <w:pPr>
              <w:spacing w:line="360" w:lineRule="auto"/>
              <w:jc w:val="left"/>
              <w:rPr>
                <w:rFonts w:ascii="宋体" w:hAnsi="宋体"/>
                <w:szCs w:val="21"/>
              </w:rPr>
            </w:pPr>
            <w:r>
              <w:rPr>
                <w:rFonts w:ascii="宋体" w:hAnsi="宋体" w:cs="宋体"/>
                <w:bCs/>
                <w:szCs w:val="21"/>
              </w:rPr>
              <w:t>6</w:t>
            </w:r>
            <w:r>
              <w:rPr>
                <w:rFonts w:hint="eastAsia" w:ascii="宋体" w:hAnsi="宋体" w:cs="宋体"/>
                <w:bCs/>
                <w:szCs w:val="21"/>
              </w:rPr>
              <w:t>.本招标文件所称的“以上”“以下”“以内”“届满”，包括本数；所称的“不满”“超过”“以外”，不包括本数。</w:t>
            </w:r>
          </w:p>
        </w:tc>
      </w:tr>
    </w:tbl>
    <w:p>
      <w:pPr>
        <w:snapToGrid w:val="0"/>
        <w:rPr>
          <w:rFonts w:ascii="宋体" w:hAnsi="宋体"/>
          <w:sz w:val="24"/>
          <w:szCs w:val="20"/>
        </w:rPr>
      </w:pPr>
    </w:p>
    <w:p>
      <w:pPr>
        <w:snapToGrid w:val="0"/>
        <w:rPr>
          <w:rFonts w:ascii="宋体" w:hAnsi="宋体"/>
          <w:sz w:val="24"/>
          <w:szCs w:val="20"/>
        </w:rPr>
      </w:pPr>
    </w:p>
    <w:p>
      <w:pPr>
        <w:pStyle w:val="4"/>
        <w:keepNext w:val="0"/>
        <w:keepLines w:val="0"/>
        <w:jc w:val="center"/>
      </w:pPr>
      <w:r>
        <w:br w:type="page"/>
      </w:r>
      <w:r>
        <w:rPr>
          <w:rFonts w:hint="eastAsia"/>
        </w:rPr>
        <w:t>投标人须知正文</w:t>
      </w:r>
    </w:p>
    <w:p>
      <w:pPr>
        <w:pStyle w:val="4"/>
        <w:keepNext w:val="0"/>
        <w:keepLines w:val="0"/>
        <w:jc w:val="center"/>
      </w:pPr>
      <w:r>
        <w:rPr>
          <w:rFonts w:hint="eastAsia"/>
        </w:rPr>
        <w:t>一、总  则</w:t>
      </w:r>
    </w:p>
    <w:p>
      <w:pPr>
        <w:pStyle w:val="6"/>
        <w:keepNext w:val="0"/>
        <w:keepLines w:val="0"/>
        <w:spacing w:before="0" w:after="0" w:line="360" w:lineRule="auto"/>
        <w:ind w:left="420" w:leftChars="200"/>
        <w:rPr>
          <w:rFonts w:ascii="黑体" w:hAnsi="黑体" w:eastAsia="黑体"/>
          <w:sz w:val="24"/>
        </w:rPr>
      </w:pPr>
      <w:bookmarkStart w:id="446" w:name="_Toc254970668"/>
      <w:bookmarkStart w:id="447" w:name="_Toc254970527"/>
      <w:r>
        <w:rPr>
          <w:rFonts w:hint="eastAsia" w:ascii="黑体" w:hAnsi="黑体" w:eastAsia="黑体"/>
          <w:sz w:val="24"/>
        </w:rPr>
        <w:t>1.适用范围</w:t>
      </w:r>
      <w:bookmarkEnd w:id="446"/>
      <w:bookmarkEnd w:id="447"/>
    </w:p>
    <w:p>
      <w:pPr>
        <w:snapToGrid w:val="0"/>
        <w:spacing w:line="360" w:lineRule="auto"/>
        <w:ind w:firstLine="420" w:firstLineChars="200"/>
        <w:jc w:val="left"/>
        <w:rPr>
          <w:rFonts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20" w:firstLineChars="200"/>
        <w:jc w:val="left"/>
        <w:rPr>
          <w:rFonts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w:t>
      </w:r>
      <w:r>
        <w:rPr>
          <w:rFonts w:hint="eastAsia" w:ascii="宋体" w:hAnsi="宋体" w:cs="宋体"/>
          <w:spacing w:val="-6"/>
          <w:szCs w:val="21"/>
          <w:lang w:eastAsia="zh-CN"/>
        </w:rPr>
        <w:t>法律法规</w:t>
      </w:r>
      <w:r>
        <w:rPr>
          <w:rFonts w:hint="eastAsia" w:ascii="宋体" w:hAnsi="宋体" w:cs="宋体"/>
          <w:spacing w:val="-6"/>
          <w:szCs w:val="21"/>
        </w:rPr>
        <w:t>另有规定的，从其规定）。</w:t>
      </w:r>
    </w:p>
    <w:p>
      <w:pPr>
        <w:pStyle w:val="6"/>
        <w:keepNext w:val="0"/>
        <w:keepLines w:val="0"/>
        <w:spacing w:before="0" w:after="0" w:line="360" w:lineRule="auto"/>
        <w:ind w:left="420" w:leftChars="200"/>
        <w:rPr>
          <w:rFonts w:ascii="黑体" w:hAnsi="黑体" w:eastAsia="黑体"/>
          <w:sz w:val="24"/>
        </w:rPr>
      </w:pPr>
      <w:bookmarkStart w:id="448" w:name="_Toc254970528"/>
      <w:bookmarkStart w:id="449" w:name="_Toc254970669"/>
      <w:r>
        <w:rPr>
          <w:rFonts w:hint="eastAsia" w:ascii="黑体" w:hAnsi="黑体" w:eastAsia="黑体"/>
          <w:sz w:val="24"/>
        </w:rPr>
        <w:t>2.定义</w:t>
      </w:r>
      <w:bookmarkEnd w:id="448"/>
      <w:bookmarkEnd w:id="449"/>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2.1“采购人”是指依法进行政府采购的国家机关、事业单位、团体组织。</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2.2“采购代理机构”是指政府采购集中采购机构和集中采购机构以外的采购代理机构。</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2.3“供应商”是指向采购人提供货物、工程或者服务的法人、其他组织或者自然人。</w:t>
      </w:r>
    </w:p>
    <w:p>
      <w:pPr>
        <w:pStyle w:val="7"/>
        <w:spacing w:line="360" w:lineRule="auto"/>
        <w:rPr>
          <w:rFonts w:ascii="宋体" w:hAnsi="宋体"/>
          <w:szCs w:val="21"/>
        </w:rPr>
      </w:pPr>
      <w:r>
        <w:rPr>
          <w:rFonts w:hint="eastAsia" w:ascii="宋体" w:hAnsi="宋体"/>
          <w:szCs w:val="21"/>
        </w:rPr>
        <w:t>2.4“投标人”是指响应招标、参加投标竞争的法人、非法人组织或者自然人。</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2.5“服务”是指除货物和工程以外的其他政府采购对象。</w:t>
      </w:r>
    </w:p>
    <w:p>
      <w:pPr>
        <w:pStyle w:val="6"/>
        <w:keepNext w:val="0"/>
        <w:keepLines w:val="0"/>
        <w:spacing w:before="0" w:after="0" w:line="360" w:lineRule="auto"/>
        <w:rPr>
          <w:rFonts w:ascii="宋体" w:hAnsi="宋体"/>
          <w:b w:val="0"/>
          <w:sz w:val="21"/>
          <w:szCs w:val="21"/>
        </w:rPr>
      </w:pPr>
      <w:r>
        <w:rPr>
          <w:rFonts w:hint="eastAsia" w:ascii="宋体" w:hAnsi="宋体"/>
          <w:b w:val="0"/>
          <w:sz w:val="21"/>
          <w:szCs w:val="21"/>
        </w:rPr>
        <w:t xml:space="preserve">    2.</w:t>
      </w:r>
      <w:r>
        <w:rPr>
          <w:rFonts w:ascii="宋体" w:hAnsi="宋体"/>
          <w:b w:val="0"/>
          <w:sz w:val="21"/>
          <w:szCs w:val="21"/>
        </w:rPr>
        <w:t>6</w:t>
      </w:r>
      <w:r>
        <w:rPr>
          <w:rFonts w:hint="eastAsia" w:ascii="宋体" w:hAnsi="宋体"/>
          <w:b w:val="0"/>
          <w:sz w:val="21"/>
          <w:szCs w:val="21"/>
        </w:rPr>
        <w:t>“书面形式”是指合同书、信件和数据电文（包括电报、电传、传真、电子数据交换和电子邮件）等可以有形地表现所载内容的形式。</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w:t>
      </w:r>
      <w:r>
        <w:rPr>
          <w:rFonts w:ascii="宋体" w:hAnsi="宋体"/>
          <w:b w:val="0"/>
          <w:sz w:val="21"/>
          <w:szCs w:val="21"/>
        </w:rPr>
        <w:t>7</w:t>
      </w:r>
      <w:r>
        <w:rPr>
          <w:rFonts w:hint="eastAsia" w:ascii="宋体" w:hAnsi="宋体"/>
          <w:b w:val="0"/>
          <w:sz w:val="21"/>
          <w:szCs w:val="21"/>
        </w:rPr>
        <w:t>“实质性要求”是指招标文件中已经指明不满足则投标无效的条款，或者不能负偏离的条款，或者采购需求中带“▲”的条款。</w:t>
      </w:r>
    </w:p>
    <w:p>
      <w:pPr>
        <w:snapToGrid w:val="0"/>
        <w:spacing w:line="360" w:lineRule="auto"/>
        <w:ind w:firstLine="420" w:firstLineChars="200"/>
        <w:jc w:val="left"/>
        <w:rPr>
          <w:rFonts w:ascii="宋体" w:hAnsi="宋体" w:cs="宋体"/>
          <w:szCs w:val="21"/>
        </w:rPr>
      </w:pPr>
      <w:r>
        <w:rPr>
          <w:rFonts w:hint="eastAsia" w:ascii="宋体" w:hAnsi="宋体"/>
          <w:szCs w:val="21"/>
        </w:rPr>
        <w:t>2.</w:t>
      </w:r>
      <w:r>
        <w:rPr>
          <w:rFonts w:ascii="宋体" w:hAnsi="宋体"/>
          <w:szCs w:val="21"/>
        </w:rPr>
        <w:t>8</w:t>
      </w:r>
      <w:r>
        <w:rPr>
          <w:rFonts w:hint="eastAsia" w:ascii="宋体" w:hAnsi="宋体" w:cs="宋体"/>
          <w:szCs w:val="21"/>
        </w:rPr>
        <w:t>“正偏离”，是指投标文件对招标文件“采购需求”中有关条款作出的响应优于条款要求并有利于采购人的情形。</w:t>
      </w:r>
    </w:p>
    <w:p>
      <w:pPr>
        <w:snapToGrid w:val="0"/>
        <w:spacing w:line="360" w:lineRule="auto"/>
        <w:ind w:firstLine="420" w:firstLineChars="200"/>
        <w:jc w:val="left"/>
        <w:rPr>
          <w:rFonts w:ascii="宋体" w:hAnsi="宋体" w:cs="宋体"/>
          <w:szCs w:val="21"/>
        </w:rPr>
      </w:pPr>
      <w:r>
        <w:rPr>
          <w:rFonts w:ascii="宋体" w:hAnsi="宋体" w:cs="宋体"/>
          <w:szCs w:val="21"/>
        </w:rPr>
        <w:t>2.9</w:t>
      </w:r>
      <w:r>
        <w:rPr>
          <w:rFonts w:hint="eastAsia" w:ascii="宋体" w:hAnsi="宋体" w:cs="宋体"/>
          <w:szCs w:val="21"/>
        </w:rPr>
        <w:t>“负偏离”，是指投标文件对招标文件“采购需求”中有关条款作出的响应不满足条款要求，导致采购人要求不能得到满足的情形。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ascii="宋体" w:hAnsi="宋体"/>
          <w:szCs w:val="21"/>
        </w:rPr>
      </w:pPr>
      <w:r>
        <w:rPr>
          <w:rFonts w:hint="eastAsia" w:ascii="宋体" w:hAnsi="宋体"/>
          <w:szCs w:val="21"/>
        </w:rPr>
        <w:t>2.1</w:t>
      </w:r>
      <w:r>
        <w:rPr>
          <w:rFonts w:ascii="宋体" w:hAnsi="宋体"/>
          <w:szCs w:val="21"/>
        </w:rPr>
        <w:t>0</w:t>
      </w:r>
      <w:r>
        <w:rPr>
          <w:rFonts w:hint="eastAsia" w:ascii="宋体" w:hAnsi="宋体" w:cs="宋体"/>
          <w:szCs w:val="21"/>
        </w:rPr>
        <w:t>“允许负偏离的条款”是指采购需求中的不属于“实质性要求”的条款。</w:t>
      </w:r>
      <w:bookmarkStart w:id="450" w:name="_Toc254970529"/>
      <w:bookmarkStart w:id="451" w:name="_Toc254970670"/>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w:t>
      </w:r>
      <w:bookmarkEnd w:id="450"/>
      <w:bookmarkEnd w:id="451"/>
      <w:r>
        <w:rPr>
          <w:rFonts w:hint="eastAsia" w:ascii="黑体" w:hAnsi="黑体" w:eastAsia="黑体"/>
          <w:sz w:val="24"/>
        </w:rPr>
        <w:t>投标人的资格要求</w:t>
      </w:r>
    </w:p>
    <w:p>
      <w:pPr>
        <w:snapToGrid w:val="0"/>
        <w:spacing w:line="360" w:lineRule="auto"/>
        <w:ind w:firstLine="420" w:firstLineChars="200"/>
        <w:jc w:val="left"/>
        <w:rPr>
          <w:rFonts w:ascii="宋体" w:hAnsi="宋体"/>
          <w:szCs w:val="21"/>
        </w:rPr>
      </w:pPr>
      <w:r>
        <w:rPr>
          <w:rFonts w:hint="eastAsia" w:ascii="宋体" w:hAnsi="宋体"/>
          <w:szCs w:val="21"/>
        </w:rPr>
        <w:t>投标人的资格要求详见“投标人须知前附表”。</w:t>
      </w:r>
    </w:p>
    <w:p>
      <w:pPr>
        <w:pStyle w:val="6"/>
        <w:keepNext w:val="0"/>
        <w:keepLines w:val="0"/>
        <w:spacing w:before="0" w:after="0" w:line="360" w:lineRule="auto"/>
        <w:ind w:left="420" w:leftChars="200"/>
        <w:rPr>
          <w:rFonts w:ascii="黑体" w:hAnsi="黑体" w:eastAsia="黑体"/>
          <w:sz w:val="24"/>
        </w:rPr>
      </w:pPr>
      <w:bookmarkStart w:id="452" w:name="_Toc254970671"/>
      <w:bookmarkStart w:id="453" w:name="_Toc254970530"/>
      <w:r>
        <w:rPr>
          <w:rFonts w:hint="eastAsia" w:ascii="黑体" w:hAnsi="黑体" w:eastAsia="黑体"/>
          <w:sz w:val="24"/>
        </w:rPr>
        <w:t>4.投标委托</w:t>
      </w:r>
      <w:bookmarkEnd w:id="452"/>
      <w:bookmarkEnd w:id="453"/>
    </w:p>
    <w:p>
      <w:pPr>
        <w:snapToGrid w:val="0"/>
        <w:spacing w:line="360" w:lineRule="auto"/>
        <w:ind w:firstLine="420" w:firstLineChars="200"/>
        <w:jc w:val="left"/>
        <w:rPr>
          <w:rFonts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投标人代表参加投标活动过程中必须携带个人有效身份证件。如投标人代表不是法定代表人，须持有法定代表人授权委托书（按第六章要求格式填写）。</w:t>
      </w:r>
    </w:p>
    <w:p>
      <w:pPr>
        <w:pStyle w:val="6"/>
        <w:keepNext w:val="0"/>
        <w:keepLines w:val="0"/>
        <w:spacing w:before="0" w:after="0" w:line="360" w:lineRule="auto"/>
        <w:ind w:left="420" w:leftChars="200"/>
        <w:rPr>
          <w:rFonts w:ascii="黑体" w:hAnsi="黑体" w:eastAsia="黑体"/>
          <w:sz w:val="24"/>
        </w:rPr>
      </w:pPr>
      <w:bookmarkStart w:id="454" w:name="_5.投标费用"/>
      <w:bookmarkEnd w:id="454"/>
      <w:bookmarkStart w:id="455" w:name="_Toc254970531"/>
      <w:bookmarkStart w:id="456" w:name="_Toc254970672"/>
      <w:r>
        <w:rPr>
          <w:rFonts w:hint="eastAsia" w:ascii="黑体" w:hAnsi="黑体" w:eastAsia="黑体"/>
          <w:sz w:val="24"/>
        </w:rPr>
        <w:t>5.投标费用</w:t>
      </w:r>
      <w:bookmarkEnd w:id="455"/>
      <w:bookmarkEnd w:id="456"/>
    </w:p>
    <w:p>
      <w:pPr>
        <w:snapToGrid w:val="0"/>
        <w:spacing w:line="360" w:lineRule="auto"/>
        <w:ind w:firstLine="420" w:firstLineChars="200"/>
        <w:jc w:val="left"/>
        <w:rPr>
          <w:rFonts w:ascii="宋体" w:hAnsi="宋体"/>
          <w:szCs w:val="21"/>
        </w:rPr>
      </w:pPr>
      <w:r>
        <w:rPr>
          <w:rFonts w:hint="eastAsia" w:ascii="宋体" w:hAnsi="宋体" w:cs="宋体"/>
          <w:szCs w:val="21"/>
        </w:rPr>
        <w:t>投标费用：投标人应承担参与本次采购活动有关的所有费用，包括但不限于获取招标文件、勘查现场、编制和提交投标文件、参加澄清说明、签订合同等，不论投标结果如何，均应自行承担。</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6.联合体投标</w:t>
      </w:r>
    </w:p>
    <w:p>
      <w:pPr>
        <w:snapToGrid w:val="0"/>
        <w:spacing w:line="360" w:lineRule="auto"/>
        <w:ind w:firstLine="420" w:firstLineChars="200"/>
        <w:jc w:val="left"/>
        <w:rPr>
          <w:rFonts w:ascii="宋体" w:hAnsi="宋体"/>
          <w:szCs w:val="21"/>
        </w:rPr>
      </w:pPr>
      <w:r>
        <w:rPr>
          <w:rFonts w:hint="eastAsia" w:ascii="宋体" w:hAnsi="宋体"/>
          <w:szCs w:val="21"/>
        </w:rPr>
        <w:t>6.1本项目是否接受联合体投标，详见“投标人须知前附表”。</w:t>
      </w:r>
    </w:p>
    <w:p>
      <w:pPr>
        <w:snapToGrid w:val="0"/>
        <w:spacing w:line="360" w:lineRule="auto"/>
        <w:ind w:firstLine="420" w:firstLineChars="200"/>
        <w:jc w:val="left"/>
        <w:rPr>
          <w:rFonts w:ascii="宋体" w:hAnsi="宋体"/>
          <w:bCs/>
          <w:szCs w:val="21"/>
        </w:rPr>
      </w:pPr>
      <w:r>
        <w:rPr>
          <w:rFonts w:hint="eastAsia" w:ascii="宋体" w:hAnsi="宋体"/>
          <w:bCs/>
          <w:szCs w:val="21"/>
        </w:rPr>
        <w:t>6.2如接受联合体投标，联合体投标要求详见“投标人须知前附表”。</w:t>
      </w:r>
    </w:p>
    <w:p>
      <w:pPr>
        <w:snapToGrid w:val="0"/>
        <w:spacing w:line="360" w:lineRule="auto"/>
        <w:ind w:firstLine="420" w:firstLineChars="200"/>
        <w:jc w:val="left"/>
        <w:rPr>
          <w:rFonts w:ascii="宋体" w:hAnsi="宋体"/>
          <w:szCs w:val="21"/>
        </w:rPr>
      </w:pPr>
      <w:r>
        <w:rPr>
          <w:rFonts w:hint="eastAsia" w:ascii="宋体" w:hAnsi="宋体"/>
          <w:bCs/>
          <w:szCs w:val="21"/>
        </w:rPr>
        <w:t>6.3根据</w:t>
      </w:r>
      <w:r>
        <w:rPr>
          <w:rFonts w:hint="eastAsia" w:ascii="宋体" w:hAnsi="宋体"/>
          <w:szCs w:val="21"/>
        </w:rPr>
        <w:t>《政府采购促进中小企业发展管理办法》</w:t>
      </w:r>
      <w:r>
        <w:rPr>
          <w:rFonts w:hint="eastAsia" w:ascii="宋体" w:hAnsi="宋体"/>
          <w:bCs/>
          <w:szCs w:val="21"/>
        </w:rPr>
        <w:t>（财库[2020]46号）第九条及</w:t>
      </w:r>
      <w:r>
        <w:rPr>
          <w:rFonts w:hint="eastAsia" w:ascii="宋体" w:hAnsi="宋体"/>
          <w:szCs w:val="21"/>
        </w:rPr>
        <w:t>关于进一步加大政府采购支持中小企业力度的通知（财库〔2022〕19号）</w:t>
      </w:r>
      <w:r>
        <w:rPr>
          <w:rFonts w:hint="eastAsia" w:ascii="宋体" w:hAnsi="宋体"/>
          <w:bCs/>
          <w:szCs w:val="21"/>
        </w:rPr>
        <w:t>规定，接受大中型企业与小微企业组成联合体的采购项目，对于联合协议约定小微企业的合同份额占到合同总金额 30%以上的，采购人、采购代理机构应当对联合体的报价给予 4%-6%的扣除，用扣除后的价格参加评审。组成联合体的小微企业与联合体内其他企业、分包企业之间存在直接控股、管理关系的，不享受价格扣除优惠政策。</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 xml:space="preserve">7.转包与分包             </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7.1本项目不允许转包。</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7.2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keepNext w:val="0"/>
        <w:keepLines w:val="0"/>
        <w:spacing w:before="0" w:after="0" w:line="360" w:lineRule="auto"/>
        <w:ind w:firstLine="420" w:firstLineChars="200"/>
        <w:rPr>
          <w:rFonts w:ascii="宋体" w:hAnsi="宋体"/>
          <w:b w:val="0"/>
          <w:sz w:val="21"/>
          <w:szCs w:val="21"/>
        </w:rPr>
      </w:pPr>
      <w:r>
        <w:rPr>
          <w:rFonts w:ascii="宋体" w:hAnsi="宋体"/>
          <w:b w:val="0"/>
          <w:sz w:val="21"/>
          <w:szCs w:val="21"/>
        </w:rPr>
        <w:t>7</w:t>
      </w:r>
      <w:r>
        <w:rPr>
          <w:rFonts w:hint="eastAsia" w:ascii="宋体" w:hAnsi="宋体"/>
          <w:b w:val="0"/>
          <w:sz w:val="21"/>
          <w:szCs w:val="21"/>
        </w:rPr>
        <w:t>.3投标人根据招标文件的规定和采购项目的实际情况，拟在中标后将成交项目的非主体、非关键性工作分包的，应当在投标文件中载明分包承担主体，分包承担主体应当具备相应资质条件且不得再次分包。</w:t>
      </w:r>
    </w:p>
    <w:p>
      <w:pPr>
        <w:pStyle w:val="6"/>
        <w:keepNext w:val="0"/>
        <w:keepLines w:val="0"/>
        <w:spacing w:before="0" w:after="0" w:line="360" w:lineRule="auto"/>
        <w:ind w:firstLine="420" w:firstLineChars="200"/>
      </w:pPr>
      <w:r>
        <w:rPr>
          <w:rFonts w:ascii="宋体" w:hAnsi="宋体"/>
          <w:b w:val="0"/>
          <w:sz w:val="21"/>
          <w:szCs w:val="21"/>
        </w:rPr>
        <w:t>7</w:t>
      </w:r>
      <w:r>
        <w:rPr>
          <w:rFonts w:hint="eastAsia" w:ascii="宋体" w:hAnsi="宋体"/>
          <w:b w:val="0"/>
          <w:sz w:val="21"/>
          <w:szCs w:val="21"/>
        </w:rPr>
        <w:t>.4根据《政府采购促进中小企业发展管理办法》（财库[2020]46号）第九条及关于进一步加大政府采购支持中小企业力度的通知（财库〔2022〕19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pStyle w:val="6"/>
        <w:keepNext w:val="0"/>
        <w:keepLines w:val="0"/>
        <w:spacing w:before="0" w:after="0" w:line="360" w:lineRule="auto"/>
        <w:ind w:left="420" w:leftChars="200"/>
        <w:rPr>
          <w:rFonts w:ascii="黑体" w:hAnsi="黑体" w:eastAsia="黑体"/>
          <w:sz w:val="24"/>
        </w:rPr>
      </w:pPr>
      <w:bookmarkStart w:id="457" w:name="_Toc254970532"/>
      <w:bookmarkStart w:id="458" w:name="_Toc254970673"/>
      <w:r>
        <w:rPr>
          <w:rFonts w:hint="eastAsia" w:ascii="黑体" w:hAnsi="黑体" w:eastAsia="黑体"/>
          <w:sz w:val="24"/>
        </w:rPr>
        <w:t>8.特别说明</w:t>
      </w:r>
      <w:bookmarkEnd w:id="457"/>
      <w:bookmarkEnd w:id="458"/>
    </w:p>
    <w:p>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8.1如果本招标文件要求提供投标人或制造商的资格、信誉、荣誉、业绩与企业认证等材料的，资格、信誉、荣誉、业绩与企业认证等必须为投标人或者制造商所拥有或自身获得 。</w:t>
      </w:r>
    </w:p>
    <w:p>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8.2投标人应仔细阅读招标文件的所有内容，按照招标文件的要求提交投标文件，并对所提供的全部资料的真实性承担法律责任。</w:t>
      </w:r>
    </w:p>
    <w:p>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8.3投标人在投标活动中提供任何虚假材料谋取中标的，将报监管部门查处；中标后发现的，中标人须依照《中华人民共和国消费者权益保护法》规定赔偿采购人，且民事赔偿并不免除违法投标人的行政与刑事责任。</w:t>
      </w:r>
    </w:p>
    <w:p>
      <w:pPr>
        <w:pStyle w:val="6"/>
        <w:keepNext w:val="0"/>
        <w:keepLines w:val="0"/>
        <w:spacing w:before="0" w:after="0" w:line="360" w:lineRule="auto"/>
        <w:ind w:left="420" w:leftChars="200"/>
        <w:rPr>
          <w:rFonts w:ascii="黑体" w:hAnsi="黑体" w:eastAsia="黑体"/>
          <w:sz w:val="24"/>
        </w:rPr>
      </w:pPr>
      <w:r>
        <w:rPr>
          <w:rFonts w:ascii="黑体" w:hAnsi="黑体" w:eastAsia="黑体"/>
          <w:sz w:val="24"/>
        </w:rPr>
        <w:t>9.</w:t>
      </w:r>
      <w:r>
        <w:rPr>
          <w:rFonts w:hint="eastAsia" w:ascii="黑体" w:hAnsi="黑体" w:eastAsia="黑体"/>
          <w:sz w:val="24"/>
        </w:rPr>
        <w:t>回避与串通投标</w:t>
      </w:r>
    </w:p>
    <w:p>
      <w:pPr>
        <w:pStyle w:val="6"/>
        <w:keepNext w:val="0"/>
        <w:keepLines w:val="0"/>
        <w:spacing w:before="0" w:after="0" w:line="360" w:lineRule="auto"/>
        <w:ind w:firstLine="367" w:firstLineChars="175"/>
        <w:rPr>
          <w:rFonts w:ascii="宋体" w:hAnsi="宋体"/>
          <w:b w:val="0"/>
          <w:sz w:val="21"/>
          <w:szCs w:val="21"/>
        </w:rPr>
      </w:pPr>
      <w:r>
        <w:rPr>
          <w:rFonts w:hint="eastAsia" w:ascii="宋体" w:hAnsi="宋体"/>
          <w:b w:val="0"/>
          <w:sz w:val="21"/>
          <w:szCs w:val="21"/>
        </w:rPr>
        <w:t>9</w:t>
      </w:r>
      <w:r>
        <w:rPr>
          <w:rFonts w:ascii="宋体" w:hAnsi="宋体"/>
          <w:b w:val="0"/>
          <w:sz w:val="21"/>
          <w:szCs w:val="21"/>
        </w:rPr>
        <w:t>.1在政府采购活动中，采购人员及相关人员与</w:t>
      </w:r>
      <w:r>
        <w:rPr>
          <w:rFonts w:hint="eastAsia" w:ascii="宋体" w:hAnsi="宋体"/>
          <w:b w:val="0"/>
          <w:sz w:val="21"/>
          <w:szCs w:val="21"/>
        </w:rPr>
        <w:t>供应商</w:t>
      </w:r>
      <w:r>
        <w:rPr>
          <w:rFonts w:ascii="宋体" w:hAnsi="宋体"/>
          <w:b w:val="0"/>
          <w:sz w:val="21"/>
          <w:szCs w:val="21"/>
        </w:rPr>
        <w:t>有下列利害关系之一的，应当回避：</w:t>
      </w:r>
    </w:p>
    <w:p>
      <w:pPr>
        <w:pStyle w:val="2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1</w:t>
      </w:r>
      <w:r>
        <w:rPr>
          <w:rFonts w:hAnsi="宋体"/>
          <w:kern w:val="2"/>
          <w:sz w:val="21"/>
        </w:rPr>
        <w:t>）参加采购活动前3年内与</w:t>
      </w:r>
      <w:r>
        <w:rPr>
          <w:rFonts w:hint="eastAsia" w:hAnsi="宋体"/>
          <w:kern w:val="2"/>
          <w:sz w:val="21"/>
        </w:rPr>
        <w:t>供应商</w:t>
      </w:r>
      <w:r>
        <w:rPr>
          <w:rFonts w:hAnsi="宋体"/>
          <w:kern w:val="2"/>
          <w:sz w:val="21"/>
        </w:rPr>
        <w:t>存在劳动关系；</w:t>
      </w:r>
    </w:p>
    <w:p>
      <w:pPr>
        <w:pStyle w:val="2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2</w:t>
      </w:r>
      <w:r>
        <w:rPr>
          <w:rFonts w:hAnsi="宋体"/>
          <w:kern w:val="2"/>
          <w:sz w:val="21"/>
        </w:rPr>
        <w:t>）参加采购活动前3年内担任</w:t>
      </w:r>
      <w:r>
        <w:rPr>
          <w:rFonts w:hint="eastAsia" w:hAnsi="宋体"/>
          <w:kern w:val="2"/>
          <w:sz w:val="21"/>
        </w:rPr>
        <w:t>供应商</w:t>
      </w:r>
      <w:r>
        <w:rPr>
          <w:rFonts w:hAnsi="宋体"/>
          <w:kern w:val="2"/>
          <w:sz w:val="21"/>
        </w:rPr>
        <w:t>的董事、监事；</w:t>
      </w:r>
    </w:p>
    <w:p>
      <w:pPr>
        <w:pStyle w:val="2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3</w:t>
      </w:r>
      <w:r>
        <w:rPr>
          <w:rFonts w:hAnsi="宋体"/>
          <w:kern w:val="2"/>
          <w:sz w:val="21"/>
        </w:rPr>
        <w:t>）参加采购活动前3年内是</w:t>
      </w:r>
      <w:r>
        <w:rPr>
          <w:rFonts w:hint="eastAsia" w:hAnsi="宋体"/>
          <w:kern w:val="2"/>
          <w:sz w:val="21"/>
        </w:rPr>
        <w:t>供应商</w:t>
      </w:r>
      <w:r>
        <w:rPr>
          <w:rFonts w:hAnsi="宋体"/>
          <w:kern w:val="2"/>
          <w:sz w:val="21"/>
        </w:rPr>
        <w:t>的控股股东或者实际控制人；</w:t>
      </w:r>
    </w:p>
    <w:p>
      <w:pPr>
        <w:pStyle w:val="2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4</w:t>
      </w:r>
      <w:r>
        <w:rPr>
          <w:rFonts w:hAnsi="宋体"/>
          <w:kern w:val="2"/>
          <w:sz w:val="21"/>
        </w:rPr>
        <w:t>）与</w:t>
      </w:r>
      <w:r>
        <w:rPr>
          <w:rFonts w:hint="eastAsia" w:hAnsi="宋体"/>
          <w:kern w:val="2"/>
          <w:sz w:val="21"/>
        </w:rPr>
        <w:t>供应商</w:t>
      </w:r>
      <w:r>
        <w:rPr>
          <w:rFonts w:hAnsi="宋体"/>
          <w:kern w:val="2"/>
          <w:sz w:val="21"/>
        </w:rPr>
        <w:t>的法定代表人或者负责人有夫妻、直系血亲、三代以内旁系血亲或者近姻亲关系；</w:t>
      </w:r>
    </w:p>
    <w:p>
      <w:pPr>
        <w:pStyle w:val="26"/>
        <w:snapToGrid w:val="0"/>
        <w:spacing w:line="360" w:lineRule="auto"/>
        <w:ind w:left="2" w:leftChars="1" w:firstLine="420" w:firstLineChars="200"/>
        <w:rPr>
          <w:rFonts w:hAnsi="宋体"/>
          <w:kern w:val="2"/>
          <w:sz w:val="21"/>
        </w:rPr>
      </w:pPr>
      <w:r>
        <w:rPr>
          <w:rFonts w:hAnsi="宋体"/>
          <w:kern w:val="2"/>
          <w:sz w:val="21"/>
        </w:rPr>
        <w:t>（</w:t>
      </w:r>
      <w:r>
        <w:rPr>
          <w:rFonts w:hint="eastAsia" w:hAnsi="宋体"/>
          <w:kern w:val="2"/>
          <w:sz w:val="21"/>
        </w:rPr>
        <w:t>5</w:t>
      </w:r>
      <w:r>
        <w:rPr>
          <w:rFonts w:hAnsi="宋体"/>
          <w:kern w:val="2"/>
          <w:sz w:val="21"/>
        </w:rPr>
        <w:t>）与</w:t>
      </w:r>
      <w:r>
        <w:rPr>
          <w:rFonts w:hint="eastAsia" w:hAnsi="宋体"/>
          <w:kern w:val="2"/>
          <w:sz w:val="21"/>
        </w:rPr>
        <w:t>供应商</w:t>
      </w:r>
      <w:r>
        <w:rPr>
          <w:rFonts w:hAnsi="宋体"/>
          <w:kern w:val="2"/>
          <w:sz w:val="21"/>
        </w:rPr>
        <w:t>有其他可能影响政府采购活动公平、公正进行的关系。</w:t>
      </w:r>
    </w:p>
    <w:p>
      <w:pPr>
        <w:pStyle w:val="26"/>
        <w:snapToGrid w:val="0"/>
        <w:spacing w:line="360" w:lineRule="auto"/>
        <w:ind w:left="2" w:leftChars="1" w:firstLine="420" w:firstLineChars="200"/>
        <w:rPr>
          <w:rFonts w:hAnsi="宋体"/>
          <w:kern w:val="2"/>
          <w:sz w:val="21"/>
        </w:rPr>
      </w:pPr>
      <w:r>
        <w:rPr>
          <w:rFonts w:hint="eastAsia" w:hAnsi="宋体"/>
          <w:kern w:val="2"/>
          <w:sz w:val="21"/>
        </w:rPr>
        <w:t>供应商</w:t>
      </w:r>
      <w:r>
        <w:rPr>
          <w:rFonts w:hAnsi="宋体"/>
          <w:kern w:val="2"/>
          <w:sz w:val="21"/>
        </w:rPr>
        <w:t>认为采购人员及相关人员与其他</w:t>
      </w:r>
      <w:r>
        <w:rPr>
          <w:rFonts w:hint="eastAsia" w:hAnsi="宋体"/>
          <w:kern w:val="2"/>
          <w:sz w:val="21"/>
        </w:rPr>
        <w:t>供应商</w:t>
      </w:r>
      <w:r>
        <w:rPr>
          <w:rFonts w:hAnsi="宋体"/>
          <w:kern w:val="2"/>
          <w:sz w:val="21"/>
        </w:rPr>
        <w:t>有利害关系的，可以向采购人或者采购代理机构书面提出回避申请，并说明理由。采购人或者采购代理机构应当及时询问被申请回避人员，有利害关系的被申请回避人员应当回避。</w:t>
      </w:r>
    </w:p>
    <w:p>
      <w:pPr>
        <w:pStyle w:val="6"/>
        <w:keepNext w:val="0"/>
        <w:keepLines w:val="0"/>
        <w:spacing w:before="0" w:after="0" w:line="360" w:lineRule="auto"/>
        <w:ind w:left="420" w:leftChars="200"/>
        <w:rPr>
          <w:rFonts w:ascii="宋体" w:hAnsi="宋体"/>
          <w:sz w:val="21"/>
          <w:szCs w:val="21"/>
        </w:rPr>
      </w:pPr>
      <w:r>
        <w:rPr>
          <w:rFonts w:ascii="宋体" w:hAnsi="宋体"/>
          <w:sz w:val="21"/>
          <w:szCs w:val="21"/>
        </w:rPr>
        <w:t>9.2</w:t>
      </w:r>
      <w:r>
        <w:rPr>
          <w:rFonts w:hint="eastAsia" w:ascii="宋体" w:hAnsi="宋体"/>
          <w:sz w:val="21"/>
          <w:szCs w:val="21"/>
        </w:rPr>
        <w:t>有下列情形之一的视为投标人相互串通投标，投标文件将被视为无效：</w:t>
      </w:r>
    </w:p>
    <w:p>
      <w:pPr>
        <w:pStyle w:val="26"/>
        <w:snapToGrid w:val="0"/>
        <w:spacing w:line="360" w:lineRule="auto"/>
        <w:ind w:left="2" w:leftChars="1" w:firstLine="422" w:firstLineChars="200"/>
        <w:rPr>
          <w:rFonts w:hAnsi="宋体"/>
          <w:b/>
          <w:kern w:val="2"/>
          <w:sz w:val="21"/>
        </w:rPr>
      </w:pPr>
      <w:r>
        <w:rPr>
          <w:rFonts w:hint="eastAsia" w:hAnsi="宋体"/>
          <w:b/>
          <w:kern w:val="2"/>
          <w:sz w:val="21"/>
        </w:rPr>
        <w:t xml:space="preserve">（1）不同投标人的投标文件由同一单位或者个人编制； </w:t>
      </w:r>
    </w:p>
    <w:p>
      <w:pPr>
        <w:pStyle w:val="26"/>
        <w:snapToGrid w:val="0"/>
        <w:spacing w:line="360" w:lineRule="auto"/>
        <w:ind w:left="2" w:leftChars="1" w:firstLine="422" w:firstLineChars="200"/>
        <w:rPr>
          <w:rFonts w:hAnsi="宋体"/>
          <w:b/>
          <w:kern w:val="2"/>
          <w:sz w:val="21"/>
        </w:rPr>
      </w:pPr>
      <w:r>
        <w:rPr>
          <w:rFonts w:hint="eastAsia" w:hAnsi="宋体"/>
          <w:b/>
          <w:kern w:val="2"/>
          <w:sz w:val="21"/>
        </w:rPr>
        <w:t>（2）不同投标人委托同一单位或者个人办理投标事宜；</w:t>
      </w:r>
    </w:p>
    <w:p>
      <w:pPr>
        <w:pStyle w:val="26"/>
        <w:snapToGrid w:val="0"/>
        <w:spacing w:line="360" w:lineRule="auto"/>
        <w:ind w:left="2" w:leftChars="1" w:firstLine="422" w:firstLineChars="200"/>
        <w:rPr>
          <w:rFonts w:hAnsi="宋体"/>
          <w:b/>
          <w:kern w:val="2"/>
          <w:sz w:val="21"/>
        </w:rPr>
      </w:pPr>
      <w:r>
        <w:rPr>
          <w:rFonts w:hint="eastAsia" w:hAnsi="宋体"/>
          <w:b/>
          <w:kern w:val="2"/>
          <w:sz w:val="21"/>
        </w:rPr>
        <w:t>（3）不同的投标人的投标文件载明的项目管理员为同一个人；</w:t>
      </w:r>
    </w:p>
    <w:p>
      <w:pPr>
        <w:pStyle w:val="26"/>
        <w:snapToGrid w:val="0"/>
        <w:spacing w:line="360" w:lineRule="auto"/>
        <w:ind w:left="2" w:leftChars="1" w:firstLine="422" w:firstLineChars="200"/>
        <w:rPr>
          <w:rFonts w:hAnsi="宋体"/>
          <w:b/>
          <w:kern w:val="2"/>
          <w:sz w:val="21"/>
        </w:rPr>
      </w:pPr>
      <w:r>
        <w:rPr>
          <w:rFonts w:hint="eastAsia" w:hAnsi="宋体"/>
          <w:b/>
          <w:kern w:val="2"/>
          <w:sz w:val="21"/>
        </w:rPr>
        <w:t>（4）不同投标人的投标文件异常一致或者投标报价呈规律性差异；</w:t>
      </w:r>
    </w:p>
    <w:p>
      <w:pPr>
        <w:pStyle w:val="26"/>
        <w:snapToGrid w:val="0"/>
        <w:spacing w:line="360" w:lineRule="auto"/>
        <w:ind w:left="2" w:leftChars="1" w:firstLine="422" w:firstLineChars="200"/>
        <w:rPr>
          <w:rFonts w:hAnsi="宋体"/>
          <w:b/>
          <w:kern w:val="2"/>
          <w:sz w:val="21"/>
        </w:rPr>
      </w:pPr>
      <w:r>
        <w:rPr>
          <w:rFonts w:hint="eastAsia" w:hAnsi="宋体"/>
          <w:b/>
          <w:kern w:val="2"/>
          <w:sz w:val="21"/>
        </w:rPr>
        <w:t>（5）不同投标人的投标文件相互混装；</w:t>
      </w:r>
    </w:p>
    <w:p>
      <w:pPr>
        <w:pStyle w:val="26"/>
        <w:snapToGrid w:val="0"/>
        <w:spacing w:line="360" w:lineRule="auto"/>
        <w:ind w:left="2" w:leftChars="1" w:firstLine="422" w:firstLineChars="200"/>
        <w:rPr>
          <w:rFonts w:hAnsi="宋体"/>
          <w:b/>
          <w:kern w:val="2"/>
          <w:sz w:val="21"/>
        </w:rPr>
      </w:pPr>
      <w:r>
        <w:rPr>
          <w:rFonts w:hint="eastAsia" w:hAnsi="宋体"/>
          <w:b/>
          <w:kern w:val="2"/>
          <w:sz w:val="21"/>
        </w:rPr>
        <w:t>（6）不同投标人的投标保证金从同一单位或者个人账户转出。</w:t>
      </w:r>
    </w:p>
    <w:p>
      <w:pPr>
        <w:pStyle w:val="6"/>
        <w:keepNext w:val="0"/>
        <w:keepLines w:val="0"/>
        <w:spacing w:before="0" w:after="0" w:line="360" w:lineRule="auto"/>
        <w:ind w:left="420" w:leftChars="200"/>
        <w:rPr>
          <w:rFonts w:ascii="宋体" w:hAnsi="宋体"/>
          <w:b w:val="0"/>
          <w:sz w:val="21"/>
          <w:szCs w:val="21"/>
        </w:rPr>
      </w:pPr>
      <w:r>
        <w:rPr>
          <w:rFonts w:ascii="宋体" w:hAnsi="宋体"/>
          <w:b w:val="0"/>
          <w:sz w:val="21"/>
          <w:szCs w:val="21"/>
        </w:rPr>
        <w:t>9.3</w:t>
      </w:r>
      <w:r>
        <w:rPr>
          <w:rFonts w:hint="eastAsia" w:ascii="宋体" w:hAnsi="宋体"/>
          <w:b w:val="0"/>
          <w:sz w:val="21"/>
          <w:szCs w:val="21"/>
        </w:rPr>
        <w:t>供应商有下列情形之一的，属于恶意串通行为，将报同级监督管理部门：</w:t>
      </w:r>
    </w:p>
    <w:p>
      <w:pPr>
        <w:pStyle w:val="26"/>
        <w:snapToGrid w:val="0"/>
        <w:spacing w:line="360" w:lineRule="auto"/>
        <w:ind w:left="2" w:leftChars="1" w:firstLine="420" w:firstLineChars="200"/>
        <w:rPr>
          <w:rFonts w:hAnsi="宋体"/>
          <w:kern w:val="2"/>
          <w:sz w:val="21"/>
        </w:rPr>
      </w:pPr>
      <w:r>
        <w:rPr>
          <w:rFonts w:hint="eastAsia" w:hAnsi="宋体"/>
          <w:kern w:val="2"/>
          <w:sz w:val="21"/>
        </w:rPr>
        <w:t>（1）供应商直接或者间接从采购人或者采购代理机构处获得其他供应商的相关信息并修改其投标文件或者投标文件；</w:t>
      </w:r>
    </w:p>
    <w:p>
      <w:pPr>
        <w:pStyle w:val="26"/>
        <w:snapToGrid w:val="0"/>
        <w:spacing w:line="360" w:lineRule="auto"/>
        <w:ind w:left="2" w:leftChars="1" w:firstLine="420" w:firstLineChars="200"/>
        <w:rPr>
          <w:rFonts w:hAnsi="宋体"/>
          <w:kern w:val="2"/>
          <w:sz w:val="21"/>
        </w:rPr>
      </w:pPr>
      <w:r>
        <w:rPr>
          <w:rFonts w:hint="eastAsia" w:hAnsi="宋体"/>
          <w:kern w:val="2"/>
          <w:sz w:val="21"/>
        </w:rPr>
        <w:t>（2）供应商按照采购人或者采购代理机构的授意撤换、修改投标文件或者投标文件；</w:t>
      </w:r>
    </w:p>
    <w:p>
      <w:pPr>
        <w:pStyle w:val="26"/>
        <w:snapToGrid w:val="0"/>
        <w:spacing w:line="360" w:lineRule="auto"/>
        <w:ind w:left="2" w:leftChars="1" w:firstLine="420" w:firstLineChars="200"/>
        <w:rPr>
          <w:rFonts w:hAnsi="宋体"/>
          <w:kern w:val="2"/>
          <w:sz w:val="21"/>
        </w:rPr>
      </w:pPr>
      <w:r>
        <w:rPr>
          <w:rFonts w:hint="eastAsia" w:hAnsi="宋体"/>
          <w:kern w:val="2"/>
          <w:sz w:val="21"/>
        </w:rPr>
        <w:t>（3）供应商之间协商报价、技术方案等投标文件或者投标文件的实质性内容；</w:t>
      </w:r>
    </w:p>
    <w:p>
      <w:pPr>
        <w:pStyle w:val="26"/>
        <w:snapToGrid w:val="0"/>
        <w:spacing w:line="360" w:lineRule="auto"/>
        <w:ind w:left="2" w:leftChars="1" w:firstLine="420" w:firstLineChars="200"/>
        <w:rPr>
          <w:rFonts w:hAnsi="宋体"/>
          <w:kern w:val="2"/>
          <w:sz w:val="21"/>
        </w:rPr>
      </w:pPr>
      <w:r>
        <w:rPr>
          <w:rFonts w:hint="eastAsia" w:hAnsi="宋体"/>
          <w:kern w:val="2"/>
          <w:sz w:val="21"/>
        </w:rPr>
        <w:t>（4）属于同一集团、协会、商会等组织成员的供应商按照该组织要求协同参加政府采购活动；</w:t>
      </w:r>
    </w:p>
    <w:p>
      <w:pPr>
        <w:pStyle w:val="26"/>
        <w:snapToGrid w:val="0"/>
        <w:spacing w:line="360" w:lineRule="auto"/>
        <w:ind w:left="2" w:leftChars="1" w:firstLine="420" w:firstLineChars="200"/>
        <w:rPr>
          <w:rFonts w:hAnsi="宋体"/>
          <w:kern w:val="2"/>
          <w:sz w:val="21"/>
        </w:rPr>
      </w:pPr>
      <w:r>
        <w:rPr>
          <w:rFonts w:hint="eastAsia" w:hAnsi="宋体"/>
          <w:kern w:val="2"/>
          <w:sz w:val="21"/>
        </w:rPr>
        <w:t>（5）供应商之间事先约定一致抬高或者压低投标报价，或者在招标项目中事先约定轮流以高价位或者低价位中标，或者事先约定由某一特定供应商中标，然后再参加投标；</w:t>
      </w:r>
    </w:p>
    <w:p>
      <w:pPr>
        <w:pStyle w:val="26"/>
        <w:snapToGrid w:val="0"/>
        <w:spacing w:line="360" w:lineRule="auto"/>
        <w:ind w:left="2" w:leftChars="1" w:firstLine="420" w:firstLineChars="200"/>
        <w:rPr>
          <w:rFonts w:hAnsi="宋体"/>
          <w:kern w:val="2"/>
          <w:sz w:val="21"/>
        </w:rPr>
      </w:pPr>
      <w:r>
        <w:rPr>
          <w:rFonts w:hint="eastAsia" w:hAnsi="宋体"/>
          <w:kern w:val="2"/>
          <w:sz w:val="21"/>
        </w:rPr>
        <w:t>（6）供应商之间商定部分供应商放弃参加政府采购活动或者放弃中标；</w:t>
      </w:r>
    </w:p>
    <w:p>
      <w:pPr>
        <w:pStyle w:val="26"/>
        <w:snapToGrid w:val="0"/>
        <w:spacing w:line="360" w:lineRule="auto"/>
        <w:ind w:left="2" w:leftChars="1" w:firstLine="420" w:firstLineChars="200"/>
        <w:rPr>
          <w:rFonts w:hAnsi="宋体"/>
          <w:kern w:val="2"/>
          <w:sz w:val="21"/>
        </w:rPr>
      </w:pPr>
      <w:r>
        <w:rPr>
          <w:rFonts w:hint="eastAsia" w:hAnsi="宋体"/>
          <w:kern w:val="2"/>
          <w:sz w:val="21"/>
        </w:rPr>
        <w:t>（7）供应商与采购人或者采购代理机构之间、供应商相互之间，为谋求特定供应商中标或者排斥其他供应商的其他串通行为。</w:t>
      </w:r>
    </w:p>
    <w:p>
      <w:pPr>
        <w:pStyle w:val="26"/>
        <w:snapToGrid w:val="0"/>
        <w:spacing w:line="360" w:lineRule="auto"/>
        <w:ind w:left="2" w:leftChars="1" w:firstLine="422" w:firstLineChars="200"/>
        <w:rPr>
          <w:rFonts w:hAnsi="宋体"/>
          <w:b/>
          <w:kern w:val="2"/>
          <w:sz w:val="21"/>
        </w:rPr>
      </w:pPr>
    </w:p>
    <w:p>
      <w:pPr>
        <w:pStyle w:val="4"/>
        <w:keepNext w:val="0"/>
        <w:keepLines w:val="0"/>
        <w:jc w:val="center"/>
      </w:pPr>
      <w:bookmarkStart w:id="459" w:name="_Toc254970534"/>
      <w:bookmarkStart w:id="460" w:name="_Toc254970675"/>
      <w:r>
        <w:rPr>
          <w:rFonts w:hint="eastAsia"/>
        </w:rPr>
        <w:t>二、招标文件</w:t>
      </w:r>
      <w:bookmarkEnd w:id="459"/>
      <w:bookmarkEnd w:id="460"/>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10.招标文件的组成</w:t>
      </w:r>
    </w:p>
    <w:p>
      <w:pPr>
        <w:snapToGrid w:val="0"/>
        <w:spacing w:line="360" w:lineRule="auto"/>
        <w:ind w:firstLine="420"/>
        <w:jc w:val="left"/>
        <w:rPr>
          <w:rFonts w:ascii="宋体" w:hAnsi="宋体"/>
          <w:szCs w:val="21"/>
        </w:rPr>
      </w:pPr>
      <w:r>
        <w:rPr>
          <w:rFonts w:hint="eastAsia" w:ascii="宋体" w:hAnsi="宋体"/>
          <w:szCs w:val="21"/>
        </w:rPr>
        <w:t>（1）招标公告；</w:t>
      </w:r>
    </w:p>
    <w:p>
      <w:pPr>
        <w:snapToGrid w:val="0"/>
        <w:spacing w:line="360" w:lineRule="auto"/>
        <w:ind w:firstLine="420"/>
        <w:jc w:val="left"/>
        <w:rPr>
          <w:rFonts w:ascii="宋体" w:hAnsi="宋体"/>
          <w:szCs w:val="21"/>
        </w:rPr>
      </w:pPr>
      <w:r>
        <w:rPr>
          <w:rFonts w:hint="eastAsia" w:ascii="宋体" w:hAnsi="宋体"/>
          <w:szCs w:val="21"/>
        </w:rPr>
        <w:t xml:space="preserve">（2）采购需求； </w:t>
      </w:r>
    </w:p>
    <w:p>
      <w:pPr>
        <w:snapToGrid w:val="0"/>
        <w:spacing w:line="360" w:lineRule="auto"/>
        <w:ind w:firstLine="420"/>
        <w:jc w:val="left"/>
        <w:rPr>
          <w:rFonts w:ascii="宋体" w:hAnsi="宋体"/>
          <w:szCs w:val="21"/>
        </w:rPr>
      </w:pPr>
      <w:r>
        <w:rPr>
          <w:rFonts w:hint="eastAsia" w:ascii="宋体" w:hAnsi="宋体"/>
          <w:szCs w:val="21"/>
        </w:rPr>
        <w:t>（3）投标人须知；</w:t>
      </w:r>
    </w:p>
    <w:p>
      <w:pPr>
        <w:snapToGrid w:val="0"/>
        <w:spacing w:line="360" w:lineRule="auto"/>
        <w:ind w:firstLine="420"/>
        <w:jc w:val="left"/>
        <w:rPr>
          <w:rFonts w:ascii="宋体" w:hAnsi="宋体"/>
          <w:szCs w:val="21"/>
        </w:rPr>
      </w:pPr>
      <w:r>
        <w:rPr>
          <w:rFonts w:hint="eastAsia" w:ascii="宋体" w:hAnsi="宋体"/>
          <w:szCs w:val="21"/>
        </w:rPr>
        <w:t>（4）评标方法及评标标准；</w:t>
      </w:r>
    </w:p>
    <w:p>
      <w:pPr>
        <w:snapToGrid w:val="0"/>
        <w:spacing w:line="360" w:lineRule="auto"/>
        <w:ind w:firstLine="420"/>
        <w:jc w:val="left"/>
        <w:rPr>
          <w:rFonts w:ascii="宋体" w:hAnsi="宋体"/>
          <w:szCs w:val="21"/>
        </w:rPr>
      </w:pPr>
      <w:r>
        <w:rPr>
          <w:rFonts w:hint="eastAsia" w:ascii="宋体" w:hAnsi="宋体"/>
          <w:szCs w:val="21"/>
        </w:rPr>
        <w:t>（5）拟签订的合同文本；</w:t>
      </w:r>
    </w:p>
    <w:p>
      <w:pPr>
        <w:snapToGrid w:val="0"/>
        <w:spacing w:line="360" w:lineRule="auto"/>
        <w:ind w:firstLine="420"/>
        <w:jc w:val="left"/>
        <w:rPr>
          <w:rFonts w:ascii="宋体" w:hAnsi="宋体"/>
          <w:szCs w:val="21"/>
        </w:rPr>
      </w:pPr>
      <w:r>
        <w:rPr>
          <w:rFonts w:hint="eastAsia" w:ascii="宋体" w:hAnsi="宋体"/>
          <w:szCs w:val="21"/>
        </w:rPr>
        <w:t>（6）投标文件格式。</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11.招标文件的澄清、修改 、现场考察和答疑会</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pStyle w:val="26"/>
        <w:snapToGrid w:val="0"/>
        <w:spacing w:line="360" w:lineRule="auto"/>
        <w:ind w:firstLine="420" w:firstLineChars="200"/>
        <w:rPr>
          <w:rFonts w:hAnsi="宋体"/>
          <w:sz w:val="21"/>
        </w:rPr>
      </w:pPr>
      <w:r>
        <w:rPr>
          <w:rFonts w:hint="eastAsia" w:hAnsi="宋体"/>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26"/>
        <w:snapToGrid w:val="0"/>
        <w:spacing w:line="360" w:lineRule="auto"/>
        <w:ind w:firstLine="420" w:firstLineChars="200"/>
        <w:rPr>
          <w:rFonts w:hAnsi="宋体"/>
          <w:sz w:val="21"/>
        </w:rPr>
      </w:pPr>
      <w:r>
        <w:rPr>
          <w:rFonts w:hint="eastAsia" w:hAnsi="宋体"/>
          <w:sz w:val="21"/>
        </w:rPr>
        <w:t>1</w:t>
      </w:r>
      <w:r>
        <w:rPr>
          <w:rFonts w:hAnsi="宋体"/>
          <w:sz w:val="21"/>
        </w:rPr>
        <w:t>1.2</w:t>
      </w:r>
      <w:bookmarkStart w:id="461" w:name="_Hlk53134511"/>
      <w:r>
        <w:rPr>
          <w:rFonts w:hint="eastAsia" w:hAnsi="宋体"/>
          <w:sz w:val="21"/>
        </w:rPr>
        <w:t>采购人或者采购代理机构可以在招标文件提供期限截止后，组织已获取招标文件的潜在投标人现场考察或者召开开标前答疑会，具体详见“投标人须知前附表”。</w:t>
      </w:r>
    </w:p>
    <w:bookmarkEnd w:id="461"/>
    <w:p>
      <w:pPr>
        <w:pStyle w:val="4"/>
        <w:keepNext w:val="0"/>
        <w:keepLines w:val="0"/>
        <w:jc w:val="center"/>
      </w:pPr>
      <w:bookmarkStart w:id="462" w:name="_Toc254970676"/>
      <w:bookmarkStart w:id="463" w:name="_Toc254970535"/>
      <w:r>
        <w:rPr>
          <w:rFonts w:hint="eastAsia"/>
        </w:rPr>
        <w:t>三、投标文件的编制</w:t>
      </w:r>
      <w:bookmarkEnd w:id="462"/>
      <w:bookmarkEnd w:id="463"/>
    </w:p>
    <w:p>
      <w:pPr>
        <w:pStyle w:val="6"/>
        <w:keepNext w:val="0"/>
        <w:keepLines w:val="0"/>
        <w:spacing w:before="0" w:after="0" w:line="360" w:lineRule="auto"/>
        <w:ind w:left="420" w:leftChars="200"/>
        <w:rPr>
          <w:rFonts w:ascii="黑体" w:hAnsi="黑体" w:eastAsia="黑体"/>
          <w:sz w:val="24"/>
        </w:rPr>
      </w:pPr>
      <w:bookmarkStart w:id="464" w:name="_Toc254970536"/>
      <w:bookmarkStart w:id="465" w:name="_Toc254970677"/>
      <w:r>
        <w:rPr>
          <w:rFonts w:hint="eastAsia" w:ascii="黑体" w:hAnsi="黑体" w:eastAsia="黑体"/>
          <w:sz w:val="24"/>
        </w:rPr>
        <w:t>12.投标文件的编制原则</w:t>
      </w:r>
    </w:p>
    <w:p>
      <w:pPr>
        <w:snapToGrid w:val="0"/>
        <w:spacing w:line="360" w:lineRule="auto"/>
        <w:ind w:firstLine="420"/>
        <w:jc w:val="left"/>
        <w:rPr>
          <w:rFonts w:ascii="宋体" w:hAnsi="宋体" w:cs="Courier New"/>
          <w:szCs w:val="21"/>
        </w:rPr>
      </w:pPr>
      <w:r>
        <w:rPr>
          <w:rFonts w:ascii="宋体" w:hAnsi="宋体"/>
          <w:szCs w:val="21"/>
        </w:rPr>
        <w:t>投标人必须按照招标文件的要求编制投标文件。投标文件必须对招标文件提出的要求和条件作出明确响应。</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13.投标文件的组成</w:t>
      </w:r>
      <w:bookmarkEnd w:id="464"/>
      <w:bookmarkEnd w:id="465"/>
    </w:p>
    <w:p>
      <w:pPr>
        <w:snapToGrid w:val="0"/>
        <w:spacing w:line="360" w:lineRule="auto"/>
        <w:ind w:firstLine="420" w:firstLineChars="200"/>
        <w:jc w:val="left"/>
        <w:rPr>
          <w:rFonts w:ascii="宋体" w:hAnsi="宋体"/>
          <w:szCs w:val="21"/>
        </w:rPr>
      </w:pPr>
      <w:r>
        <w:rPr>
          <w:rFonts w:hint="eastAsia" w:ascii="宋体" w:hAnsi="宋体"/>
          <w:szCs w:val="21"/>
        </w:rPr>
        <w:t>1</w:t>
      </w:r>
      <w:r>
        <w:rPr>
          <w:rFonts w:ascii="宋体" w:hAnsi="宋体"/>
          <w:szCs w:val="21"/>
        </w:rPr>
        <w:t>3.1</w:t>
      </w:r>
      <w:r>
        <w:rPr>
          <w:rFonts w:hint="eastAsia" w:ascii="宋体" w:hAnsi="宋体"/>
          <w:szCs w:val="21"/>
        </w:rPr>
        <w:t>投标文件由报价文件、资格证明文件、商务文件、技术文件四部分组成。</w:t>
      </w:r>
    </w:p>
    <w:p>
      <w:pPr>
        <w:pStyle w:val="6"/>
        <w:keepNext w:val="0"/>
        <w:keepLines w:val="0"/>
        <w:spacing w:before="0" w:after="0" w:line="360" w:lineRule="auto"/>
        <w:ind w:left="420" w:leftChars="200"/>
        <w:rPr>
          <w:rFonts w:ascii="宋体" w:hAnsi="宋体"/>
          <w:b w:val="0"/>
          <w:sz w:val="21"/>
          <w:szCs w:val="21"/>
        </w:rPr>
      </w:pPr>
      <w:bookmarkStart w:id="466" w:name="_13.1报价文件:_具体材料见“投标人须知前附表”。"/>
      <w:bookmarkEnd w:id="466"/>
      <w:r>
        <w:rPr>
          <w:rFonts w:hint="eastAsia" w:ascii="宋体" w:hAnsi="宋体"/>
          <w:b w:val="0"/>
          <w:sz w:val="21"/>
          <w:szCs w:val="21"/>
        </w:rPr>
        <w:t>（1）报价文件：</w:t>
      </w:r>
      <w:r>
        <w:rPr>
          <w:rFonts w:ascii="宋体" w:hAnsi="宋体"/>
          <w:b w:val="0"/>
          <w:sz w:val="21"/>
          <w:szCs w:val="21"/>
        </w:rPr>
        <w:t xml:space="preserve"> 具体材料见“投标人须知前附表”</w:t>
      </w:r>
      <w:r>
        <w:rPr>
          <w:rFonts w:hint="eastAsia" w:ascii="宋体" w:hAnsi="宋体"/>
          <w:b w:val="0"/>
          <w:sz w:val="21"/>
          <w:szCs w:val="21"/>
        </w:rPr>
        <w:t>。</w:t>
      </w:r>
    </w:p>
    <w:p>
      <w:pPr>
        <w:pStyle w:val="6"/>
        <w:keepNext w:val="0"/>
        <w:keepLines w:val="0"/>
        <w:spacing w:before="0" w:after="0" w:line="360" w:lineRule="auto"/>
        <w:ind w:left="420" w:leftChars="200"/>
        <w:rPr>
          <w:rFonts w:ascii="宋体" w:hAnsi="宋体"/>
          <w:b w:val="0"/>
          <w:sz w:val="21"/>
          <w:szCs w:val="21"/>
        </w:rPr>
      </w:pPr>
      <w:bookmarkStart w:id="467" w:name="_13.2资格证明文件：具体材料见“投标人须知前附表”。"/>
      <w:bookmarkEnd w:id="467"/>
      <w:r>
        <w:rPr>
          <w:rFonts w:hint="eastAsia" w:ascii="宋体" w:hAnsi="宋体"/>
          <w:b w:val="0"/>
          <w:sz w:val="21"/>
          <w:szCs w:val="21"/>
        </w:rPr>
        <w:t>（</w:t>
      </w:r>
      <w:r>
        <w:rPr>
          <w:rFonts w:ascii="宋体" w:hAnsi="宋体"/>
          <w:b w:val="0"/>
          <w:sz w:val="21"/>
          <w:szCs w:val="21"/>
        </w:rPr>
        <w:t>2</w:t>
      </w:r>
      <w:r>
        <w:rPr>
          <w:rFonts w:hint="eastAsia" w:ascii="宋体" w:hAnsi="宋体"/>
          <w:b w:val="0"/>
          <w:sz w:val="21"/>
          <w:szCs w:val="21"/>
        </w:rPr>
        <w:t>）资格证明文件：</w:t>
      </w:r>
      <w:r>
        <w:rPr>
          <w:rFonts w:ascii="宋体" w:hAnsi="宋体"/>
          <w:b w:val="0"/>
          <w:sz w:val="21"/>
          <w:szCs w:val="21"/>
        </w:rPr>
        <w:t>具体材料见“投标人须知前附表”</w:t>
      </w:r>
      <w:r>
        <w:rPr>
          <w:rFonts w:hint="eastAsia" w:ascii="宋体" w:hAnsi="宋体"/>
          <w:b w:val="0"/>
          <w:sz w:val="21"/>
          <w:szCs w:val="21"/>
        </w:rPr>
        <w:t>。</w:t>
      </w:r>
    </w:p>
    <w:p>
      <w:pPr>
        <w:pStyle w:val="6"/>
        <w:keepNext w:val="0"/>
        <w:keepLines w:val="0"/>
        <w:spacing w:before="0" w:after="0" w:line="360" w:lineRule="auto"/>
        <w:ind w:left="420" w:leftChars="200"/>
        <w:rPr>
          <w:rFonts w:ascii="宋体" w:hAnsi="宋体"/>
          <w:b w:val="0"/>
          <w:sz w:val="21"/>
          <w:szCs w:val="21"/>
        </w:rPr>
      </w:pPr>
      <w:bookmarkStart w:id="468" w:name="_13.3商务文件:_具体材料见“投标人须知前附表”。"/>
      <w:bookmarkEnd w:id="468"/>
      <w:r>
        <w:rPr>
          <w:rFonts w:hint="eastAsia" w:ascii="宋体" w:hAnsi="宋体"/>
          <w:b w:val="0"/>
          <w:sz w:val="21"/>
          <w:szCs w:val="21"/>
        </w:rPr>
        <w:t>（</w:t>
      </w:r>
      <w:r>
        <w:rPr>
          <w:rFonts w:ascii="宋体" w:hAnsi="宋体"/>
          <w:b w:val="0"/>
          <w:sz w:val="21"/>
          <w:szCs w:val="21"/>
        </w:rPr>
        <w:t>3</w:t>
      </w:r>
      <w:r>
        <w:rPr>
          <w:rFonts w:hint="eastAsia" w:ascii="宋体" w:hAnsi="宋体"/>
          <w:b w:val="0"/>
          <w:sz w:val="21"/>
          <w:szCs w:val="21"/>
        </w:rPr>
        <w:t>）商务文件：</w:t>
      </w:r>
      <w:r>
        <w:rPr>
          <w:rFonts w:ascii="宋体" w:hAnsi="宋体"/>
          <w:b w:val="0"/>
          <w:sz w:val="21"/>
          <w:szCs w:val="21"/>
        </w:rPr>
        <w:t>具体材料见“投标人须知前附表”</w:t>
      </w:r>
      <w:r>
        <w:rPr>
          <w:rFonts w:hint="eastAsia" w:ascii="宋体" w:hAnsi="宋体"/>
          <w:b w:val="0"/>
          <w:sz w:val="21"/>
          <w:szCs w:val="21"/>
        </w:rPr>
        <w:t>。</w:t>
      </w:r>
    </w:p>
    <w:p>
      <w:pPr>
        <w:pStyle w:val="6"/>
        <w:keepNext w:val="0"/>
        <w:keepLines w:val="0"/>
        <w:spacing w:before="0" w:after="0" w:line="360" w:lineRule="auto"/>
        <w:ind w:left="420" w:leftChars="200"/>
        <w:rPr>
          <w:rFonts w:ascii="宋体" w:hAnsi="宋体"/>
          <w:b w:val="0"/>
          <w:sz w:val="21"/>
          <w:szCs w:val="21"/>
        </w:rPr>
      </w:pPr>
      <w:bookmarkStart w:id="469" w:name="_13.4技术文件：具体材料见“投标人须知前附表”。"/>
      <w:bookmarkEnd w:id="469"/>
      <w:r>
        <w:rPr>
          <w:rFonts w:hint="eastAsia" w:ascii="宋体" w:hAnsi="宋体"/>
          <w:b w:val="0"/>
          <w:sz w:val="21"/>
          <w:szCs w:val="21"/>
        </w:rPr>
        <w:t>（</w:t>
      </w:r>
      <w:r>
        <w:rPr>
          <w:rFonts w:ascii="宋体" w:hAnsi="宋体"/>
          <w:b w:val="0"/>
          <w:sz w:val="21"/>
          <w:szCs w:val="21"/>
        </w:rPr>
        <w:t>4</w:t>
      </w:r>
      <w:r>
        <w:rPr>
          <w:rFonts w:hint="eastAsia" w:ascii="宋体" w:hAnsi="宋体"/>
          <w:b w:val="0"/>
          <w:sz w:val="21"/>
          <w:szCs w:val="21"/>
        </w:rPr>
        <w:t>）技术文件：</w:t>
      </w:r>
      <w:r>
        <w:rPr>
          <w:rFonts w:ascii="宋体" w:hAnsi="宋体"/>
          <w:b w:val="0"/>
          <w:sz w:val="21"/>
          <w:szCs w:val="21"/>
        </w:rPr>
        <w:t>具体材料见“投标人须知前附表”</w:t>
      </w:r>
      <w:r>
        <w:rPr>
          <w:rFonts w:hint="eastAsia" w:ascii="宋体" w:hAnsi="宋体"/>
          <w:b w:val="0"/>
          <w:sz w:val="21"/>
          <w:szCs w:val="21"/>
        </w:rPr>
        <w:t>。</w:t>
      </w:r>
    </w:p>
    <w:p>
      <w:pPr>
        <w:pStyle w:val="6"/>
        <w:keepNext w:val="0"/>
        <w:keepLines w:val="0"/>
        <w:spacing w:before="0" w:after="0" w:line="360" w:lineRule="auto"/>
        <w:ind w:left="420" w:leftChars="200"/>
        <w:rPr>
          <w:rFonts w:ascii="宋体" w:hAnsi="宋体"/>
          <w:b w:val="0"/>
          <w:sz w:val="21"/>
          <w:szCs w:val="21"/>
        </w:rPr>
      </w:pPr>
      <w:bookmarkStart w:id="470" w:name="_13.5投标文件电子版：具体材料见“投标人须知前附表”。"/>
      <w:bookmarkEnd w:id="470"/>
      <w:r>
        <w:rPr>
          <w:rFonts w:hint="eastAsia" w:ascii="宋体" w:hAnsi="宋体"/>
          <w:b w:val="0"/>
          <w:sz w:val="21"/>
          <w:szCs w:val="21"/>
        </w:rPr>
        <w:t>13.</w:t>
      </w:r>
      <w:r>
        <w:rPr>
          <w:rFonts w:ascii="宋体" w:hAnsi="宋体"/>
          <w:b w:val="0"/>
          <w:sz w:val="21"/>
          <w:szCs w:val="21"/>
        </w:rPr>
        <w:t>2</w:t>
      </w:r>
      <w:r>
        <w:rPr>
          <w:rFonts w:hint="eastAsia" w:ascii="宋体" w:hAnsi="宋体"/>
          <w:b w:val="0"/>
          <w:sz w:val="21"/>
          <w:szCs w:val="21"/>
        </w:rPr>
        <w:t>投标文件电子版：</w:t>
      </w:r>
      <w:r>
        <w:rPr>
          <w:rFonts w:ascii="宋体" w:hAnsi="宋体"/>
          <w:b w:val="0"/>
          <w:sz w:val="21"/>
          <w:szCs w:val="21"/>
        </w:rPr>
        <w:t>具体</w:t>
      </w:r>
      <w:r>
        <w:rPr>
          <w:rFonts w:hint="eastAsia" w:ascii="宋体" w:hAnsi="宋体"/>
          <w:b w:val="0"/>
          <w:sz w:val="21"/>
          <w:szCs w:val="21"/>
        </w:rPr>
        <w:t>要求</w:t>
      </w:r>
      <w:r>
        <w:rPr>
          <w:rFonts w:ascii="宋体" w:hAnsi="宋体"/>
          <w:b w:val="0"/>
          <w:sz w:val="21"/>
          <w:szCs w:val="21"/>
        </w:rPr>
        <w:t>见“投标人须知前附表”</w:t>
      </w:r>
      <w:r>
        <w:rPr>
          <w:rFonts w:hint="eastAsia" w:ascii="宋体" w:hAnsi="宋体"/>
          <w:b w:val="0"/>
          <w:sz w:val="21"/>
          <w:szCs w:val="21"/>
        </w:rPr>
        <w:t>。</w:t>
      </w:r>
    </w:p>
    <w:p>
      <w:pPr>
        <w:pStyle w:val="6"/>
        <w:keepNext w:val="0"/>
        <w:keepLines w:val="0"/>
        <w:spacing w:before="0" w:after="0" w:line="360" w:lineRule="auto"/>
        <w:ind w:left="420" w:leftChars="200"/>
        <w:rPr>
          <w:rFonts w:ascii="黑体" w:hAnsi="黑体" w:eastAsia="黑体"/>
          <w:sz w:val="24"/>
        </w:rPr>
      </w:pPr>
      <w:bookmarkStart w:id="471" w:name="_Toc254970678"/>
      <w:bookmarkStart w:id="472" w:name="_Toc254970537"/>
      <w:r>
        <w:rPr>
          <w:rFonts w:hint="eastAsia" w:ascii="黑体" w:hAnsi="黑体" w:eastAsia="黑体"/>
          <w:sz w:val="24"/>
        </w:rPr>
        <w:t>14.投标文件的语言及计量</w:t>
      </w:r>
      <w:bookmarkEnd w:id="471"/>
      <w:bookmarkEnd w:id="472"/>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14.1语言文字</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14.2投标计量单位</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招标文件已有明确规定的，使用招标文件规定的计量单位；招标文件没有规定的，应采用中华人民共和国法定计量单位，货币种类为人民币，否则视同未响应。</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15.投标的风险</w:t>
      </w:r>
    </w:p>
    <w:p>
      <w:pPr>
        <w:pStyle w:val="26"/>
        <w:snapToGrid w:val="0"/>
        <w:spacing w:line="360" w:lineRule="auto"/>
        <w:ind w:firstLine="420" w:firstLineChars="200"/>
        <w:jc w:val="left"/>
        <w:rPr>
          <w:rFonts w:hAnsi="宋体"/>
          <w:sz w:val="21"/>
        </w:rPr>
      </w:pPr>
      <w:r>
        <w:rPr>
          <w:rFonts w:hint="eastAsia" w:hAnsi="宋体"/>
          <w:sz w:val="21"/>
        </w:rPr>
        <w:t>投标人没有按照招标文件要求提供全部资料，或者投标人没有对招标文件作出实质性响应是投标人的风险，并可能导致其投标被拒绝。</w:t>
      </w:r>
    </w:p>
    <w:p>
      <w:pPr>
        <w:pStyle w:val="6"/>
        <w:keepNext w:val="0"/>
        <w:keepLines w:val="0"/>
        <w:spacing w:before="0" w:after="0" w:line="360" w:lineRule="auto"/>
        <w:ind w:left="420" w:leftChars="200"/>
        <w:rPr>
          <w:rFonts w:ascii="黑体" w:hAnsi="黑体" w:eastAsia="黑体"/>
          <w:sz w:val="24"/>
        </w:rPr>
      </w:pPr>
      <w:bookmarkStart w:id="473" w:name="_Toc254970538"/>
      <w:bookmarkStart w:id="474" w:name="_Toc254970679"/>
      <w:r>
        <w:rPr>
          <w:rFonts w:hint="eastAsia" w:ascii="黑体" w:hAnsi="黑体" w:eastAsia="黑体"/>
          <w:sz w:val="24"/>
        </w:rPr>
        <w:t>16.投标报价</w:t>
      </w:r>
      <w:bookmarkEnd w:id="473"/>
      <w:bookmarkEnd w:id="474"/>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16.1投标报价应按“第六章　投标文件格式”中“开标一览表”格式填写。</w:t>
      </w:r>
    </w:p>
    <w:p>
      <w:pPr>
        <w:pStyle w:val="6"/>
        <w:keepNext w:val="0"/>
        <w:keepLines w:val="0"/>
        <w:spacing w:before="0" w:after="0" w:line="360" w:lineRule="auto"/>
        <w:ind w:left="420" w:leftChars="200"/>
        <w:rPr>
          <w:rFonts w:ascii="宋体" w:hAnsi="宋体"/>
          <w:b w:val="0"/>
          <w:sz w:val="21"/>
          <w:szCs w:val="21"/>
        </w:rPr>
      </w:pPr>
      <w:bookmarkStart w:id="475" w:name="_16.2投标报价具体定义见投标人须知前附表。"/>
      <w:bookmarkEnd w:id="475"/>
      <w:r>
        <w:rPr>
          <w:rFonts w:hint="eastAsia" w:ascii="宋体" w:hAnsi="宋体"/>
          <w:b w:val="0"/>
          <w:sz w:val="21"/>
          <w:szCs w:val="21"/>
        </w:rPr>
        <w:t>16.2投标报价具体包括内容详见“投标人须知前附表”。</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16.3投标人必须就所投每个分标的全部内容分别作完整唯一总价报价，不得存在漏项报价；投标人必须就所投分标的单项内容作唯一报价。</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17.投标有效期</w:t>
      </w:r>
    </w:p>
    <w:p>
      <w:pPr>
        <w:pStyle w:val="6"/>
        <w:keepNext w:val="0"/>
        <w:keepLines w:val="0"/>
        <w:spacing w:before="0" w:after="0" w:line="360" w:lineRule="auto"/>
        <w:ind w:left="420" w:leftChars="200"/>
        <w:rPr>
          <w:rFonts w:ascii="宋体" w:hAnsi="宋体"/>
          <w:b w:val="0"/>
          <w:sz w:val="21"/>
          <w:szCs w:val="21"/>
        </w:rPr>
      </w:pPr>
      <w:bookmarkStart w:id="476" w:name="_17.1投标有效期应按“投标人须知中的前附表”规定的期限。"/>
      <w:bookmarkEnd w:id="476"/>
      <w:r>
        <w:rPr>
          <w:rFonts w:hint="eastAsia" w:ascii="宋体" w:hAnsi="宋体"/>
          <w:b w:val="0"/>
          <w:sz w:val="21"/>
          <w:szCs w:val="21"/>
        </w:rPr>
        <w:t>17.1投标有效期是指为保证采购人有足够的时间在开标后完成评标、定标、合同签订等工作而要求投标人提交的投标文件在一定时间内保持有效的期限。</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17.2</w:t>
      </w:r>
      <w:bookmarkStart w:id="477" w:name="_Toc254970681"/>
      <w:bookmarkStart w:id="478" w:name="_Toc254970540"/>
      <w:r>
        <w:rPr>
          <w:rFonts w:hint="eastAsia" w:ascii="宋体" w:hAnsi="宋体"/>
          <w:b w:val="0"/>
          <w:sz w:val="21"/>
          <w:szCs w:val="21"/>
        </w:rPr>
        <w:t xml:space="preserve"> 投标有效期应按规定的期限作出承诺，具体详见“投标人须知前附表”。</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17.3投标人的投标文件在投标有效期内均保持有效。</w:t>
      </w:r>
      <w:bookmarkEnd w:id="477"/>
      <w:bookmarkEnd w:id="478"/>
    </w:p>
    <w:p>
      <w:pPr>
        <w:pStyle w:val="6"/>
        <w:keepNext w:val="0"/>
        <w:keepLines w:val="0"/>
        <w:spacing w:before="0" w:after="0" w:line="360" w:lineRule="auto"/>
        <w:ind w:left="420" w:leftChars="200"/>
        <w:rPr>
          <w:rFonts w:ascii="黑体" w:hAnsi="黑体" w:eastAsia="黑体"/>
          <w:sz w:val="24"/>
        </w:rPr>
      </w:pPr>
      <w:bookmarkStart w:id="479" w:name="_18.投标保证金"/>
      <w:bookmarkEnd w:id="479"/>
      <w:bookmarkStart w:id="480" w:name="_Toc254970541"/>
      <w:bookmarkStart w:id="481" w:name="_Toc254970682"/>
      <w:r>
        <w:rPr>
          <w:rFonts w:hint="eastAsia" w:ascii="黑体" w:hAnsi="黑体" w:eastAsia="黑体"/>
          <w:sz w:val="24"/>
        </w:rPr>
        <w:t>18.投标保证金</w:t>
      </w:r>
      <w:bookmarkEnd w:id="480"/>
      <w:bookmarkEnd w:id="481"/>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18.1投标人须按“投标人须知前附表” 的规定提交投标保证金。</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18.2投标保证金的退还</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未中标人的投标保证金自中标通知书发出之日起</w:t>
      </w:r>
      <w:r>
        <w:rPr>
          <w:rFonts w:ascii="宋体" w:hAnsi="宋体"/>
          <w:b w:val="0"/>
          <w:sz w:val="21"/>
          <w:szCs w:val="21"/>
        </w:rPr>
        <w:t>4</w:t>
      </w:r>
      <w:r>
        <w:rPr>
          <w:rFonts w:hint="eastAsia" w:ascii="宋体" w:hAnsi="宋体"/>
          <w:b w:val="0"/>
          <w:sz w:val="21"/>
          <w:szCs w:val="21"/>
        </w:rPr>
        <w:t>个工作日内退还；中标人的投标保证金自政府采购合同签订之日起</w:t>
      </w:r>
      <w:r>
        <w:rPr>
          <w:rFonts w:ascii="宋体" w:hAnsi="宋体"/>
          <w:b w:val="0"/>
          <w:sz w:val="21"/>
          <w:szCs w:val="21"/>
        </w:rPr>
        <w:t>4</w:t>
      </w:r>
      <w:r>
        <w:rPr>
          <w:rFonts w:hint="eastAsia" w:ascii="宋体" w:hAnsi="宋体"/>
          <w:b w:val="0"/>
          <w:sz w:val="21"/>
          <w:szCs w:val="21"/>
        </w:rPr>
        <w:t xml:space="preserve">个工作日内退还。 </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18.</w:t>
      </w:r>
      <w:r>
        <w:rPr>
          <w:rFonts w:ascii="宋体" w:hAnsi="宋体"/>
          <w:b w:val="0"/>
          <w:sz w:val="21"/>
          <w:szCs w:val="21"/>
        </w:rPr>
        <w:t>3</w:t>
      </w:r>
      <w:r>
        <w:rPr>
          <w:rFonts w:hint="eastAsia" w:ascii="宋体" w:hAnsi="宋体"/>
          <w:b w:val="0"/>
          <w:sz w:val="21"/>
          <w:szCs w:val="21"/>
        </w:rPr>
        <w:t xml:space="preserve">投标人有下列情形之一的，投标保证金将不予退还： </w:t>
      </w:r>
    </w:p>
    <w:p>
      <w:pPr>
        <w:snapToGrid w:val="0"/>
        <w:spacing w:line="360" w:lineRule="auto"/>
        <w:ind w:firstLine="411" w:firstLineChars="196"/>
        <w:jc w:val="left"/>
        <w:rPr>
          <w:rFonts w:ascii="宋体" w:hAnsi="宋体"/>
          <w:szCs w:val="21"/>
        </w:rPr>
      </w:pPr>
      <w:r>
        <w:rPr>
          <w:rFonts w:hint="eastAsia" w:ascii="宋体" w:hAnsi="宋体"/>
          <w:szCs w:val="21"/>
        </w:rPr>
        <w:t>（1）投标人在投标有效期内撤销投标文件的；</w:t>
      </w:r>
    </w:p>
    <w:p>
      <w:pPr>
        <w:snapToGrid w:val="0"/>
        <w:spacing w:line="360" w:lineRule="auto"/>
        <w:ind w:firstLine="411" w:firstLineChars="196"/>
        <w:jc w:val="left"/>
        <w:rPr>
          <w:rFonts w:ascii="宋体" w:hAnsi="宋体"/>
          <w:szCs w:val="21"/>
        </w:rPr>
      </w:pPr>
      <w:r>
        <w:rPr>
          <w:rFonts w:hint="eastAsia" w:ascii="宋体" w:hAnsi="宋体"/>
          <w:szCs w:val="21"/>
        </w:rPr>
        <w:t>（2）未按规定提交履约保证金的；</w:t>
      </w:r>
    </w:p>
    <w:p>
      <w:pPr>
        <w:snapToGrid w:val="0"/>
        <w:spacing w:line="360" w:lineRule="auto"/>
        <w:ind w:firstLine="411" w:firstLineChars="196"/>
        <w:jc w:val="left"/>
        <w:rPr>
          <w:rFonts w:ascii="宋体" w:hAnsi="宋体"/>
          <w:szCs w:val="21"/>
        </w:rPr>
      </w:pPr>
      <w:r>
        <w:rPr>
          <w:rFonts w:hint="eastAsia" w:ascii="宋体" w:hAnsi="宋体"/>
          <w:szCs w:val="21"/>
        </w:rPr>
        <w:t>（3）投标人在投标过程中弄虚作假，提供虚假材料的；</w:t>
      </w:r>
    </w:p>
    <w:p>
      <w:pPr>
        <w:snapToGrid w:val="0"/>
        <w:spacing w:line="360" w:lineRule="auto"/>
        <w:ind w:firstLine="411" w:firstLineChars="196"/>
        <w:rPr>
          <w:rFonts w:ascii="宋体" w:hAnsi="宋体"/>
          <w:szCs w:val="21"/>
        </w:rPr>
      </w:pPr>
      <w:r>
        <w:rPr>
          <w:rFonts w:hint="eastAsia" w:ascii="宋体" w:hAnsi="宋体"/>
          <w:szCs w:val="21"/>
        </w:rPr>
        <w:t>（4）中标人无正当理由不与采购人签订合同的；</w:t>
      </w:r>
    </w:p>
    <w:p>
      <w:pPr>
        <w:snapToGrid w:val="0"/>
        <w:spacing w:line="360" w:lineRule="auto"/>
        <w:ind w:firstLine="420" w:firstLineChars="200"/>
        <w:rPr>
          <w:rFonts w:ascii="宋体" w:hAnsi="宋体"/>
          <w:szCs w:val="21"/>
        </w:rPr>
      </w:pPr>
      <w:bookmarkStart w:id="482" w:name="_Toc254970683"/>
      <w:bookmarkStart w:id="483" w:name="_Toc254970542"/>
      <w:r>
        <w:rPr>
          <w:rFonts w:hint="eastAsia" w:ascii="宋体" w:hAnsi="宋体"/>
          <w:szCs w:val="21"/>
        </w:rPr>
        <w:t>（5）投标人出现本章第9.2、9.3情形的；</w:t>
      </w:r>
    </w:p>
    <w:p>
      <w:pPr>
        <w:snapToGrid w:val="0"/>
        <w:spacing w:line="360" w:lineRule="auto"/>
        <w:ind w:firstLine="420" w:firstLineChars="200"/>
        <w:rPr>
          <w:rFonts w:ascii="宋体" w:hAnsi="宋体"/>
          <w:szCs w:val="21"/>
        </w:rPr>
      </w:pPr>
      <w:r>
        <w:rPr>
          <w:rFonts w:hint="eastAsia" w:ascii="宋体" w:hAnsi="宋体"/>
          <w:szCs w:val="21"/>
        </w:rPr>
        <w:t>（6）其他严重扰乱招投标程序的。</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19.投标文件的</w:t>
      </w:r>
      <w:bookmarkEnd w:id="482"/>
      <w:bookmarkEnd w:id="483"/>
      <w:r>
        <w:rPr>
          <w:rFonts w:hint="eastAsia" w:ascii="黑体" w:hAnsi="黑体" w:eastAsia="黑体"/>
          <w:sz w:val="24"/>
        </w:rPr>
        <w:t>编制</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19.1投标人应先安装“政采云电子投标客户端”（请自行前往“政采云”平台进行下载），并按照本项目招标文件规定的格式和顺序和“政采云”平台的要求编制并加密。投标文件内容不完整、编排混乱导致投标文件被误读、漏读或者查找不到相关内容的，由此引发的后果由投标人承担。</w:t>
      </w:r>
    </w:p>
    <w:p>
      <w:pPr>
        <w:numPr>
          <w:ilvl w:val="4"/>
          <w:numId w:val="1"/>
        </w:numPr>
        <w:spacing w:line="360" w:lineRule="auto"/>
        <w:ind w:firstLine="422" w:firstLineChars="200"/>
        <w:outlineLvl w:val="4"/>
        <w:rPr>
          <w:rFonts w:ascii="宋体" w:hAnsi="宋体"/>
          <w:szCs w:val="21"/>
        </w:rPr>
      </w:pPr>
      <w:bookmarkStart w:id="484" w:name="_19.2投标文件应按报价文件、资格证明文件、商务文件、技术文件分别编制"/>
      <w:bookmarkEnd w:id="484"/>
      <w:r>
        <w:rPr>
          <w:rFonts w:hint="eastAsia" w:ascii="宋体" w:hAnsi="宋体"/>
          <w:b/>
          <w:szCs w:val="21"/>
        </w:rPr>
        <w:t xml:space="preserve"> </w:t>
      </w:r>
      <w:r>
        <w:rPr>
          <w:rFonts w:hint="eastAsia" w:ascii="宋体" w:hAnsi="宋体"/>
          <w:szCs w:val="21"/>
        </w:rPr>
        <w:t>19.2为确保网上操作合法、有效和安全，投标人应当在投标截止时间前完成在“政采云”平台的身份认证，确保在电子投标过程中能够对相关数据电文进行加密和使用电子签章。</w:t>
      </w:r>
    </w:p>
    <w:p>
      <w:pPr>
        <w:numPr>
          <w:ilvl w:val="4"/>
          <w:numId w:val="1"/>
        </w:numPr>
        <w:spacing w:line="360" w:lineRule="auto"/>
        <w:ind w:firstLine="420" w:firstLineChars="200"/>
        <w:outlineLvl w:val="4"/>
        <w:rPr>
          <w:rFonts w:ascii="宋体" w:hAnsi="宋体"/>
          <w:szCs w:val="21"/>
        </w:rPr>
      </w:pPr>
      <w:r>
        <w:rPr>
          <w:rFonts w:hint="eastAsia" w:ascii="宋体" w:hAnsi="宋体"/>
          <w:szCs w:val="21"/>
        </w:rPr>
        <w:t>19.3投标文件须由投标人在规定位置签字（或者电子签名）、盖章（具体以投标人须知前附表或投标文件格式规定为准），</w:t>
      </w:r>
      <w:r>
        <w:rPr>
          <w:rFonts w:hint="eastAsia" w:ascii="宋体" w:hAnsi="宋体"/>
          <w:b/>
          <w:bCs/>
          <w:szCs w:val="21"/>
        </w:rPr>
        <w:t>否则按无效投标处理</w:t>
      </w:r>
      <w:r>
        <w:rPr>
          <w:rFonts w:hint="eastAsia" w:ascii="宋体" w:hAnsi="宋体"/>
          <w:szCs w:val="21"/>
        </w:rPr>
        <w:t>。</w:t>
      </w:r>
    </w:p>
    <w:p>
      <w:pPr>
        <w:numPr>
          <w:ilvl w:val="4"/>
          <w:numId w:val="1"/>
        </w:numPr>
        <w:spacing w:line="360" w:lineRule="auto"/>
        <w:ind w:firstLine="420" w:firstLineChars="200"/>
        <w:outlineLvl w:val="4"/>
        <w:rPr>
          <w:rFonts w:ascii="宋体" w:hAnsi="宋体"/>
          <w:szCs w:val="21"/>
        </w:rPr>
      </w:pPr>
      <w:r>
        <w:rPr>
          <w:rFonts w:hint="eastAsia" w:ascii="宋体" w:hAnsi="宋体"/>
          <w:szCs w:val="21"/>
        </w:rPr>
        <w:t>19.4投标文件中标注的投标人名称应与主体资格证明（如营业执照或者事业单位法人证书或者执业许可证或者登记证书等）及公章一致，并与“政采云”中获取招标文件的投标人名称一致，投标人为自然人的，标注的投标人名称应与身份证姓名及签名一致，</w:t>
      </w:r>
      <w:r>
        <w:rPr>
          <w:rFonts w:hint="eastAsia" w:ascii="宋体" w:hAnsi="宋体"/>
          <w:b/>
          <w:szCs w:val="21"/>
        </w:rPr>
        <w:t>否则按无效投标处理</w:t>
      </w:r>
      <w:r>
        <w:rPr>
          <w:rFonts w:hint="eastAsia" w:ascii="宋体" w:hAnsi="宋体"/>
          <w:szCs w:val="21"/>
        </w:rPr>
        <w:t>。</w:t>
      </w:r>
    </w:p>
    <w:p>
      <w:pPr>
        <w:numPr>
          <w:ilvl w:val="4"/>
          <w:numId w:val="1"/>
        </w:numPr>
        <w:spacing w:line="360" w:lineRule="auto"/>
        <w:ind w:firstLine="420" w:firstLineChars="200"/>
        <w:outlineLvl w:val="4"/>
        <w:rPr>
          <w:rFonts w:ascii="宋体" w:hAnsi="宋体"/>
          <w:szCs w:val="21"/>
        </w:rPr>
      </w:pPr>
      <w:r>
        <w:rPr>
          <w:rFonts w:hint="eastAsia" w:ascii="宋体" w:hAnsi="宋体"/>
          <w:szCs w:val="21"/>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20.投标文件的加密、解密</w:t>
      </w:r>
    </w:p>
    <w:p>
      <w:pPr>
        <w:snapToGrid w:val="0"/>
        <w:spacing w:line="360" w:lineRule="auto"/>
        <w:ind w:firstLine="420" w:firstLineChars="200"/>
        <w:jc w:val="left"/>
        <w:rPr>
          <w:rFonts w:ascii="宋体" w:hAnsi="宋体"/>
          <w:szCs w:val="21"/>
        </w:rPr>
      </w:pPr>
      <w:r>
        <w:rPr>
          <w:rFonts w:hint="eastAsia" w:ascii="宋体" w:hAnsi="宋体"/>
          <w:szCs w:val="21"/>
        </w:rPr>
        <w:t>20.1电子投标文件编制完成后，投标人应按“政采云”平台的要求进行加密，并在规定时间内解密，否则，由此产生的后果由投标人自行负责。</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21.投标文件的提交</w:t>
      </w:r>
    </w:p>
    <w:p>
      <w:pPr>
        <w:snapToGrid w:val="0"/>
        <w:spacing w:line="360" w:lineRule="auto"/>
        <w:ind w:firstLine="420"/>
        <w:jc w:val="left"/>
        <w:rPr>
          <w:rFonts w:ascii="宋体" w:hAnsi="宋体"/>
          <w:szCs w:val="21"/>
        </w:rPr>
      </w:pPr>
      <w:bookmarkStart w:id="485" w:name="_21.1投标人必须在“投标人须知中的前附表”规定的投标文件接收时间和投"/>
      <w:bookmarkEnd w:id="485"/>
      <w:r>
        <w:rPr>
          <w:rFonts w:hint="eastAsia" w:ascii="宋体" w:hAnsi="宋体"/>
          <w:szCs w:val="21"/>
        </w:rPr>
        <w:t>21.1投标人必须在“投标人须知前附表”规定的时间和地点提交投标文件。电子投标文件应在制作完成后，在投标截止时间前通过有效数字证书（CA认证锁）进行电子签章、加密，然后通过网络将加密的电子投标文件提交至“政采云”平台。</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21.2未在规定时间内提交或者未按照招标文件要求加密的电子投标文件，“政采云”平台将拒收。</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22.投标文件的补充、修改、撤回与退回</w:t>
      </w:r>
    </w:p>
    <w:p>
      <w:pPr>
        <w:snapToGrid w:val="0"/>
        <w:spacing w:line="360" w:lineRule="auto"/>
        <w:ind w:firstLine="420"/>
        <w:jc w:val="left"/>
        <w:rPr>
          <w:rFonts w:ascii="宋体" w:hAnsi="宋体"/>
          <w:szCs w:val="21"/>
        </w:rPr>
      </w:pPr>
      <w:bookmarkStart w:id="486" w:name="_Toc254970543"/>
      <w:bookmarkStart w:id="487" w:name="_Toc254970684"/>
      <w:r>
        <w:rPr>
          <w:rFonts w:hint="eastAsia" w:ascii="宋体" w:hAnsi="宋体"/>
          <w:szCs w:val="21"/>
        </w:rPr>
        <w:t>2</w:t>
      </w:r>
      <w:r>
        <w:rPr>
          <w:rFonts w:ascii="宋体" w:hAnsi="宋体"/>
          <w:szCs w:val="21"/>
        </w:rPr>
        <w:t>2.1</w:t>
      </w:r>
      <w:r>
        <w:rPr>
          <w:rFonts w:hint="eastAsia" w:ascii="宋体" w:hAnsi="宋体"/>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补充、修改或者撤回方式</w:t>
      </w:r>
      <w:r>
        <w:rPr>
          <w:rFonts w:hint="eastAsia" w:ascii="宋体" w:hAnsi="宋体"/>
          <w:szCs w:val="21"/>
          <w:lang w:eastAsia="zh-CN"/>
        </w:rPr>
        <w:t>可登录</w:t>
      </w:r>
      <w:r>
        <w:rPr>
          <w:rFonts w:hint="eastAsia" w:ascii="宋体" w:hAnsi="宋体"/>
          <w:szCs w:val="21"/>
        </w:rPr>
        <w:t>“政采云”平台，依次进入“服务中心”中查看 “电子投标文件制作与投送教程”）。</w:t>
      </w:r>
    </w:p>
    <w:p>
      <w:pPr>
        <w:spacing w:line="360" w:lineRule="auto"/>
        <w:ind w:firstLine="420" w:firstLineChars="200"/>
        <w:rPr>
          <w:rFonts w:ascii="宋体" w:hAnsi="宋体" w:cs="宋体"/>
          <w:szCs w:val="21"/>
        </w:rPr>
      </w:pPr>
      <w:r>
        <w:rPr>
          <w:rFonts w:hint="eastAsia" w:ascii="宋体" w:hAnsi="宋体" w:cs="宋体"/>
          <w:szCs w:val="21"/>
        </w:rPr>
        <w:t>22.</w:t>
      </w:r>
      <w:r>
        <w:rPr>
          <w:rFonts w:ascii="宋体" w:hAnsi="宋体" w:cs="宋体"/>
          <w:szCs w:val="21"/>
        </w:rPr>
        <w:t>2</w:t>
      </w:r>
      <w:r>
        <w:rPr>
          <w:rFonts w:hint="eastAsia" w:ascii="宋体" w:hAnsi="宋体" w:cs="宋体"/>
          <w:szCs w:val="21"/>
        </w:rPr>
        <w:t>政采云”平台收到投标文件后向供应商发出确认回执通知。在投标截止时间前，除供应商补充、修改或者撤回投标文件外，任何单位和个人不得解密或提取投标文件。</w:t>
      </w:r>
    </w:p>
    <w:p>
      <w:pPr>
        <w:spacing w:line="360" w:lineRule="auto"/>
        <w:ind w:firstLine="420" w:firstLineChars="200"/>
        <w:rPr>
          <w:rFonts w:ascii="宋体" w:hAnsi="宋体" w:cs="宋体"/>
          <w:szCs w:val="21"/>
        </w:rPr>
      </w:pPr>
      <w:r>
        <w:rPr>
          <w:rFonts w:hint="eastAsia" w:ascii="宋体" w:hAnsi="宋体" w:cs="宋体"/>
          <w:szCs w:val="21"/>
        </w:rPr>
        <w:t>22.</w:t>
      </w:r>
      <w:r>
        <w:rPr>
          <w:rFonts w:ascii="宋体" w:hAnsi="宋体" w:cs="宋体"/>
          <w:szCs w:val="21"/>
        </w:rPr>
        <w:t>3</w:t>
      </w:r>
      <w:r>
        <w:rPr>
          <w:rFonts w:hint="eastAsia" w:ascii="宋体" w:hAnsi="宋体" w:cs="宋体"/>
          <w:szCs w:val="21"/>
        </w:rPr>
        <w:t>在投标截止时间后，采购人和采购代理机构对已提交的投标文件概不退回。</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2.4</w:t>
      </w:r>
      <w:r>
        <w:rPr>
          <w:rFonts w:hint="eastAsia" w:ascii="宋体" w:hAnsi="宋体" w:cs="宋体"/>
          <w:szCs w:val="21"/>
        </w:rPr>
        <w:t xml:space="preserve"> 投标人在投标截止时间后书面通知采购人、采购代理机构撤销投标文件的，将根据本须知正文1</w:t>
      </w:r>
      <w:r>
        <w:rPr>
          <w:rFonts w:ascii="宋体" w:hAnsi="宋体" w:cs="宋体"/>
          <w:szCs w:val="21"/>
        </w:rPr>
        <w:t>8</w:t>
      </w:r>
      <w:r>
        <w:rPr>
          <w:rFonts w:hint="eastAsia" w:ascii="宋体" w:hAnsi="宋体" w:cs="宋体"/>
          <w:szCs w:val="21"/>
        </w:rPr>
        <w:t>.</w:t>
      </w:r>
      <w:r>
        <w:rPr>
          <w:rFonts w:ascii="宋体" w:hAnsi="宋体" w:cs="宋体"/>
          <w:szCs w:val="21"/>
        </w:rPr>
        <w:t>3</w:t>
      </w:r>
      <w:r>
        <w:rPr>
          <w:rFonts w:hint="eastAsia" w:ascii="宋体" w:hAnsi="宋体" w:cs="宋体"/>
          <w:szCs w:val="21"/>
        </w:rPr>
        <w:t>的规定不予退还其投标保证金。</w:t>
      </w:r>
    </w:p>
    <w:bookmarkEnd w:id="486"/>
    <w:bookmarkEnd w:id="487"/>
    <w:p>
      <w:pPr>
        <w:pStyle w:val="20"/>
        <w:snapToGrid w:val="0"/>
        <w:spacing w:line="360" w:lineRule="auto"/>
        <w:ind w:firstLine="739"/>
        <w:rPr>
          <w:rFonts w:ascii="宋体" w:hAnsi="宋体" w:eastAsia="宋体"/>
          <w:snapToGrid w:val="0"/>
          <w:sz w:val="21"/>
          <w:szCs w:val="21"/>
        </w:rPr>
      </w:pPr>
    </w:p>
    <w:p>
      <w:pPr>
        <w:pStyle w:val="4"/>
        <w:keepNext w:val="0"/>
        <w:keepLines w:val="0"/>
        <w:jc w:val="center"/>
      </w:pPr>
      <w:bookmarkStart w:id="488" w:name="_Toc254970685"/>
      <w:bookmarkStart w:id="489" w:name="_Toc254970544"/>
      <w:r>
        <w:rPr>
          <w:rFonts w:hint="eastAsia"/>
        </w:rPr>
        <w:t>四、开    标</w:t>
      </w:r>
      <w:bookmarkEnd w:id="488"/>
      <w:bookmarkEnd w:id="489"/>
    </w:p>
    <w:p>
      <w:pPr>
        <w:pStyle w:val="6"/>
        <w:keepNext w:val="0"/>
        <w:keepLines w:val="0"/>
        <w:spacing w:before="0" w:after="0" w:line="360" w:lineRule="auto"/>
        <w:ind w:left="420" w:leftChars="200"/>
        <w:rPr>
          <w:rFonts w:ascii="黑体" w:hAnsi="黑体" w:eastAsia="黑体"/>
          <w:sz w:val="24"/>
        </w:rPr>
      </w:pPr>
      <w:bookmarkStart w:id="490" w:name="_23.开标时间和地点"/>
      <w:bookmarkEnd w:id="490"/>
      <w:r>
        <w:rPr>
          <w:rFonts w:hint="eastAsia" w:ascii="黑体" w:hAnsi="黑体" w:eastAsia="黑体"/>
          <w:sz w:val="24"/>
        </w:rPr>
        <w:t>23.开标时间和地点</w:t>
      </w:r>
    </w:p>
    <w:p>
      <w:pPr>
        <w:pStyle w:val="26"/>
        <w:snapToGrid w:val="0"/>
        <w:spacing w:line="360" w:lineRule="auto"/>
        <w:ind w:firstLine="420" w:firstLineChars="200"/>
        <w:rPr>
          <w:rFonts w:hAnsi="宋体"/>
          <w:bCs/>
          <w:sz w:val="21"/>
        </w:rPr>
      </w:pPr>
      <w:r>
        <w:rPr>
          <w:rFonts w:hint="eastAsia" w:hAnsi="宋体"/>
          <w:bCs/>
          <w:sz w:val="21"/>
        </w:rPr>
        <w:t>采购代理机构将在“投标人须知前附表”规定的时间和地点进行开标，投标人未参加开标的，视同认可开标过程和结果。本项目开标过程实行全程录音、录像监控。</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24.开标程序</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4.1</w:t>
      </w:r>
      <w:r>
        <w:rPr>
          <w:rFonts w:hint="eastAsia" w:ascii="宋体" w:hAnsi="宋体" w:cs="宋体"/>
          <w:szCs w:val="21"/>
        </w:rPr>
        <w:t>提交投标文件截止时间止，投标人不足3家的，不得开标。</w:t>
      </w:r>
    </w:p>
    <w:p>
      <w:pPr>
        <w:spacing w:line="360" w:lineRule="auto"/>
        <w:ind w:firstLine="420" w:firstLineChars="200"/>
        <w:rPr>
          <w:rFonts w:ascii="宋体" w:hAnsi="宋体" w:cs="宋体"/>
          <w:szCs w:val="21"/>
        </w:rPr>
      </w:pPr>
      <w:r>
        <w:rPr>
          <w:rFonts w:hint="eastAsia" w:ascii="宋体" w:hAnsi="宋体" w:cs="宋体"/>
          <w:szCs w:val="21"/>
        </w:rPr>
        <w:t>24.</w:t>
      </w:r>
      <w:r>
        <w:rPr>
          <w:rFonts w:ascii="宋体" w:hAnsi="宋体" w:cs="宋体"/>
          <w:szCs w:val="21"/>
        </w:rPr>
        <w:t>2</w:t>
      </w:r>
      <w:r>
        <w:rPr>
          <w:rFonts w:hint="eastAsia" w:ascii="宋体" w:hAnsi="宋体" w:cs="宋体"/>
          <w:szCs w:val="21"/>
        </w:rPr>
        <w:t>采购代理机构将按照招标文件规定的时间通过“政采云”平台组织线上开标活动，所有供应商均应当准时在线参加，投标人因未在线参加开标而导致投标文件无法按时解密等一切后果由投标人自己承担。</w:t>
      </w:r>
    </w:p>
    <w:p>
      <w:pPr>
        <w:spacing w:line="360" w:lineRule="auto"/>
        <w:ind w:firstLine="420" w:firstLineChars="200"/>
        <w:rPr>
          <w:rFonts w:ascii="宋体" w:hAnsi="宋体" w:cs="宋体"/>
          <w:szCs w:val="21"/>
        </w:rPr>
      </w:pPr>
      <w:r>
        <w:rPr>
          <w:rFonts w:hint="eastAsia" w:ascii="宋体" w:hAnsi="宋体" w:cs="宋体"/>
          <w:szCs w:val="21"/>
        </w:rPr>
        <w:t>24.</w:t>
      </w:r>
      <w:r>
        <w:rPr>
          <w:rFonts w:ascii="宋体" w:hAnsi="宋体" w:cs="宋体"/>
          <w:szCs w:val="21"/>
        </w:rPr>
        <w:t>3</w:t>
      </w:r>
      <w:r>
        <w:rPr>
          <w:rFonts w:hint="eastAsia" w:ascii="宋体" w:hAnsi="宋体" w:cs="宋体"/>
          <w:szCs w:val="21"/>
        </w:rPr>
        <w:t>开标程序</w:t>
      </w:r>
    </w:p>
    <w:p>
      <w:pPr>
        <w:spacing w:line="360" w:lineRule="auto"/>
        <w:ind w:firstLine="420" w:firstLineChars="200"/>
        <w:rPr>
          <w:rFonts w:ascii="宋体" w:hAnsi="宋体" w:cs="宋体"/>
          <w:szCs w:val="21"/>
        </w:rPr>
      </w:pPr>
      <w:r>
        <w:rPr>
          <w:rFonts w:hint="eastAsia" w:ascii="宋体" w:hAnsi="宋体" w:cs="宋体"/>
          <w:szCs w:val="21"/>
        </w:rPr>
        <w:t>（1）解密电子投标文件。“政采云”平台按开标时间自动提取所有投标文件。采购代理机构依托“政采云”平台向各投标人发出电子加密投标文件【开始解密】通知，由投标人按“投标人须知前附表”规定的时间内自行进行投标文件解密。投标人的法定代表人或其委托代理人须凭加密时所用的CA锁准时登录到“政采云”平台电子开标大厅签到并对电子投标文件解密。</w:t>
      </w:r>
      <w:r>
        <w:rPr>
          <w:rFonts w:ascii="宋体" w:hAnsi="宋体" w:cs="宋体"/>
          <w:b/>
          <w:szCs w:val="21"/>
        </w:rPr>
        <w:t>投标人</w:t>
      </w:r>
      <w:r>
        <w:rPr>
          <w:rFonts w:hint="eastAsia" w:ascii="宋体" w:hAnsi="宋体" w:cs="宋体"/>
          <w:b/>
          <w:szCs w:val="21"/>
        </w:rPr>
        <w:t>未在</w:t>
      </w:r>
      <w:r>
        <w:rPr>
          <w:rFonts w:ascii="宋体" w:hAnsi="宋体" w:cs="宋体"/>
          <w:b/>
          <w:szCs w:val="21"/>
        </w:rPr>
        <w:t>规定的时间内解密</w:t>
      </w:r>
      <w:r>
        <w:rPr>
          <w:rFonts w:hint="eastAsia" w:ascii="宋体" w:hAnsi="宋体" w:cs="宋体"/>
          <w:b/>
          <w:szCs w:val="21"/>
        </w:rPr>
        <w:t>投标文件</w:t>
      </w:r>
      <w:r>
        <w:rPr>
          <w:rFonts w:ascii="宋体" w:hAnsi="宋体" w:cs="宋体"/>
          <w:b/>
          <w:szCs w:val="21"/>
        </w:rPr>
        <w:t>或</w:t>
      </w:r>
      <w:r>
        <w:rPr>
          <w:rFonts w:hint="eastAsia" w:ascii="宋体" w:hAnsi="宋体" w:cs="宋体"/>
          <w:b/>
          <w:szCs w:val="21"/>
        </w:rPr>
        <w:t>者</w:t>
      </w:r>
      <w:r>
        <w:rPr>
          <w:rFonts w:ascii="宋体" w:hAnsi="宋体" w:cs="宋体"/>
          <w:b/>
          <w:szCs w:val="21"/>
        </w:rPr>
        <w:t>解密失败的</w:t>
      </w:r>
      <w:r>
        <w:rPr>
          <w:rFonts w:hint="eastAsia" w:ascii="宋体" w:hAnsi="宋体" w:cs="宋体"/>
          <w:b/>
          <w:szCs w:val="21"/>
        </w:rPr>
        <w:t>，投标人的投标文件按无效处理。</w:t>
      </w:r>
    </w:p>
    <w:p>
      <w:pPr>
        <w:spacing w:line="360" w:lineRule="auto"/>
        <w:ind w:firstLine="420" w:firstLineChars="200"/>
        <w:rPr>
          <w:rFonts w:ascii="宋体" w:hAnsi="宋体" w:cs="宋体"/>
          <w:szCs w:val="21"/>
        </w:rPr>
      </w:pPr>
      <w:r>
        <w:rPr>
          <w:rFonts w:hint="eastAsia" w:ascii="宋体" w:hAnsi="宋体" w:cs="宋体"/>
          <w:szCs w:val="21"/>
        </w:rPr>
        <w:t>（2）电子唱标。投标文件解密结束，宣布的内容均在“政采云”平台远程开标大厅展示；</w:t>
      </w:r>
    </w:p>
    <w:p>
      <w:pPr>
        <w:spacing w:line="360" w:lineRule="auto"/>
        <w:ind w:firstLine="420" w:firstLineChars="200"/>
        <w:rPr>
          <w:rFonts w:ascii="宋体" w:hAnsi="宋体" w:cs="宋体"/>
          <w:szCs w:val="21"/>
        </w:rPr>
      </w:pPr>
      <w:r>
        <w:rPr>
          <w:rFonts w:hint="eastAsia" w:ascii="宋体" w:hAnsi="宋体" w:cs="宋体"/>
          <w:szCs w:val="21"/>
        </w:rPr>
        <w:t>（3）开标过程由采购代理机构如实记录，并电子留痕，由参加电子开标的各投标人代表对电子开标记录在开标记录公布后15分钟内进行当场校核及勘误，并线上确认是否有异议，未确认的视同认可开标结果。</w:t>
      </w:r>
    </w:p>
    <w:p>
      <w:pPr>
        <w:spacing w:line="360" w:lineRule="auto"/>
        <w:ind w:firstLine="420" w:firstLineChars="200"/>
        <w:rPr>
          <w:rFonts w:ascii="宋体" w:hAnsi="宋体" w:cs="宋体"/>
          <w:szCs w:val="21"/>
        </w:rPr>
      </w:pPr>
      <w:r>
        <w:rPr>
          <w:rFonts w:hint="eastAsia" w:ascii="宋体" w:hAnsi="宋体" w:cs="宋体"/>
          <w:szCs w:val="21"/>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spacing w:line="360" w:lineRule="auto"/>
        <w:ind w:firstLine="420" w:firstLineChars="200"/>
        <w:rPr>
          <w:rFonts w:ascii="宋体" w:hAnsi="宋体" w:cs="宋体"/>
          <w:szCs w:val="21"/>
        </w:rPr>
      </w:pPr>
      <w:r>
        <w:rPr>
          <w:rFonts w:hint="eastAsia" w:ascii="宋体" w:hAnsi="宋体" w:cs="宋体"/>
          <w:szCs w:val="21"/>
        </w:rPr>
        <w:t>（5）开标结束。</w:t>
      </w:r>
    </w:p>
    <w:p>
      <w:pPr>
        <w:spacing w:line="360" w:lineRule="auto"/>
        <w:ind w:firstLine="420" w:firstLineChars="200"/>
        <w:rPr>
          <w:rFonts w:hAnsi="宋体"/>
        </w:rPr>
      </w:pPr>
      <w:r>
        <w:rPr>
          <w:rFonts w:hint="eastAsia" w:ascii="宋体" w:hAnsi="宋体" w:cs="宋体"/>
          <w:szCs w:val="21"/>
        </w:rPr>
        <w:t>特别说明：如遇“政采云”平台电子化开标或评审程序调整的</w:t>
      </w:r>
      <w:r>
        <w:rPr>
          <w:rFonts w:hint="eastAsia"/>
        </w:rPr>
        <w:t>，按调整后执行。</w:t>
      </w:r>
    </w:p>
    <w:p>
      <w:pPr>
        <w:pStyle w:val="26"/>
        <w:snapToGrid w:val="0"/>
        <w:spacing w:line="360" w:lineRule="auto"/>
        <w:ind w:left="689" w:leftChars="228" w:hanging="210" w:hangingChars="100"/>
        <w:rPr>
          <w:rFonts w:hAnsi="宋体"/>
          <w:sz w:val="21"/>
        </w:rPr>
      </w:pPr>
    </w:p>
    <w:p>
      <w:pPr>
        <w:pStyle w:val="4"/>
        <w:keepNext w:val="0"/>
        <w:keepLines w:val="0"/>
        <w:jc w:val="center"/>
      </w:pPr>
      <w:r>
        <w:rPr>
          <w:rFonts w:hint="eastAsia"/>
        </w:rPr>
        <w:t>五、资格审查</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25.资格审查</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25.1</w:t>
      </w:r>
      <w:r>
        <w:rPr>
          <w:rFonts w:ascii="宋体" w:hAnsi="宋体"/>
          <w:b w:val="0"/>
          <w:sz w:val="21"/>
          <w:szCs w:val="21"/>
        </w:rPr>
        <w:t>开标结束后，</w:t>
      </w:r>
      <w:r>
        <w:rPr>
          <w:rFonts w:hint="eastAsia" w:ascii="宋体" w:hAnsi="宋体"/>
          <w:b w:val="0"/>
          <w:sz w:val="21"/>
          <w:szCs w:val="21"/>
        </w:rPr>
        <w:t>采购人或者采购代理机构通过电子开评标系统依据招标文件对电子投标文件进行线上资格审查</w:t>
      </w:r>
      <w:r>
        <w:rPr>
          <w:rFonts w:ascii="宋体" w:hAnsi="宋体"/>
          <w:b w:val="0"/>
          <w:sz w:val="21"/>
          <w:szCs w:val="21"/>
        </w:rPr>
        <w:t>。</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25.2资格审查标准为本招标文件中载明对投标人资格要求的条件。本项目资格审查采用合格制，凡符合招标文件规定的投标人资格要求的投标人均通过资格审查。</w:t>
      </w:r>
    </w:p>
    <w:p>
      <w:pPr>
        <w:pStyle w:val="6"/>
        <w:keepNext w:val="0"/>
        <w:keepLines w:val="0"/>
        <w:numPr>
          <w:ilvl w:val="0"/>
          <w:numId w:val="0"/>
        </w:numPr>
        <w:spacing w:before="0" w:after="0" w:line="360" w:lineRule="auto"/>
        <w:ind w:firstLine="422" w:firstLineChars="200"/>
        <w:rPr>
          <w:rFonts w:ascii="宋体" w:hAnsi="宋体"/>
          <w:sz w:val="21"/>
          <w:szCs w:val="21"/>
        </w:rPr>
      </w:pPr>
      <w:bookmarkStart w:id="491" w:name="_25.3_投标人有下列情形之一的，资格审查不通过而导致其投标无效："/>
      <w:bookmarkEnd w:id="491"/>
      <w:r>
        <w:rPr>
          <w:rFonts w:hint="eastAsia" w:ascii="宋体" w:hAnsi="宋体"/>
          <w:sz w:val="21"/>
          <w:szCs w:val="21"/>
        </w:rPr>
        <w:t>25.3 投标人有下列情形之一的，资格审查不通过，按无效投标处理：</w:t>
      </w:r>
    </w:p>
    <w:p>
      <w:pPr>
        <w:pStyle w:val="26"/>
        <w:snapToGrid w:val="0"/>
        <w:spacing w:line="360" w:lineRule="auto"/>
        <w:ind w:firstLine="422" w:firstLineChars="200"/>
        <w:rPr>
          <w:rFonts w:hAnsi="宋体"/>
          <w:b/>
          <w:sz w:val="21"/>
        </w:rPr>
      </w:pPr>
      <w:r>
        <w:rPr>
          <w:rFonts w:hint="eastAsia" w:hAnsi="宋体"/>
          <w:b/>
          <w:sz w:val="21"/>
        </w:rPr>
        <w:t>（1）未按招标文件规定的方式获取本招标文件的投标人；</w:t>
      </w:r>
    </w:p>
    <w:p>
      <w:pPr>
        <w:pStyle w:val="26"/>
        <w:snapToGrid w:val="0"/>
        <w:spacing w:line="360" w:lineRule="auto"/>
        <w:ind w:firstLine="422" w:firstLineChars="200"/>
        <w:rPr>
          <w:rFonts w:hAnsi="宋体"/>
          <w:b/>
          <w:sz w:val="21"/>
        </w:rPr>
      </w:pPr>
      <w:r>
        <w:rPr>
          <w:rFonts w:hint="eastAsia" w:hAnsi="宋体"/>
          <w:b/>
          <w:sz w:val="21"/>
        </w:rPr>
        <w:t>（2）不具备招标文件中规定的资格要求的；（注：其中信用查询规则见“投标人须知前附表”）</w:t>
      </w:r>
    </w:p>
    <w:p>
      <w:pPr>
        <w:pStyle w:val="26"/>
        <w:snapToGrid w:val="0"/>
        <w:spacing w:line="360" w:lineRule="auto"/>
        <w:ind w:firstLine="422" w:firstLineChars="200"/>
        <w:rPr>
          <w:rFonts w:hAnsi="宋体"/>
          <w:b/>
          <w:sz w:val="21"/>
        </w:rPr>
      </w:pPr>
      <w:r>
        <w:rPr>
          <w:rFonts w:hint="eastAsia" w:hAnsi="宋体"/>
          <w:b/>
          <w:sz w:val="21"/>
        </w:rPr>
        <w:t>（3）投标文件未提供任一项“投标人须知前附表”资格证明文件规定的“必须提供”的文件资料的；</w:t>
      </w:r>
    </w:p>
    <w:p>
      <w:pPr>
        <w:pStyle w:val="26"/>
        <w:snapToGrid w:val="0"/>
        <w:spacing w:line="360" w:lineRule="auto"/>
        <w:ind w:firstLine="422" w:firstLineChars="200"/>
        <w:rPr>
          <w:rFonts w:hAnsi="宋体"/>
          <w:b/>
          <w:sz w:val="21"/>
        </w:rPr>
      </w:pPr>
      <w:r>
        <w:rPr>
          <w:rFonts w:hint="eastAsia" w:hAnsi="宋体"/>
          <w:b/>
          <w:sz w:val="21"/>
        </w:rPr>
        <w:t>（4）投标文件提供的资格证明文件出现任一项不符合“投标人须知前附表”资格证明文件规定的“必须提供”的文件资料要求或者无效的。</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sz w:val="21"/>
          <w:szCs w:val="21"/>
        </w:rPr>
        <w:t>25.4资格审查的</w:t>
      </w:r>
      <w:r>
        <w:rPr>
          <w:rFonts w:ascii="宋体" w:hAnsi="宋体"/>
          <w:sz w:val="21"/>
          <w:szCs w:val="21"/>
        </w:rPr>
        <w:t>合格投标人不足3家的，不得评标。</w:t>
      </w:r>
    </w:p>
    <w:p>
      <w:pPr>
        <w:pStyle w:val="26"/>
        <w:snapToGrid w:val="0"/>
        <w:spacing w:line="360" w:lineRule="auto"/>
        <w:ind w:left="689" w:leftChars="228" w:hanging="210" w:hangingChars="100"/>
        <w:rPr>
          <w:rFonts w:hAnsi="宋体"/>
          <w:sz w:val="21"/>
        </w:rPr>
      </w:pPr>
    </w:p>
    <w:p>
      <w:pPr>
        <w:pStyle w:val="4"/>
        <w:keepNext w:val="0"/>
        <w:keepLines w:val="0"/>
        <w:jc w:val="center"/>
      </w:pPr>
      <w:r>
        <w:rPr>
          <w:rFonts w:hint="eastAsia"/>
        </w:rPr>
        <w:t>六、评   标</w:t>
      </w:r>
    </w:p>
    <w:p>
      <w:pPr>
        <w:pStyle w:val="6"/>
        <w:keepNext w:val="0"/>
        <w:keepLines w:val="0"/>
        <w:spacing w:before="0" w:after="0" w:line="360" w:lineRule="auto"/>
        <w:ind w:left="420" w:leftChars="200"/>
        <w:rPr>
          <w:rFonts w:ascii="黑体" w:hAnsi="黑体" w:eastAsia="黑体"/>
          <w:sz w:val="24"/>
        </w:rPr>
      </w:pPr>
      <w:bookmarkStart w:id="492" w:name="_26.组建评标委员会"/>
      <w:bookmarkEnd w:id="492"/>
      <w:r>
        <w:rPr>
          <w:rFonts w:hint="eastAsia" w:ascii="黑体" w:hAnsi="黑体" w:eastAsia="黑体"/>
          <w:sz w:val="24"/>
        </w:rPr>
        <w:t>26.组建评标委员会</w:t>
      </w:r>
    </w:p>
    <w:p>
      <w:pPr>
        <w:pStyle w:val="26"/>
        <w:snapToGrid w:val="0"/>
        <w:spacing w:line="360" w:lineRule="auto"/>
        <w:ind w:firstLine="420" w:firstLineChars="200"/>
        <w:rPr>
          <w:rFonts w:hAnsi="宋体"/>
          <w:sz w:val="21"/>
        </w:rPr>
      </w:pPr>
      <w:r>
        <w:rPr>
          <w:rFonts w:hint="eastAsia" w:hAnsi="宋体"/>
          <w:sz w:val="21"/>
        </w:rPr>
        <w:t>评标委员会由采购人代表和评审专家组成，具体人数详见“投标人须知前附表”，其中评审专家不得少于成员总数的三分之二。</w:t>
      </w:r>
    </w:p>
    <w:p>
      <w:pPr>
        <w:pStyle w:val="26"/>
        <w:snapToGrid w:val="0"/>
        <w:spacing w:line="360" w:lineRule="auto"/>
        <w:ind w:left="2" w:leftChars="1" w:firstLine="420" w:firstLineChars="200"/>
        <w:rPr>
          <w:rFonts w:hAnsi="宋体"/>
          <w:sz w:val="21"/>
        </w:rPr>
      </w:pPr>
      <w:r>
        <w:rPr>
          <w:rFonts w:hint="eastAsia" w:hAnsi="宋体"/>
          <w:sz w:val="21"/>
        </w:rPr>
        <w:t>参加过采购项目前期咨询论证的专家，不得参加该采购项目的评审活动。</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27.评标的依据</w:t>
      </w:r>
    </w:p>
    <w:p>
      <w:pPr>
        <w:pStyle w:val="26"/>
        <w:snapToGrid w:val="0"/>
        <w:spacing w:line="360" w:lineRule="auto"/>
        <w:ind w:firstLine="420" w:firstLineChars="200"/>
        <w:rPr>
          <w:rFonts w:hAnsi="宋体"/>
          <w:sz w:val="21"/>
        </w:rPr>
      </w:pPr>
      <w:r>
        <w:rPr>
          <w:rFonts w:hint="eastAsia" w:hAnsi="宋体"/>
          <w:sz w:val="21"/>
        </w:rPr>
        <w:t>评标委员会以招标文件为依据对投标文件进行评审，</w:t>
      </w:r>
      <w:r>
        <w:rPr>
          <w:rFonts w:hint="eastAsia" w:hAnsi="宋体" w:cs="宋体"/>
          <w:sz w:val="21"/>
        </w:rPr>
        <w:t>“第四章 评标方法和评标标准”</w:t>
      </w:r>
      <w:r>
        <w:rPr>
          <w:rFonts w:hAnsi="宋体"/>
          <w:sz w:val="21"/>
        </w:rPr>
        <w:t>没有规定的方法、评审因素和标准，不作为评标依据。</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28.评标原则</w:t>
      </w:r>
    </w:p>
    <w:p>
      <w:pPr>
        <w:pStyle w:val="26"/>
        <w:snapToGrid w:val="0"/>
        <w:spacing w:line="360" w:lineRule="auto"/>
        <w:ind w:firstLine="420" w:firstLineChars="200"/>
        <w:rPr>
          <w:rFonts w:hAnsi="宋体"/>
          <w:sz w:val="21"/>
        </w:rPr>
      </w:pPr>
      <w:r>
        <w:rPr>
          <w:rFonts w:hint="eastAsia" w:hAnsi="宋体"/>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6"/>
        <w:snapToGrid w:val="0"/>
        <w:spacing w:line="360" w:lineRule="auto"/>
        <w:ind w:firstLine="420" w:firstLineChars="200"/>
        <w:rPr>
          <w:rFonts w:hAnsi="宋体"/>
          <w:sz w:val="21"/>
        </w:rPr>
      </w:pPr>
      <w:r>
        <w:rPr>
          <w:rFonts w:hint="eastAsia" w:hAnsi="宋体"/>
          <w:sz w:val="21"/>
        </w:rPr>
        <w:t>28.2评委表决。评标委员会成员对需要共同认定的事项存在争议的，应当按照少数服从多数的原则作出结论。</w:t>
      </w:r>
    </w:p>
    <w:p>
      <w:pPr>
        <w:pStyle w:val="26"/>
        <w:snapToGrid w:val="0"/>
        <w:spacing w:line="360" w:lineRule="auto"/>
        <w:ind w:firstLine="420" w:firstLineChars="200"/>
        <w:rPr>
          <w:rFonts w:hAnsi="宋体"/>
          <w:sz w:val="21"/>
        </w:rPr>
      </w:pPr>
      <w:r>
        <w:rPr>
          <w:rFonts w:hint="eastAsia" w:hAnsi="宋体"/>
          <w:sz w:val="21"/>
        </w:rPr>
        <w:t>28.</w:t>
      </w:r>
      <w:r>
        <w:rPr>
          <w:rFonts w:hAnsi="宋体"/>
          <w:sz w:val="21"/>
        </w:rPr>
        <w:t>3</w:t>
      </w:r>
      <w:r>
        <w:rPr>
          <w:rFonts w:hint="eastAsia" w:hAnsi="宋体"/>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6"/>
        <w:snapToGrid w:val="0"/>
        <w:spacing w:line="360" w:lineRule="auto"/>
        <w:ind w:firstLine="420" w:firstLineChars="200"/>
        <w:rPr>
          <w:rFonts w:hAnsi="宋体"/>
          <w:sz w:val="21"/>
        </w:rPr>
      </w:pPr>
      <w:r>
        <w:rPr>
          <w:rFonts w:hint="eastAsia" w:hAnsi="宋体"/>
          <w:sz w:val="21"/>
        </w:rPr>
        <w:t>2</w:t>
      </w:r>
      <w:r>
        <w:rPr>
          <w:rFonts w:hAnsi="宋体"/>
          <w:sz w:val="21"/>
        </w:rPr>
        <w:t>8.4</w:t>
      </w:r>
      <w:r>
        <w:rPr>
          <w:rFonts w:hint="eastAsia" w:hAnsi="宋体"/>
          <w:sz w:val="21"/>
        </w:rPr>
        <w:t>评标过程的监控。本项目评标过程实行全程录音、录像监控，投标人在评标过程中所进行的试图影响评标结果的不公正活动，可能导致其投标按无效处理。</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29.评标方法及评标标准</w:t>
      </w:r>
    </w:p>
    <w:p>
      <w:pPr>
        <w:pStyle w:val="26"/>
        <w:snapToGrid w:val="0"/>
        <w:spacing w:line="360" w:lineRule="auto"/>
        <w:ind w:firstLine="420" w:firstLineChars="200"/>
        <w:rPr>
          <w:rFonts w:hAnsi="宋体"/>
          <w:sz w:val="21"/>
        </w:rPr>
      </w:pPr>
      <w:r>
        <w:rPr>
          <w:rFonts w:hint="eastAsia" w:hAnsi="宋体"/>
          <w:sz w:val="21"/>
        </w:rPr>
        <w:t>2</w:t>
      </w:r>
      <w:r>
        <w:rPr>
          <w:rFonts w:hAnsi="宋体"/>
          <w:sz w:val="21"/>
        </w:rPr>
        <w:t>9.1</w:t>
      </w:r>
      <w:r>
        <w:rPr>
          <w:rFonts w:hint="eastAsia" w:hAnsi="宋体"/>
          <w:sz w:val="21"/>
        </w:rPr>
        <w:t>本项目的评标方法详见“投标人须知前附表”。</w:t>
      </w:r>
    </w:p>
    <w:p>
      <w:pPr>
        <w:pStyle w:val="26"/>
        <w:snapToGrid w:val="0"/>
        <w:spacing w:line="360" w:lineRule="auto"/>
        <w:ind w:firstLine="420" w:firstLineChars="200"/>
        <w:rPr>
          <w:rFonts w:hAnsi="宋体"/>
          <w:sz w:val="21"/>
        </w:rPr>
      </w:pPr>
      <w:r>
        <w:rPr>
          <w:rFonts w:hint="eastAsia" w:hAnsi="宋体"/>
          <w:sz w:val="21"/>
        </w:rPr>
        <w:t>2</w:t>
      </w:r>
      <w:r>
        <w:rPr>
          <w:rFonts w:hAnsi="宋体"/>
          <w:sz w:val="21"/>
        </w:rPr>
        <w:t>9.2</w:t>
      </w:r>
      <w:r>
        <w:rPr>
          <w:rFonts w:hAnsi="宋体" w:cs="宋体"/>
          <w:sz w:val="21"/>
        </w:rPr>
        <w:t xml:space="preserve"> </w:t>
      </w:r>
      <w:r>
        <w:rPr>
          <w:rFonts w:hint="eastAsia" w:hAnsi="宋体" w:cs="宋体"/>
          <w:sz w:val="21"/>
        </w:rPr>
        <w:t>商务/服务需求</w:t>
      </w:r>
      <w:r>
        <w:rPr>
          <w:rFonts w:hint="eastAsia" w:hAnsi="宋体"/>
          <w:sz w:val="21"/>
        </w:rPr>
        <w:t>允许负偏离的条款数</w:t>
      </w:r>
      <w:r>
        <w:rPr>
          <w:rFonts w:hAnsi="宋体"/>
          <w:sz w:val="21"/>
        </w:rPr>
        <w:t>详见</w:t>
      </w:r>
      <w:r>
        <w:rPr>
          <w:rFonts w:hint="eastAsia" w:hAnsi="宋体"/>
          <w:sz w:val="21"/>
        </w:rPr>
        <w:t>“投标人须知前附表”。</w:t>
      </w:r>
    </w:p>
    <w:p>
      <w:pPr>
        <w:pStyle w:val="26"/>
        <w:snapToGrid w:val="0"/>
        <w:spacing w:line="360" w:lineRule="auto"/>
        <w:ind w:firstLine="420" w:firstLineChars="200"/>
        <w:rPr>
          <w:rFonts w:hAnsi="宋体" w:cs="宋体"/>
          <w:sz w:val="21"/>
        </w:rPr>
      </w:pPr>
      <w:r>
        <w:rPr>
          <w:rFonts w:hint="eastAsia" w:hAnsi="宋体"/>
          <w:sz w:val="21"/>
        </w:rPr>
        <w:t>2</w:t>
      </w:r>
      <w:r>
        <w:rPr>
          <w:rFonts w:hAnsi="宋体"/>
          <w:sz w:val="21"/>
        </w:rPr>
        <w:t>9.3</w:t>
      </w:r>
      <w:r>
        <w:rPr>
          <w:rFonts w:hAnsi="宋体" w:cs="宋体"/>
          <w:sz w:val="21"/>
        </w:rPr>
        <w:t xml:space="preserve"> </w:t>
      </w:r>
      <w:r>
        <w:rPr>
          <w:rFonts w:hAnsi="宋体"/>
          <w:sz w:val="21"/>
        </w:rPr>
        <w:t>评标委员会按照</w:t>
      </w:r>
      <w:r>
        <w:rPr>
          <w:rFonts w:hint="eastAsia" w:hAnsi="宋体" w:cs="宋体"/>
          <w:sz w:val="21"/>
        </w:rPr>
        <w:t>“第四章 评标方法和评标标准”</w:t>
      </w:r>
      <w:r>
        <w:rPr>
          <w:rFonts w:hAnsi="宋体"/>
          <w:sz w:val="21"/>
        </w:rPr>
        <w:t>规定的方法、评审因素、标准和程序对投标文件进行评审。</w:t>
      </w:r>
    </w:p>
    <w:p>
      <w:pPr>
        <w:spacing w:line="360" w:lineRule="auto"/>
        <w:ind w:firstLine="420" w:firstLineChars="200"/>
        <w:rPr>
          <w:rFonts w:hAnsi="宋体"/>
        </w:rPr>
      </w:pPr>
      <w:r>
        <w:rPr>
          <w:rFonts w:hint="eastAsia" w:ascii="宋体" w:hAnsi="宋体"/>
          <w:kern w:val="0"/>
          <w:szCs w:val="21"/>
        </w:rPr>
        <w:t>29.</w:t>
      </w:r>
      <w:r>
        <w:rPr>
          <w:rFonts w:ascii="宋体" w:hAnsi="宋体"/>
          <w:kern w:val="0"/>
          <w:szCs w:val="21"/>
        </w:rPr>
        <w:t>4</w:t>
      </w:r>
      <w:r>
        <w:rPr>
          <w:rFonts w:hint="eastAsia" w:ascii="宋体" w:hAnsi="宋体"/>
          <w:kern w:val="0"/>
          <w:szCs w:val="21"/>
        </w:rPr>
        <w:t xml:space="preserve"> 电</w:t>
      </w:r>
      <w:r>
        <w:rPr>
          <w:rFonts w:hint="eastAsia" w:hAnsi="宋体"/>
        </w:rPr>
        <w:t>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Ansi="宋体"/>
        </w:rPr>
      </w:pPr>
      <w:r>
        <w:rPr>
          <w:rFonts w:hint="eastAsia" w:hAnsi="宋体"/>
        </w:rPr>
        <w:t xml:space="preserve">（1）电子交易平台发生故障而无法登录访问的； </w:t>
      </w:r>
    </w:p>
    <w:p>
      <w:pPr>
        <w:spacing w:line="360" w:lineRule="auto"/>
        <w:ind w:firstLine="420" w:firstLineChars="200"/>
        <w:rPr>
          <w:rFonts w:hAnsi="宋体"/>
        </w:rPr>
      </w:pPr>
      <w:r>
        <w:rPr>
          <w:rFonts w:hint="eastAsia" w:hAnsi="宋体"/>
        </w:rPr>
        <w:t>（2）电子交易平台应用或数据库出现错误，不能进行正常操作的；</w:t>
      </w:r>
    </w:p>
    <w:p>
      <w:pPr>
        <w:spacing w:line="360" w:lineRule="auto"/>
        <w:ind w:firstLine="420" w:firstLineChars="200"/>
        <w:rPr>
          <w:rFonts w:hAnsi="宋体"/>
        </w:rPr>
      </w:pPr>
      <w:r>
        <w:rPr>
          <w:rFonts w:hint="eastAsia" w:hAnsi="宋体"/>
        </w:rPr>
        <w:t>（3）电子交易平台发现严重安全漏洞，有潜在泄密危险的；</w:t>
      </w:r>
    </w:p>
    <w:p>
      <w:pPr>
        <w:spacing w:line="360" w:lineRule="auto"/>
        <w:ind w:firstLine="420" w:firstLineChars="200"/>
        <w:rPr>
          <w:rFonts w:hAnsi="宋体"/>
        </w:rPr>
      </w:pPr>
      <w:r>
        <w:rPr>
          <w:rFonts w:hint="eastAsia" w:hAnsi="宋体"/>
        </w:rPr>
        <w:t xml:space="preserve">（4）病毒发作导致不能进行正常操作的； </w:t>
      </w:r>
    </w:p>
    <w:p>
      <w:pPr>
        <w:spacing w:line="360" w:lineRule="auto"/>
        <w:ind w:firstLine="420" w:firstLineChars="200"/>
        <w:rPr>
          <w:rFonts w:hAnsi="宋体"/>
        </w:rPr>
      </w:pPr>
      <w:r>
        <w:rPr>
          <w:rFonts w:hint="eastAsia" w:hAnsi="宋体"/>
        </w:rPr>
        <w:t>（</w:t>
      </w:r>
      <w:r>
        <w:rPr>
          <w:rFonts w:hAnsi="宋体"/>
        </w:rPr>
        <w:t>5</w:t>
      </w:r>
      <w:r>
        <w:rPr>
          <w:rFonts w:hint="eastAsia" w:hAnsi="宋体"/>
        </w:rPr>
        <w:t>）其他无法保证电子交易的公平、公正和安全的情况。</w:t>
      </w:r>
    </w:p>
    <w:p>
      <w:pPr>
        <w:spacing w:line="360" w:lineRule="auto"/>
        <w:ind w:firstLine="420" w:firstLineChars="200"/>
        <w:rPr>
          <w:rFonts w:hAnsi="宋体"/>
        </w:rPr>
      </w:pPr>
      <w:r>
        <w:rPr>
          <w:rFonts w:hint="eastAsia" w:ascii="宋体" w:hAnsi="宋体"/>
          <w:kern w:val="0"/>
          <w:szCs w:val="21"/>
        </w:rPr>
        <w:t>出</w:t>
      </w:r>
      <w:r>
        <w:rPr>
          <w:rFonts w:hint="eastAsia" w:hAnsi="宋体"/>
        </w:rPr>
        <w:t>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4"/>
        <w:keepNext w:val="0"/>
        <w:keepLines w:val="0"/>
        <w:jc w:val="center"/>
      </w:pPr>
      <w:bookmarkStart w:id="493" w:name="_Toc254970546"/>
      <w:bookmarkStart w:id="494" w:name="_Toc254970687"/>
      <w:r>
        <w:rPr>
          <w:rFonts w:hint="eastAsia"/>
        </w:rPr>
        <w:t>七、</w:t>
      </w:r>
      <w:bookmarkEnd w:id="493"/>
      <w:bookmarkEnd w:id="494"/>
      <w:r>
        <w:rPr>
          <w:rFonts w:hint="eastAsia"/>
        </w:rPr>
        <w:t>中标和合同</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30</w:t>
      </w:r>
      <w:r>
        <w:rPr>
          <w:rFonts w:ascii="黑体" w:hAnsi="黑体" w:eastAsia="黑体"/>
          <w:sz w:val="24"/>
        </w:rPr>
        <w:t xml:space="preserve"> </w:t>
      </w:r>
      <w:r>
        <w:rPr>
          <w:rFonts w:hint="eastAsia" w:ascii="黑体" w:hAnsi="黑体" w:eastAsia="黑体"/>
          <w:sz w:val="24"/>
        </w:rPr>
        <w:t>确定中标人</w:t>
      </w:r>
    </w:p>
    <w:p>
      <w:pPr>
        <w:pStyle w:val="6"/>
        <w:keepNext w:val="0"/>
        <w:keepLines w:val="0"/>
        <w:spacing w:before="0" w:after="0" w:line="360" w:lineRule="auto"/>
        <w:ind w:firstLine="420" w:firstLineChars="200"/>
        <w:rPr>
          <w:rFonts w:ascii="宋体" w:hAnsi="宋体"/>
          <w:b w:val="0"/>
          <w:sz w:val="21"/>
          <w:szCs w:val="21"/>
        </w:rPr>
      </w:pPr>
      <w:r>
        <w:rPr>
          <w:rFonts w:ascii="宋体" w:hAnsi="宋体"/>
          <w:b w:val="0"/>
          <w:sz w:val="21"/>
          <w:szCs w:val="21"/>
        </w:rPr>
        <w:t>30.1</w:t>
      </w:r>
      <w:r>
        <w:rPr>
          <w:rFonts w:hint="eastAsia" w:ascii="宋体" w:hAnsi="宋体"/>
          <w:b w:val="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20" w:firstLineChars="200"/>
        <w:rPr>
          <w:rFonts w:ascii="宋体" w:hAnsi="宋体" w:cs="Courier New"/>
          <w:szCs w:val="21"/>
        </w:rPr>
      </w:pPr>
      <w:r>
        <w:rPr>
          <w:rFonts w:ascii="宋体" w:hAnsi="宋体" w:cs="Courier New"/>
          <w:szCs w:val="21"/>
        </w:rPr>
        <w:t>30.2</w:t>
      </w:r>
      <w:r>
        <w:rPr>
          <w:rFonts w:hint="eastAsia" w:ascii="宋体" w:hAnsi="宋体" w:cs="Courier New"/>
          <w:szCs w:val="21"/>
        </w:rPr>
        <w:t>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20" w:firstLineChars="200"/>
        <w:rPr>
          <w:rFonts w:ascii="宋体" w:hAnsi="宋体" w:cs="Courier New"/>
          <w:szCs w:val="21"/>
        </w:rPr>
      </w:pPr>
      <w:r>
        <w:rPr>
          <w:rFonts w:ascii="宋体" w:hAnsi="宋体" w:cs="Courier New"/>
          <w:szCs w:val="21"/>
        </w:rPr>
        <w:t>30.3</w:t>
      </w:r>
      <w:r>
        <w:rPr>
          <w:rFonts w:hint="eastAsia" w:ascii="宋体" w:hAnsi="宋体" w:cs="Courier New"/>
          <w:szCs w:val="21"/>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napToGrid w:val="0"/>
        <w:spacing w:line="360" w:lineRule="auto"/>
        <w:ind w:firstLine="420" w:firstLineChars="200"/>
        <w:rPr>
          <w:rFonts w:ascii="宋体" w:hAnsi="宋体" w:cs="Courier New"/>
          <w:szCs w:val="21"/>
        </w:rPr>
      </w:pPr>
      <w:r>
        <w:rPr>
          <w:rFonts w:ascii="宋体" w:hAnsi="宋体" w:cs="Courier New"/>
          <w:szCs w:val="21"/>
        </w:rPr>
        <w:t>30.4</w:t>
      </w:r>
      <w:r>
        <w:rPr>
          <w:rFonts w:hint="eastAsia" w:ascii="宋体" w:hAnsi="宋体" w:cs="Courier New"/>
          <w:szCs w:val="21"/>
        </w:rPr>
        <w:t>排名第一的中标候选人放弃中标、因不可抗力提出不能履行合同，采购人可以确定排名第二的中标候选人为中标人。排名第二的中标候选人因前款规定的同样原因不能签订合同的，采购人可以确定排名第三的中标候选人为中标人，以此类推。</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31. 结果公告</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3</w:t>
      </w:r>
      <w:r>
        <w:rPr>
          <w:rFonts w:ascii="宋体" w:hAnsi="宋体"/>
          <w:b w:val="0"/>
          <w:sz w:val="21"/>
          <w:szCs w:val="21"/>
        </w:rPr>
        <w:t>1.1</w:t>
      </w:r>
      <w:r>
        <w:rPr>
          <w:rFonts w:hint="eastAsia" w:ascii="宋体" w:hAnsi="宋体"/>
          <w:b w:val="0"/>
          <w:sz w:val="21"/>
          <w:szCs w:val="21"/>
        </w:rPr>
        <w:t>中标人确定后，于中标人确定之日起2个工作日内，中标结果将在招标公告发布媒体上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pPr>
        <w:snapToGrid w:val="0"/>
        <w:spacing w:line="360" w:lineRule="auto"/>
        <w:ind w:firstLine="420" w:firstLineChars="200"/>
        <w:rPr>
          <w:rFonts w:ascii="宋体" w:hAnsi="宋体"/>
          <w:szCs w:val="21"/>
        </w:rPr>
      </w:pPr>
      <w:r>
        <w:rPr>
          <w:rFonts w:hint="eastAsia" w:ascii="宋体" w:hAnsi="宋体"/>
          <w:szCs w:val="21"/>
        </w:rPr>
        <w:t>以上信息查询记录及相关证据与采购文件一并保存。</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31.2中标供应商享受《政府采购促进中小企业发展管理办法》（财库〔2020〕46号）规定的中小企业扶持政策的，采购人、采购代理机构应当随中标结果公开中标供应商的《中小企业声明函》。</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32.发出中标通知书</w:t>
      </w:r>
    </w:p>
    <w:p>
      <w:pPr>
        <w:pStyle w:val="6"/>
        <w:keepNext w:val="0"/>
        <w:keepLines w:val="0"/>
        <w:spacing w:before="0" w:after="0" w:line="360" w:lineRule="auto"/>
        <w:ind w:firstLine="420" w:firstLineChars="200"/>
        <w:rPr>
          <w:rFonts w:ascii="宋体" w:hAnsi="宋体"/>
          <w:b w:val="0"/>
          <w:sz w:val="21"/>
          <w:szCs w:val="21"/>
        </w:rPr>
      </w:pPr>
      <w:r>
        <w:rPr>
          <w:rFonts w:hint="eastAsia" w:ascii="宋体" w:hAnsi="宋体"/>
          <w:b w:val="0"/>
          <w:sz w:val="21"/>
          <w:szCs w:val="21"/>
        </w:rPr>
        <w:t>在发布中标公告的同时，采购代理机构向中标人发出中标通知书。对未通过资格审查的投标人，应当告知其未通过的原因；采用综合评分办法评审的，还应当告知未中标人本人的评审得分与排序。</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33. 无义务解释未中标原因</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采购代理机构无义务向未中标的投标人解释未中标原因。</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34.合同授予标准</w:t>
      </w:r>
    </w:p>
    <w:p>
      <w:pPr>
        <w:snapToGrid w:val="0"/>
        <w:spacing w:line="360" w:lineRule="auto"/>
        <w:ind w:firstLine="420" w:firstLineChars="200"/>
        <w:rPr>
          <w:rFonts w:ascii="宋体" w:hAnsi="宋体"/>
          <w:szCs w:val="21"/>
        </w:rPr>
      </w:pPr>
      <w:r>
        <w:rPr>
          <w:rFonts w:hint="eastAsia" w:ascii="宋体" w:hAnsi="宋体" w:cs="Courier New"/>
          <w:szCs w:val="21"/>
        </w:rPr>
        <w:t>合同将授予被确定实质上响应招标文件要求，具备履行合同能力的中标人。</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35.履约保证金</w:t>
      </w:r>
    </w:p>
    <w:p>
      <w:pPr>
        <w:pStyle w:val="6"/>
        <w:keepNext w:val="0"/>
        <w:keepLines w:val="0"/>
        <w:spacing w:before="0" w:after="0" w:line="360" w:lineRule="auto"/>
        <w:ind w:firstLine="315" w:firstLineChars="150"/>
        <w:rPr>
          <w:rFonts w:ascii="宋体" w:hAnsi="宋体"/>
          <w:b w:val="0"/>
          <w:sz w:val="21"/>
          <w:szCs w:val="21"/>
        </w:rPr>
      </w:pPr>
      <w:bookmarkStart w:id="495" w:name="_39.1中标人须于签订合同前按本须知前附表规定的金额转账或电汇到指定账"/>
      <w:bookmarkEnd w:id="495"/>
      <w:r>
        <w:rPr>
          <w:rFonts w:ascii="宋体" w:hAnsi="宋体"/>
          <w:b w:val="0"/>
          <w:sz w:val="21"/>
          <w:szCs w:val="21"/>
        </w:rPr>
        <w:t xml:space="preserve"> </w:t>
      </w:r>
      <w:r>
        <w:rPr>
          <w:rFonts w:hint="eastAsia" w:ascii="宋体" w:hAnsi="宋体"/>
          <w:b w:val="0"/>
          <w:sz w:val="21"/>
          <w:szCs w:val="21"/>
        </w:rPr>
        <w:t>3</w:t>
      </w:r>
      <w:r>
        <w:rPr>
          <w:rFonts w:ascii="宋体" w:hAnsi="宋体"/>
          <w:b w:val="0"/>
          <w:sz w:val="21"/>
          <w:szCs w:val="21"/>
        </w:rPr>
        <w:t>5</w:t>
      </w:r>
      <w:r>
        <w:rPr>
          <w:rFonts w:hint="eastAsia" w:ascii="宋体" w:hAnsi="宋体"/>
          <w:b w:val="0"/>
          <w:sz w:val="21"/>
          <w:szCs w:val="21"/>
        </w:rPr>
        <w:t>.1 履约保证金的金额、提交方式、退付的时间和条件详见 “投标人须知前附表”。中标人未按规定提交履约保证金的，视为拒绝与采购人签订合同，采购人可以按照评标报告推荐的中标候选人名单排序，确定下一候选人为中标人，也可以重新开展政府采购活动。</w:t>
      </w:r>
    </w:p>
    <w:p>
      <w:pPr>
        <w:pStyle w:val="6"/>
        <w:keepNext w:val="0"/>
        <w:keepLines w:val="0"/>
        <w:spacing w:before="0" w:after="0" w:line="360" w:lineRule="auto"/>
        <w:ind w:firstLine="315" w:firstLineChars="150"/>
        <w:rPr>
          <w:rFonts w:ascii="宋体" w:hAnsi="宋体"/>
          <w:b w:val="0"/>
          <w:sz w:val="21"/>
          <w:szCs w:val="21"/>
        </w:rPr>
      </w:pPr>
      <w:r>
        <w:rPr>
          <w:rFonts w:ascii="宋体" w:hAnsi="宋体"/>
          <w:b w:val="0"/>
          <w:sz w:val="21"/>
          <w:szCs w:val="21"/>
        </w:rPr>
        <w:t xml:space="preserve"> </w:t>
      </w:r>
      <w:r>
        <w:rPr>
          <w:rFonts w:hint="eastAsia" w:ascii="宋体" w:hAnsi="宋体"/>
          <w:b w:val="0"/>
          <w:sz w:val="21"/>
          <w:szCs w:val="21"/>
        </w:rPr>
        <w:t>3</w:t>
      </w:r>
      <w:r>
        <w:rPr>
          <w:rFonts w:ascii="宋体" w:hAnsi="宋体"/>
          <w:b w:val="0"/>
          <w:sz w:val="21"/>
          <w:szCs w:val="21"/>
        </w:rPr>
        <w:t>5</w:t>
      </w:r>
      <w:r>
        <w:rPr>
          <w:rFonts w:hint="eastAsia" w:ascii="宋体" w:hAnsi="宋体"/>
          <w:b w:val="0"/>
          <w:sz w:val="21"/>
          <w:szCs w:val="21"/>
        </w:rPr>
        <w:t>.2签订合同后，如中标人不按双方签订的合同规定履约，则没收其全部履约保证金，履约保证金不足以赔偿损失的，按实际损失赔偿。</w:t>
      </w:r>
    </w:p>
    <w:p>
      <w:pPr>
        <w:pStyle w:val="6"/>
        <w:keepNext w:val="0"/>
        <w:keepLines w:val="0"/>
        <w:numPr>
          <w:ilvl w:val="0"/>
          <w:numId w:val="0"/>
        </w:numPr>
        <w:spacing w:before="0" w:after="0" w:line="360" w:lineRule="auto"/>
        <w:ind w:firstLine="420" w:firstLineChars="200"/>
        <w:rPr>
          <w:rFonts w:ascii="宋体" w:hAnsi="宋体"/>
          <w:b w:val="0"/>
          <w:sz w:val="21"/>
          <w:szCs w:val="21"/>
        </w:rPr>
      </w:pPr>
      <w:r>
        <w:rPr>
          <w:rFonts w:hint="eastAsia" w:ascii="宋体" w:hAnsi="宋体"/>
          <w:b w:val="0"/>
          <w:sz w:val="21"/>
          <w:szCs w:val="21"/>
        </w:rPr>
        <w:t>3</w:t>
      </w:r>
      <w:r>
        <w:rPr>
          <w:rFonts w:ascii="宋体" w:hAnsi="宋体"/>
          <w:b w:val="0"/>
          <w:sz w:val="21"/>
          <w:szCs w:val="21"/>
        </w:rPr>
        <w:t>5</w:t>
      </w:r>
      <w:r>
        <w:rPr>
          <w:rFonts w:hint="eastAsia" w:ascii="宋体" w:hAnsi="宋体"/>
          <w:b w:val="0"/>
          <w:sz w:val="21"/>
          <w:szCs w:val="21"/>
        </w:rPr>
        <w:t>.3在履约保证金退还日期前，若中标人的开户名称、开户银行、</w:t>
      </w:r>
      <w:r>
        <w:rPr>
          <w:rFonts w:hint="eastAsia" w:ascii="宋体" w:hAnsi="宋体"/>
          <w:b w:val="0"/>
          <w:sz w:val="21"/>
          <w:szCs w:val="21"/>
          <w:lang w:eastAsia="zh-CN"/>
        </w:rPr>
        <w:t>账号</w:t>
      </w:r>
      <w:r>
        <w:rPr>
          <w:rFonts w:hint="eastAsia" w:ascii="宋体" w:hAnsi="宋体"/>
          <w:b w:val="0"/>
          <w:sz w:val="21"/>
          <w:szCs w:val="21"/>
        </w:rPr>
        <w:t>有变动的，请以书面形式通知履约保证金收取单位，否则由此产生的后果由中标人自行承担。</w:t>
      </w:r>
    </w:p>
    <w:p>
      <w:pPr>
        <w:pStyle w:val="6"/>
        <w:keepNext w:val="0"/>
        <w:keepLines w:val="0"/>
        <w:numPr>
          <w:ilvl w:val="0"/>
          <w:numId w:val="0"/>
        </w:numPr>
        <w:spacing w:before="0" w:after="0" w:line="360" w:lineRule="auto"/>
        <w:ind w:firstLine="420" w:firstLineChars="200"/>
        <w:rPr>
          <w:rFonts w:ascii="宋体" w:hAnsi="宋体"/>
          <w:b w:val="0"/>
          <w:sz w:val="21"/>
          <w:szCs w:val="21"/>
        </w:rPr>
      </w:pPr>
      <w:r>
        <w:rPr>
          <w:rFonts w:hint="eastAsia" w:ascii="宋体" w:hAnsi="宋体"/>
          <w:b w:val="0"/>
          <w:sz w:val="21"/>
          <w:szCs w:val="21"/>
        </w:rPr>
        <w:t>35.4中标人在服务期内有违约行为的，采购人可直接在履约保证金中对中标人任何应付未付款项或违约金进行扣减，中标人应在履约保证金被扣减后的七日内将保证金数额恢复至原有数额。</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36.签订合同</w:t>
      </w:r>
    </w:p>
    <w:p>
      <w:pPr>
        <w:pStyle w:val="6"/>
        <w:keepNext w:val="0"/>
        <w:keepLines w:val="0"/>
        <w:spacing w:before="0" w:after="0" w:line="360" w:lineRule="auto"/>
        <w:ind w:firstLine="315" w:firstLineChars="150"/>
        <w:rPr>
          <w:rFonts w:ascii="宋体" w:hAnsi="宋体"/>
          <w:b w:val="0"/>
          <w:sz w:val="21"/>
          <w:szCs w:val="21"/>
        </w:rPr>
      </w:pPr>
      <w:bookmarkStart w:id="496" w:name="_40.1投标人接到中标通知书后，按须知前附表规定向采购人出示相关资格证"/>
      <w:bookmarkEnd w:id="496"/>
      <w:r>
        <w:rPr>
          <w:rFonts w:hint="eastAsia" w:ascii="宋体" w:hAnsi="宋体"/>
          <w:b w:val="0"/>
          <w:sz w:val="21"/>
          <w:szCs w:val="21"/>
        </w:rPr>
        <w:t xml:space="preserve"> 36.1投标人领取中标通知书（书面或电子）后，按“投标人须知前附表”规定向采购人出示相关证明材料，经采购人核验合格后方可签订合同。</w:t>
      </w:r>
    </w:p>
    <w:p>
      <w:pPr>
        <w:pStyle w:val="6"/>
        <w:keepNext w:val="0"/>
        <w:keepLines w:val="0"/>
        <w:numPr>
          <w:ilvl w:val="0"/>
          <w:numId w:val="0"/>
        </w:numPr>
        <w:spacing w:before="0" w:after="0" w:line="360" w:lineRule="auto"/>
        <w:ind w:firstLine="420" w:firstLineChars="200"/>
        <w:rPr>
          <w:rFonts w:ascii="宋体" w:hAnsi="宋体"/>
          <w:b w:val="0"/>
          <w:sz w:val="21"/>
          <w:szCs w:val="21"/>
        </w:rPr>
      </w:pPr>
      <w:r>
        <w:rPr>
          <w:rFonts w:hint="eastAsia" w:ascii="宋体" w:hAnsi="宋体"/>
          <w:b w:val="0"/>
          <w:sz w:val="21"/>
          <w:szCs w:val="21"/>
        </w:rPr>
        <w:t>36.2签订合同时间：按中标通知书规定的时间与采购人签订合同。</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36.</w:t>
      </w:r>
      <w:r>
        <w:rPr>
          <w:rFonts w:ascii="宋体" w:hAnsi="宋体"/>
          <w:b w:val="0"/>
          <w:sz w:val="21"/>
          <w:szCs w:val="21"/>
        </w:rPr>
        <w:t>3</w:t>
      </w:r>
      <w:r>
        <w:rPr>
          <w:rFonts w:hint="eastAsia" w:ascii="宋体" w:hAnsi="宋体"/>
          <w:b w:val="0"/>
          <w:sz w:val="21"/>
          <w:szCs w:val="21"/>
        </w:rPr>
        <w:t>中标人拒绝与采购人签订合同的，采购人可以按照评审报告推荐的中标候选人名单排序，确定下一候选人为中标人，也可以重新开展政府采购活动。</w:t>
      </w:r>
    </w:p>
    <w:p>
      <w:pPr>
        <w:pStyle w:val="6"/>
        <w:keepNext w:val="0"/>
        <w:keepLines w:val="0"/>
        <w:spacing w:before="0" w:after="0" w:line="360" w:lineRule="auto"/>
        <w:ind w:left="420" w:leftChars="200"/>
        <w:rPr>
          <w:rFonts w:ascii="黑体" w:hAnsi="黑体" w:eastAsia="黑体"/>
          <w:sz w:val="24"/>
        </w:rPr>
      </w:pPr>
      <w:bookmarkStart w:id="497" w:name="_41.政府采购合同公告"/>
      <w:bookmarkEnd w:id="497"/>
      <w:r>
        <w:rPr>
          <w:rFonts w:hint="eastAsia" w:ascii="黑体" w:hAnsi="黑体" w:eastAsia="黑体"/>
          <w:sz w:val="24"/>
        </w:rPr>
        <w:t>37.政府采购合同公告</w:t>
      </w:r>
    </w:p>
    <w:p>
      <w:pPr>
        <w:pStyle w:val="26"/>
        <w:snapToGrid w:val="0"/>
        <w:spacing w:line="360" w:lineRule="auto"/>
        <w:ind w:firstLine="420" w:firstLineChars="200"/>
        <w:rPr>
          <w:rFonts w:hAnsi="宋体"/>
          <w:sz w:val="21"/>
        </w:rPr>
      </w:pPr>
      <w:r>
        <w:rPr>
          <w:rFonts w:hint="eastAsia" w:hAnsi="宋体"/>
          <w:sz w:val="21"/>
        </w:rPr>
        <w:t>采购人或者受托采购代理机构应当自政府采购合同签订之日起2个工作日内，将政府采购合同在省级以上人民政府财政部门指定的媒体上公告，</w:t>
      </w:r>
      <w:r>
        <w:rPr>
          <w:rFonts w:hAnsi="宋体"/>
          <w:sz w:val="21"/>
        </w:rPr>
        <w:t>但政府采购合同中涉及国家秘密、商业秘密的内容除外。</w:t>
      </w:r>
    </w:p>
    <w:p>
      <w:pPr>
        <w:pStyle w:val="6"/>
        <w:keepNext w:val="0"/>
        <w:keepLines w:val="0"/>
        <w:spacing w:before="0" w:after="0" w:line="360" w:lineRule="auto"/>
        <w:ind w:left="420" w:leftChars="200"/>
        <w:rPr>
          <w:rFonts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pPr>
        <w:pStyle w:val="7"/>
        <w:spacing w:line="360" w:lineRule="auto"/>
        <w:rPr>
          <w:rFonts w:ascii="宋体" w:hAnsi="宋体"/>
          <w:szCs w:val="21"/>
        </w:rPr>
      </w:pPr>
      <w:r>
        <w:rPr>
          <w:rFonts w:ascii="宋体" w:hAnsi="宋体"/>
          <w:szCs w:val="21"/>
        </w:rPr>
        <w:t>38.1</w:t>
      </w:r>
      <w:r>
        <w:rPr>
          <w:rFonts w:hint="eastAsia" w:ascii="宋体" w:hAnsi="宋体"/>
          <w:szCs w:val="21"/>
        </w:rPr>
        <w:t>供应商对政府采购活动事项有疑问的，可以向采购人提出询问，采购人应当及时作出答复，但答复的内容不得涉及商业秘密。</w:t>
      </w:r>
    </w:p>
    <w:p>
      <w:pPr>
        <w:pStyle w:val="6"/>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w:t>
      </w:r>
      <w:r>
        <w:rPr>
          <w:rFonts w:ascii="宋体" w:hAnsi="宋体"/>
          <w:b w:val="0"/>
          <w:sz w:val="21"/>
          <w:szCs w:val="21"/>
        </w:rPr>
        <w:t>38</w:t>
      </w:r>
      <w:r>
        <w:rPr>
          <w:rFonts w:hint="eastAsia" w:ascii="宋体" w:hAnsi="宋体"/>
          <w:b w:val="0"/>
          <w:sz w:val="21"/>
          <w:szCs w:val="21"/>
        </w:rPr>
        <w:t>.</w:t>
      </w:r>
      <w:r>
        <w:rPr>
          <w:rFonts w:ascii="宋体" w:hAnsi="宋体"/>
          <w:b w:val="0"/>
          <w:sz w:val="21"/>
          <w:szCs w:val="21"/>
        </w:rPr>
        <w:t>2</w:t>
      </w:r>
      <w:r>
        <w:rPr>
          <w:rFonts w:hint="eastAsia" w:ascii="宋体" w:hAnsi="宋体"/>
          <w:b w:val="0"/>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pPr>
        <w:pStyle w:val="26"/>
        <w:snapToGrid w:val="0"/>
        <w:spacing w:line="360" w:lineRule="auto"/>
        <w:ind w:firstLine="420" w:firstLineChars="200"/>
        <w:rPr>
          <w:rFonts w:hAnsi="宋体"/>
          <w:sz w:val="21"/>
        </w:rPr>
      </w:pPr>
      <w:r>
        <w:rPr>
          <w:rFonts w:hAnsi="宋体"/>
          <w:sz w:val="21"/>
        </w:rPr>
        <w:t>（</w:t>
      </w:r>
      <w:r>
        <w:rPr>
          <w:rFonts w:hint="eastAsia" w:hAnsi="宋体"/>
          <w:sz w:val="21"/>
        </w:rPr>
        <w:t>1</w:t>
      </w:r>
      <w:r>
        <w:rPr>
          <w:rFonts w:hAnsi="宋体"/>
          <w:sz w:val="21"/>
        </w:rPr>
        <w:t>）对可以质疑的</w:t>
      </w:r>
      <w:r>
        <w:rPr>
          <w:rFonts w:hint="eastAsia" w:hAnsi="宋体"/>
          <w:sz w:val="21"/>
        </w:rPr>
        <w:t>招标</w:t>
      </w:r>
      <w:r>
        <w:rPr>
          <w:rFonts w:hAnsi="宋体"/>
          <w:sz w:val="21"/>
        </w:rPr>
        <w:t>文件提出质疑的，为</w:t>
      </w:r>
      <w:r>
        <w:rPr>
          <w:rFonts w:hint="eastAsia" w:hAnsi="宋体"/>
          <w:sz w:val="21"/>
        </w:rPr>
        <w:t>获取招标</w:t>
      </w:r>
      <w:r>
        <w:rPr>
          <w:rFonts w:hAnsi="宋体"/>
          <w:sz w:val="21"/>
        </w:rPr>
        <w:t>文件之日</w:t>
      </w:r>
      <w:r>
        <w:rPr>
          <w:rFonts w:hint="eastAsia" w:hAnsi="宋体"/>
          <w:sz w:val="21"/>
        </w:rPr>
        <w:t>或者招标文件公告期限届满之日</w:t>
      </w:r>
      <w:r>
        <w:rPr>
          <w:rFonts w:hAnsi="宋体"/>
          <w:sz w:val="21"/>
        </w:rPr>
        <w:t>；</w:t>
      </w:r>
    </w:p>
    <w:p>
      <w:pPr>
        <w:pStyle w:val="26"/>
        <w:snapToGrid w:val="0"/>
        <w:spacing w:line="360" w:lineRule="auto"/>
        <w:ind w:firstLine="420" w:firstLineChars="200"/>
        <w:rPr>
          <w:rFonts w:hAnsi="宋体"/>
          <w:sz w:val="21"/>
        </w:rPr>
      </w:pPr>
      <w:r>
        <w:rPr>
          <w:rFonts w:hAnsi="宋体"/>
          <w:sz w:val="21"/>
        </w:rPr>
        <w:t>（</w:t>
      </w:r>
      <w:r>
        <w:rPr>
          <w:rFonts w:hint="eastAsia" w:hAnsi="宋体"/>
          <w:sz w:val="21"/>
        </w:rPr>
        <w:t>2</w:t>
      </w:r>
      <w:r>
        <w:rPr>
          <w:rFonts w:hAnsi="宋体"/>
          <w:sz w:val="21"/>
        </w:rPr>
        <w:t>）对</w:t>
      </w:r>
      <w:r>
        <w:rPr>
          <w:rFonts w:hint="eastAsia" w:hAnsi="宋体"/>
          <w:sz w:val="21"/>
        </w:rPr>
        <w:t>采购</w:t>
      </w:r>
      <w:r>
        <w:rPr>
          <w:rFonts w:hAnsi="宋体"/>
          <w:sz w:val="21"/>
        </w:rPr>
        <w:t>过程提出质疑的，为各采购程序环节结束之日；</w:t>
      </w:r>
    </w:p>
    <w:p>
      <w:pPr>
        <w:pStyle w:val="26"/>
        <w:snapToGrid w:val="0"/>
        <w:spacing w:line="360" w:lineRule="auto"/>
        <w:ind w:firstLine="420" w:firstLineChars="200"/>
        <w:rPr>
          <w:rFonts w:hAnsi="宋体"/>
          <w:bCs/>
          <w:sz w:val="21"/>
        </w:rPr>
      </w:pPr>
      <w:r>
        <w:rPr>
          <w:rFonts w:hAnsi="宋体"/>
          <w:sz w:val="21"/>
        </w:rPr>
        <w:t>（</w:t>
      </w:r>
      <w:r>
        <w:rPr>
          <w:rFonts w:hint="eastAsia" w:hAnsi="宋体"/>
          <w:sz w:val="21"/>
        </w:rPr>
        <w:t>3</w:t>
      </w:r>
      <w:r>
        <w:rPr>
          <w:rFonts w:hAnsi="宋体"/>
          <w:sz w:val="21"/>
        </w:rPr>
        <w:t>）对中标结果提出质疑的，为中标结果公告期限届满之日。</w:t>
      </w:r>
    </w:p>
    <w:p>
      <w:pPr>
        <w:pStyle w:val="26"/>
        <w:snapToGrid w:val="0"/>
        <w:spacing w:line="360" w:lineRule="auto"/>
        <w:ind w:firstLine="420" w:firstLineChars="200"/>
        <w:rPr>
          <w:rFonts w:hAnsi="宋体"/>
          <w:bCs/>
          <w:sz w:val="21"/>
        </w:rPr>
      </w:pPr>
      <w:r>
        <w:rPr>
          <w:rFonts w:hint="eastAsia" w:hAnsi="宋体"/>
          <w:sz w:val="21"/>
        </w:rPr>
        <w:t>供应商对采购人、采购代理机构的质疑答复不满意，或者采购人、采购代理机构未在规定时间内作出答复的，可以在答复期满后十五个工作日内向同级政府采购监管部门投诉。</w:t>
      </w:r>
    </w:p>
    <w:p>
      <w:pPr>
        <w:pStyle w:val="6"/>
        <w:keepNext w:val="0"/>
        <w:keepLines w:val="0"/>
        <w:spacing w:before="0" w:after="0" w:line="360" w:lineRule="auto"/>
        <w:ind w:firstLine="315" w:firstLineChars="150"/>
        <w:rPr>
          <w:rFonts w:ascii="宋体" w:hAnsi="宋体"/>
          <w:b w:val="0"/>
          <w:sz w:val="21"/>
          <w:szCs w:val="21"/>
        </w:rPr>
      </w:pPr>
      <w:bookmarkStart w:id="498" w:name="_9.2质疑、投诉应当采用书面形式，质疑函、投诉书均应明确阐述招标文件、"/>
      <w:bookmarkEnd w:id="498"/>
      <w:r>
        <w:rPr>
          <w:rFonts w:hint="eastAsia" w:ascii="宋体" w:hAnsi="宋体"/>
          <w:b w:val="0"/>
          <w:sz w:val="21"/>
          <w:szCs w:val="21"/>
        </w:rPr>
        <w:t xml:space="preserve"> </w:t>
      </w:r>
      <w:r>
        <w:rPr>
          <w:rFonts w:ascii="宋体" w:hAnsi="宋体"/>
          <w:b w:val="0"/>
          <w:sz w:val="21"/>
          <w:szCs w:val="21"/>
        </w:rPr>
        <w:t>38</w:t>
      </w:r>
      <w:r>
        <w:rPr>
          <w:rFonts w:hint="eastAsia" w:ascii="宋体" w:hAnsi="宋体"/>
          <w:b w:val="0"/>
          <w:sz w:val="21"/>
          <w:szCs w:val="21"/>
        </w:rPr>
        <w:t>.</w:t>
      </w:r>
      <w:r>
        <w:rPr>
          <w:rFonts w:ascii="宋体" w:hAnsi="宋体"/>
          <w:b w:val="0"/>
          <w:sz w:val="21"/>
          <w:szCs w:val="21"/>
        </w:rPr>
        <w:t>3</w:t>
      </w:r>
      <w:r>
        <w:rPr>
          <w:rFonts w:hint="eastAsia" w:ascii="宋体" w:hAnsi="宋体"/>
          <w:b w:val="0"/>
          <w:sz w:val="21"/>
          <w:szCs w:val="21"/>
        </w:rPr>
        <w:t xml:space="preserve"> </w:t>
      </w:r>
      <w:r>
        <w:rPr>
          <w:rFonts w:hAnsi="宋体"/>
          <w:b w:val="0"/>
          <w:bCs/>
          <w:sz w:val="21"/>
        </w:rPr>
        <w:t>供应商提出质疑应当提交质疑函和必要的证明材料</w:t>
      </w:r>
      <w:r>
        <w:rPr>
          <w:rFonts w:hint="eastAsia" w:hAnsi="宋体"/>
          <w:b w:val="0"/>
          <w:bCs/>
          <w:sz w:val="21"/>
        </w:rPr>
        <w:t>，</w:t>
      </w:r>
      <w:r>
        <w:rPr>
          <w:rFonts w:hAnsi="宋体"/>
          <w:b w:val="0"/>
          <w:bCs/>
          <w:sz w:val="21"/>
        </w:rPr>
        <w:t>针对同一采购程序环节的质疑</w:t>
      </w:r>
      <w:r>
        <w:rPr>
          <w:rFonts w:hint="eastAsia" w:hAnsi="宋体"/>
          <w:b w:val="0"/>
          <w:bCs/>
          <w:sz w:val="21"/>
        </w:rPr>
        <w:t>必须</w:t>
      </w:r>
      <w:r>
        <w:rPr>
          <w:rFonts w:hAnsi="宋体"/>
          <w:b w:val="0"/>
          <w:bCs/>
          <w:sz w:val="21"/>
        </w:rPr>
        <w:t>在法定质疑期内一次性提出。质疑函应当包括下列内容</w:t>
      </w:r>
      <w:r>
        <w:rPr>
          <w:rFonts w:hint="eastAsia" w:hAnsi="宋体"/>
          <w:b w:val="0"/>
          <w:bCs/>
          <w:sz w:val="21"/>
        </w:rPr>
        <w:t>（质疑函格式后附）</w:t>
      </w:r>
      <w:r>
        <w:rPr>
          <w:rFonts w:hAnsi="宋体"/>
          <w:b w:val="0"/>
          <w:bCs/>
          <w:sz w:val="21"/>
        </w:rPr>
        <w:t>：</w:t>
      </w:r>
    </w:p>
    <w:p>
      <w:pPr>
        <w:pStyle w:val="26"/>
        <w:snapToGrid w:val="0"/>
        <w:spacing w:line="360" w:lineRule="auto"/>
        <w:ind w:firstLine="420" w:firstLineChars="200"/>
        <w:rPr>
          <w:rFonts w:hAnsi="宋体"/>
          <w:bCs/>
          <w:sz w:val="21"/>
        </w:rPr>
      </w:pPr>
      <w:r>
        <w:rPr>
          <w:rFonts w:hAnsi="宋体"/>
          <w:bCs/>
          <w:sz w:val="21"/>
        </w:rPr>
        <w:t>（</w:t>
      </w:r>
      <w:r>
        <w:rPr>
          <w:rFonts w:hint="eastAsia" w:hAnsi="宋体"/>
          <w:bCs/>
          <w:sz w:val="21"/>
        </w:rPr>
        <w:t>1</w:t>
      </w:r>
      <w:r>
        <w:rPr>
          <w:rFonts w:hAnsi="宋体"/>
          <w:bCs/>
          <w:sz w:val="21"/>
        </w:rPr>
        <w:t>）供应商的姓名或者名称、地址、邮编、联系人及联系电话；</w:t>
      </w:r>
    </w:p>
    <w:p>
      <w:pPr>
        <w:pStyle w:val="26"/>
        <w:snapToGrid w:val="0"/>
        <w:spacing w:line="360" w:lineRule="auto"/>
        <w:ind w:firstLine="420" w:firstLineChars="200"/>
        <w:rPr>
          <w:rFonts w:hAnsi="宋体"/>
          <w:bCs/>
          <w:sz w:val="21"/>
        </w:rPr>
      </w:pPr>
      <w:r>
        <w:rPr>
          <w:rFonts w:hAnsi="宋体"/>
          <w:bCs/>
          <w:sz w:val="21"/>
        </w:rPr>
        <w:t>（</w:t>
      </w:r>
      <w:r>
        <w:rPr>
          <w:rFonts w:hint="eastAsia" w:hAnsi="宋体"/>
          <w:bCs/>
          <w:sz w:val="21"/>
        </w:rPr>
        <w:t>2</w:t>
      </w:r>
      <w:r>
        <w:rPr>
          <w:rFonts w:hAnsi="宋体"/>
          <w:bCs/>
          <w:sz w:val="21"/>
        </w:rPr>
        <w:t>）质疑项目的名称、编号；</w:t>
      </w:r>
    </w:p>
    <w:p>
      <w:pPr>
        <w:pStyle w:val="26"/>
        <w:snapToGrid w:val="0"/>
        <w:spacing w:line="360" w:lineRule="auto"/>
        <w:ind w:firstLine="420" w:firstLineChars="200"/>
        <w:rPr>
          <w:rFonts w:hAnsi="宋体"/>
          <w:bCs/>
          <w:sz w:val="21"/>
        </w:rPr>
      </w:pPr>
      <w:r>
        <w:rPr>
          <w:rFonts w:hAnsi="宋体"/>
          <w:bCs/>
          <w:sz w:val="21"/>
        </w:rPr>
        <w:t>（</w:t>
      </w:r>
      <w:r>
        <w:rPr>
          <w:rFonts w:hint="eastAsia" w:hAnsi="宋体"/>
          <w:bCs/>
          <w:sz w:val="21"/>
        </w:rPr>
        <w:t>3</w:t>
      </w:r>
      <w:r>
        <w:rPr>
          <w:rFonts w:hAnsi="宋体"/>
          <w:bCs/>
          <w:sz w:val="21"/>
        </w:rPr>
        <w:t>）具体、明确的质疑事项和与质疑事项相关的请求；</w:t>
      </w:r>
    </w:p>
    <w:p>
      <w:pPr>
        <w:pStyle w:val="26"/>
        <w:snapToGrid w:val="0"/>
        <w:spacing w:line="360" w:lineRule="auto"/>
        <w:ind w:firstLine="420" w:firstLineChars="200"/>
        <w:rPr>
          <w:rFonts w:hAnsi="宋体"/>
          <w:bCs/>
          <w:sz w:val="21"/>
        </w:rPr>
      </w:pPr>
      <w:r>
        <w:rPr>
          <w:rFonts w:hAnsi="宋体"/>
          <w:bCs/>
          <w:sz w:val="21"/>
        </w:rPr>
        <w:t>（</w:t>
      </w:r>
      <w:r>
        <w:rPr>
          <w:rFonts w:hint="eastAsia" w:hAnsi="宋体"/>
          <w:bCs/>
          <w:sz w:val="21"/>
        </w:rPr>
        <w:t>4</w:t>
      </w:r>
      <w:r>
        <w:rPr>
          <w:rFonts w:hAnsi="宋体"/>
          <w:bCs/>
          <w:sz w:val="21"/>
        </w:rPr>
        <w:t>）事实依据；</w:t>
      </w:r>
    </w:p>
    <w:p>
      <w:pPr>
        <w:pStyle w:val="26"/>
        <w:snapToGrid w:val="0"/>
        <w:spacing w:line="360" w:lineRule="auto"/>
        <w:ind w:firstLine="420" w:firstLineChars="200"/>
        <w:rPr>
          <w:rFonts w:hAnsi="宋体"/>
          <w:bCs/>
          <w:sz w:val="21"/>
        </w:rPr>
      </w:pPr>
      <w:r>
        <w:rPr>
          <w:rFonts w:hAnsi="宋体"/>
          <w:bCs/>
          <w:sz w:val="21"/>
        </w:rPr>
        <w:t>（</w:t>
      </w:r>
      <w:r>
        <w:rPr>
          <w:rFonts w:hint="eastAsia" w:hAnsi="宋体"/>
          <w:bCs/>
          <w:sz w:val="21"/>
        </w:rPr>
        <w:t>5</w:t>
      </w:r>
      <w:r>
        <w:rPr>
          <w:rFonts w:hAnsi="宋体"/>
          <w:bCs/>
          <w:sz w:val="21"/>
        </w:rPr>
        <w:t>）必要的法律依据；</w:t>
      </w:r>
    </w:p>
    <w:p>
      <w:pPr>
        <w:pStyle w:val="26"/>
        <w:snapToGrid w:val="0"/>
        <w:spacing w:line="360" w:lineRule="auto"/>
        <w:ind w:firstLine="420" w:firstLineChars="200"/>
        <w:rPr>
          <w:rFonts w:hAnsi="宋体"/>
          <w:bCs/>
          <w:sz w:val="21"/>
        </w:rPr>
      </w:pPr>
      <w:r>
        <w:rPr>
          <w:rFonts w:hAnsi="宋体"/>
          <w:bCs/>
          <w:sz w:val="21"/>
        </w:rPr>
        <w:t>（</w:t>
      </w:r>
      <w:r>
        <w:rPr>
          <w:rFonts w:hint="eastAsia" w:hAnsi="宋体"/>
          <w:bCs/>
          <w:sz w:val="21"/>
        </w:rPr>
        <w:t>6</w:t>
      </w:r>
      <w:r>
        <w:rPr>
          <w:rFonts w:hAnsi="宋体"/>
          <w:bCs/>
          <w:sz w:val="21"/>
        </w:rPr>
        <w:t>）提出质疑的日期。</w:t>
      </w:r>
    </w:p>
    <w:p>
      <w:pPr>
        <w:pStyle w:val="26"/>
        <w:snapToGrid w:val="0"/>
        <w:spacing w:line="360" w:lineRule="auto"/>
        <w:ind w:firstLine="420" w:firstLineChars="200"/>
        <w:rPr>
          <w:rFonts w:hAnsi="宋体"/>
          <w:bCs/>
          <w:sz w:val="21"/>
        </w:rPr>
      </w:pPr>
      <w:r>
        <w:rPr>
          <w:rFonts w:hAnsi="宋体"/>
          <w:bCs/>
          <w:sz w:val="21"/>
        </w:rPr>
        <w:t>供应商为自然人的，应当由本人签字；供应商为法人或者其他组织的，应当由法定代表人、主要负责人，或者其委托代理人签字或者盖章，并加盖公章</w:t>
      </w:r>
      <w:r>
        <w:rPr>
          <w:rFonts w:hint="eastAsia" w:hAnsi="宋体"/>
          <w:bCs/>
          <w:sz w:val="21"/>
        </w:rPr>
        <w:t>。</w:t>
      </w:r>
    </w:p>
    <w:p>
      <w:pPr>
        <w:pStyle w:val="6"/>
        <w:keepNext w:val="0"/>
        <w:keepLines w:val="0"/>
        <w:snapToGrid w:val="0"/>
        <w:spacing w:before="0" w:after="0" w:line="360" w:lineRule="auto"/>
        <w:ind w:firstLine="420" w:firstLineChars="200"/>
        <w:rPr>
          <w:rFonts w:ascii="宋体" w:hAnsi="宋体"/>
          <w:b w:val="0"/>
          <w:bCs/>
          <w:sz w:val="21"/>
          <w:szCs w:val="21"/>
        </w:rPr>
      </w:pPr>
      <w:r>
        <w:rPr>
          <w:rFonts w:ascii="宋体" w:hAnsi="宋体"/>
          <w:b w:val="0"/>
          <w:sz w:val="21"/>
          <w:szCs w:val="21"/>
        </w:rPr>
        <w:t>3</w:t>
      </w:r>
      <w:r>
        <w:rPr>
          <w:rFonts w:ascii="宋体" w:hAnsi="宋体"/>
          <w:b w:val="0"/>
          <w:bCs/>
          <w:sz w:val="21"/>
          <w:szCs w:val="21"/>
        </w:rPr>
        <w:t>8.4</w:t>
      </w:r>
      <w:r>
        <w:rPr>
          <w:rFonts w:hint="eastAsia" w:ascii="宋体" w:hAnsi="宋体"/>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pPr>
        <w:pStyle w:val="26"/>
        <w:snapToGrid w:val="0"/>
        <w:spacing w:line="360" w:lineRule="auto"/>
        <w:rPr>
          <w:rFonts w:hAnsi="宋体"/>
          <w:bCs/>
          <w:sz w:val="21"/>
        </w:rPr>
      </w:pPr>
      <w:r>
        <w:rPr>
          <w:rFonts w:hint="eastAsia" w:hAnsi="宋体"/>
          <w:bCs/>
          <w:sz w:val="21"/>
        </w:rPr>
        <w:t>　　（一）对招标文件提出的质疑，依法通过澄清或者修改可以继续开展采购活动的，澄清或者修改招标文件后继续开展采购活动；否则应当修改招标文件后重新开展采购活动。</w:t>
      </w:r>
    </w:p>
    <w:p>
      <w:pPr>
        <w:pStyle w:val="26"/>
        <w:snapToGrid w:val="0"/>
        <w:spacing w:line="360" w:lineRule="auto"/>
        <w:rPr>
          <w:rFonts w:hAnsi="宋体"/>
          <w:bCs/>
          <w:sz w:val="21"/>
        </w:rPr>
      </w:pPr>
      <w:r>
        <w:rPr>
          <w:rFonts w:hint="eastAsia" w:hAnsi="宋体"/>
          <w:bCs/>
          <w:sz w:val="21"/>
        </w:rPr>
        <w:t>　　（二）对采购过程、中标结果提出的质疑，合格供应商符合法定数量时，可以从合格的中标候选人中另行确定中标供应商的，应当依法另行确定中标供应商；否则应当重新开展采购活动。</w:t>
      </w:r>
    </w:p>
    <w:p>
      <w:pPr>
        <w:pStyle w:val="26"/>
        <w:snapToGrid w:val="0"/>
        <w:spacing w:line="360" w:lineRule="auto"/>
        <w:ind w:firstLine="420"/>
        <w:rPr>
          <w:rFonts w:hAnsi="宋体"/>
          <w:bCs/>
          <w:sz w:val="21"/>
        </w:rPr>
      </w:pPr>
      <w:r>
        <w:rPr>
          <w:rFonts w:hint="eastAsia" w:hAnsi="宋体"/>
          <w:bCs/>
          <w:sz w:val="21"/>
        </w:rPr>
        <w:t>质疑答复导致中标结果改变的，采购人或者采购代理机构应当将有关情况书面报告本级财政部门。</w:t>
      </w:r>
    </w:p>
    <w:p>
      <w:pPr>
        <w:pStyle w:val="26"/>
        <w:snapToGrid w:val="0"/>
        <w:spacing w:line="360" w:lineRule="auto"/>
        <w:ind w:firstLine="420" w:firstLineChars="200"/>
        <w:rPr>
          <w:rFonts w:hAnsi="宋体"/>
          <w:sz w:val="21"/>
        </w:rPr>
      </w:pPr>
      <w:r>
        <w:rPr>
          <w:rFonts w:hAnsi="宋体"/>
          <w:sz w:val="21"/>
        </w:rPr>
        <w:t>38</w:t>
      </w:r>
      <w:r>
        <w:rPr>
          <w:rFonts w:hint="eastAsia" w:hAnsi="宋体"/>
          <w:sz w:val="21"/>
        </w:rPr>
        <w:t>.</w:t>
      </w:r>
      <w:r>
        <w:rPr>
          <w:rFonts w:hAnsi="宋体"/>
          <w:sz w:val="21"/>
        </w:rPr>
        <w:t>5</w:t>
      </w:r>
      <w:r>
        <w:rPr>
          <w:rFonts w:hint="eastAsia" w:hAnsi="宋体"/>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pStyle w:val="4"/>
        <w:keepNext w:val="0"/>
        <w:keepLines w:val="0"/>
        <w:spacing w:before="240" w:after="240" w:line="415" w:lineRule="auto"/>
        <w:jc w:val="center"/>
      </w:pPr>
      <w:bookmarkStart w:id="499" w:name="_八、其他事项"/>
      <w:bookmarkEnd w:id="499"/>
      <w:r>
        <w:rPr>
          <w:rFonts w:hint="eastAsia"/>
        </w:rPr>
        <w:t>八、其他事项</w:t>
      </w:r>
    </w:p>
    <w:p>
      <w:pPr>
        <w:pStyle w:val="6"/>
        <w:keepNext w:val="0"/>
        <w:keepLines w:val="0"/>
        <w:spacing w:before="0" w:after="0" w:line="360" w:lineRule="auto"/>
        <w:ind w:left="420" w:leftChars="200"/>
        <w:rPr>
          <w:rFonts w:ascii="黑体" w:hAnsi="黑体" w:eastAsia="黑体"/>
          <w:sz w:val="24"/>
        </w:rPr>
      </w:pPr>
      <w:bookmarkStart w:id="500" w:name="_42.代理服务费"/>
      <w:bookmarkEnd w:id="500"/>
      <w:r>
        <w:rPr>
          <w:rFonts w:hint="eastAsia" w:ascii="黑体" w:hAnsi="黑体" w:eastAsia="黑体"/>
          <w:sz w:val="24"/>
        </w:rPr>
        <w:t>3</w:t>
      </w:r>
      <w:r>
        <w:rPr>
          <w:rFonts w:ascii="黑体" w:hAnsi="黑体" w:eastAsia="黑体"/>
          <w:sz w:val="24"/>
        </w:rPr>
        <w:t>9</w:t>
      </w:r>
      <w:r>
        <w:rPr>
          <w:rFonts w:hint="eastAsia" w:ascii="黑体" w:hAnsi="黑体" w:eastAsia="黑体"/>
          <w:sz w:val="24"/>
        </w:rPr>
        <w:t>.代理服务费</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3</w:t>
      </w:r>
      <w:r>
        <w:rPr>
          <w:rFonts w:ascii="宋体" w:hAnsi="宋体"/>
          <w:b w:val="0"/>
          <w:sz w:val="21"/>
          <w:szCs w:val="21"/>
        </w:rPr>
        <w:t>9</w:t>
      </w:r>
      <w:r>
        <w:rPr>
          <w:rFonts w:hint="eastAsia" w:ascii="宋体" w:hAnsi="宋体"/>
          <w:b w:val="0"/>
          <w:sz w:val="21"/>
          <w:szCs w:val="21"/>
        </w:rPr>
        <w:t>.1代理服务收费标准及缴费账户详见“投标人须知前附表”，投标人为联合体的，可以由联合体中的一方或者多方共同交纳代理服务费。</w:t>
      </w:r>
    </w:p>
    <w:p>
      <w:pPr>
        <w:pStyle w:val="6"/>
        <w:keepNext w:val="0"/>
        <w:keepLines w:val="0"/>
        <w:spacing w:before="0" w:after="0" w:line="360" w:lineRule="auto"/>
        <w:ind w:left="420" w:leftChars="200"/>
        <w:rPr>
          <w:rFonts w:ascii="宋体" w:hAnsi="宋体"/>
          <w:b w:val="0"/>
          <w:sz w:val="21"/>
          <w:szCs w:val="21"/>
        </w:rPr>
      </w:pPr>
      <w:r>
        <w:rPr>
          <w:rFonts w:hint="eastAsia" w:ascii="宋体" w:hAnsi="宋体"/>
          <w:b w:val="0"/>
          <w:sz w:val="21"/>
          <w:szCs w:val="21"/>
        </w:rPr>
        <w:t>3</w:t>
      </w:r>
      <w:r>
        <w:rPr>
          <w:rFonts w:ascii="宋体" w:hAnsi="宋体"/>
          <w:b w:val="0"/>
          <w:sz w:val="21"/>
          <w:szCs w:val="21"/>
        </w:rPr>
        <w:t>9</w:t>
      </w:r>
      <w:r>
        <w:rPr>
          <w:rFonts w:hint="eastAsia" w:ascii="宋体" w:hAnsi="宋体"/>
          <w:b w:val="0"/>
          <w:sz w:val="21"/>
          <w:szCs w:val="21"/>
        </w:rPr>
        <w:t>.2代理服务收费标准：</w:t>
      </w:r>
    </w:p>
    <w:p>
      <w:pPr>
        <w:spacing w:line="360" w:lineRule="auto"/>
        <w:rPr>
          <w:rFonts w:ascii="宋体" w:hAnsi="宋体"/>
          <w:szCs w:val="21"/>
        </w:rPr>
      </w:pPr>
    </w:p>
    <w:tbl>
      <w:tblPr>
        <w:tblStyle w:val="48"/>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pPr>
              <w:spacing w:line="360" w:lineRule="auto"/>
              <w:rPr>
                <w:rFonts w:ascii="宋体" w:hAnsi="宋体"/>
                <w:szCs w:val="21"/>
              </w:rPr>
            </w:pPr>
            <w:r>
              <w:rPr>
                <w:rFonts w:hint="eastAsia" w:ascii="宋体" w:hAnsi="宋体"/>
                <w:szCs w:val="21"/>
              </w:rPr>
              <w:t xml:space="preserve">               费率</w:t>
            </w:r>
          </w:p>
          <w:p>
            <w:pPr>
              <w:spacing w:line="360" w:lineRule="auto"/>
              <w:rPr>
                <w:rFonts w:ascii="宋体" w:hAnsi="宋体"/>
                <w:szCs w:val="21"/>
              </w:rPr>
            </w:pPr>
            <w:r>
              <w:rPr>
                <w:rFonts w:hint="eastAsia" w:ascii="宋体" w:hAnsi="宋体"/>
                <w:szCs w:val="21"/>
              </w:rPr>
              <w:t>中标金额</w:t>
            </w:r>
          </w:p>
        </w:tc>
        <w:tc>
          <w:tcPr>
            <w:tcW w:w="1659" w:type="dxa"/>
            <w:vAlign w:val="center"/>
          </w:tcPr>
          <w:p>
            <w:pPr>
              <w:spacing w:line="360" w:lineRule="auto"/>
              <w:ind w:firstLine="105" w:firstLineChars="50"/>
              <w:jc w:val="center"/>
              <w:rPr>
                <w:rFonts w:ascii="宋体" w:hAnsi="宋体"/>
                <w:szCs w:val="21"/>
              </w:rPr>
            </w:pPr>
            <w:r>
              <w:rPr>
                <w:rFonts w:hint="eastAsia" w:ascii="宋体" w:hAnsi="宋体"/>
                <w:szCs w:val="21"/>
              </w:rPr>
              <w:t>货物招标</w:t>
            </w:r>
          </w:p>
        </w:tc>
        <w:tc>
          <w:tcPr>
            <w:tcW w:w="1687" w:type="dxa"/>
            <w:vAlign w:val="center"/>
          </w:tcPr>
          <w:p>
            <w:pPr>
              <w:spacing w:line="360" w:lineRule="auto"/>
              <w:jc w:val="center"/>
              <w:rPr>
                <w:rFonts w:ascii="宋体" w:hAnsi="宋体"/>
                <w:szCs w:val="21"/>
              </w:rPr>
            </w:pPr>
            <w:r>
              <w:rPr>
                <w:rFonts w:hint="eastAsia" w:ascii="宋体" w:hAnsi="宋体"/>
                <w:szCs w:val="21"/>
              </w:rPr>
              <w:t>服务招标</w:t>
            </w:r>
          </w:p>
        </w:tc>
        <w:tc>
          <w:tcPr>
            <w:tcW w:w="1659" w:type="dxa"/>
            <w:vAlign w:val="center"/>
          </w:tcPr>
          <w:p>
            <w:pPr>
              <w:spacing w:line="360" w:lineRule="auto"/>
              <w:jc w:val="center"/>
              <w:rPr>
                <w:rFonts w:ascii="宋体" w:hAnsi="宋体"/>
                <w:szCs w:val="21"/>
              </w:rPr>
            </w:pPr>
            <w:r>
              <w:rPr>
                <w:rFonts w:hint="eastAsia" w:ascii="宋体" w:hAnsi="宋体"/>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100万元以下</w:t>
            </w:r>
          </w:p>
        </w:tc>
        <w:tc>
          <w:tcPr>
            <w:tcW w:w="1659" w:type="dxa"/>
          </w:tcPr>
          <w:p>
            <w:pPr>
              <w:spacing w:line="360" w:lineRule="auto"/>
              <w:rPr>
                <w:rFonts w:ascii="宋体" w:hAnsi="宋体"/>
                <w:szCs w:val="21"/>
              </w:rPr>
            </w:pPr>
            <w:r>
              <w:rPr>
                <w:rFonts w:hint="eastAsia" w:ascii="宋体" w:hAnsi="宋体" w:cs="宋体"/>
                <w:kern w:val="0"/>
                <w:szCs w:val="21"/>
              </w:rPr>
              <w:t xml:space="preserve">  </w:t>
            </w:r>
            <w:r>
              <w:rPr>
                <w:rFonts w:ascii="宋体" w:hAnsi="宋体" w:cs="宋体"/>
                <w:kern w:val="0"/>
                <w:szCs w:val="21"/>
              </w:rPr>
              <w:t xml:space="preserve">1.5% </w:t>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t xml:space="preserve">    </w:t>
            </w:r>
          </w:p>
        </w:tc>
        <w:tc>
          <w:tcPr>
            <w:tcW w:w="1687" w:type="dxa"/>
          </w:tcPr>
          <w:p>
            <w:pPr>
              <w:spacing w:line="360" w:lineRule="auto"/>
              <w:ind w:firstLine="210" w:firstLineChars="100"/>
              <w:rPr>
                <w:rFonts w:ascii="宋体" w:hAnsi="宋体"/>
                <w:szCs w:val="21"/>
              </w:rPr>
            </w:pPr>
            <w:r>
              <w:rPr>
                <w:rFonts w:ascii="宋体" w:hAnsi="宋体" w:cs="宋体"/>
                <w:kern w:val="0"/>
                <w:szCs w:val="21"/>
              </w:rPr>
              <w:t>1.5%</w:t>
            </w:r>
          </w:p>
        </w:tc>
        <w:tc>
          <w:tcPr>
            <w:tcW w:w="1659" w:type="dxa"/>
          </w:tcPr>
          <w:p>
            <w:pPr>
              <w:spacing w:line="360" w:lineRule="auto"/>
              <w:ind w:firstLine="210" w:firstLineChars="100"/>
              <w:rPr>
                <w:rFonts w:ascii="宋体" w:hAnsi="宋体"/>
                <w:szCs w:val="21"/>
              </w:rPr>
            </w:pPr>
            <w:r>
              <w:rPr>
                <w:rFonts w:ascii="宋体" w:hAnsi="宋体" w:cs="宋体"/>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100～500万元</w:t>
            </w:r>
          </w:p>
        </w:tc>
        <w:tc>
          <w:tcPr>
            <w:tcW w:w="1659" w:type="dxa"/>
          </w:tcPr>
          <w:p>
            <w:pPr>
              <w:spacing w:line="360" w:lineRule="auto"/>
              <w:ind w:firstLine="210" w:firstLineChars="100"/>
              <w:rPr>
                <w:rFonts w:ascii="宋体" w:hAnsi="宋体"/>
                <w:szCs w:val="21"/>
              </w:rPr>
            </w:pPr>
            <w:r>
              <w:rPr>
                <w:rFonts w:ascii="宋体" w:hAnsi="宋体" w:cs="宋体"/>
                <w:kern w:val="0"/>
                <w:szCs w:val="21"/>
              </w:rPr>
              <w:t xml:space="preserve">1.1% </w:t>
            </w:r>
            <w:r>
              <w:rPr>
                <w:rFonts w:hint="eastAsia" w:ascii="宋体" w:hAnsi="宋体" w:cs="宋体"/>
                <w:kern w:val="0"/>
                <w:szCs w:val="21"/>
              </w:rPr>
              <w:t xml:space="preserve">                </w:t>
            </w:r>
          </w:p>
        </w:tc>
        <w:tc>
          <w:tcPr>
            <w:tcW w:w="1687" w:type="dxa"/>
          </w:tcPr>
          <w:p>
            <w:pPr>
              <w:spacing w:line="360" w:lineRule="auto"/>
              <w:ind w:firstLine="210" w:firstLineChars="100"/>
              <w:rPr>
                <w:rFonts w:ascii="宋体" w:hAnsi="宋体"/>
                <w:szCs w:val="21"/>
              </w:rPr>
            </w:pPr>
            <w:r>
              <w:rPr>
                <w:rFonts w:ascii="宋体" w:hAnsi="宋体" w:cs="宋体"/>
                <w:kern w:val="0"/>
                <w:szCs w:val="21"/>
              </w:rPr>
              <w:t>0.8%</w:t>
            </w:r>
          </w:p>
        </w:tc>
        <w:tc>
          <w:tcPr>
            <w:tcW w:w="1659" w:type="dxa"/>
          </w:tcPr>
          <w:p>
            <w:pPr>
              <w:spacing w:line="360" w:lineRule="auto"/>
              <w:ind w:firstLine="210" w:firstLineChars="100"/>
              <w:rPr>
                <w:rFonts w:ascii="宋体" w:hAnsi="宋体"/>
                <w:szCs w:val="21"/>
              </w:rPr>
            </w:pPr>
            <w:r>
              <w:rPr>
                <w:rFonts w:ascii="宋体" w:hAnsi="宋体" w:cs="宋体"/>
                <w:kern w:val="0"/>
                <w:szCs w:val="21"/>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500～1000万元</w:t>
            </w:r>
          </w:p>
        </w:tc>
        <w:tc>
          <w:tcPr>
            <w:tcW w:w="1659" w:type="dxa"/>
          </w:tcPr>
          <w:p>
            <w:pPr>
              <w:spacing w:line="360" w:lineRule="auto"/>
              <w:rPr>
                <w:rFonts w:ascii="宋体" w:hAnsi="宋体"/>
                <w:szCs w:val="21"/>
              </w:rPr>
            </w:pPr>
            <w:r>
              <w:rPr>
                <w:rFonts w:hint="eastAsia" w:ascii="宋体" w:hAnsi="宋体" w:cs="宋体"/>
                <w:kern w:val="0"/>
                <w:szCs w:val="21"/>
              </w:rPr>
              <w:t xml:space="preserve">  </w:t>
            </w:r>
            <w:r>
              <w:rPr>
                <w:rFonts w:ascii="宋体" w:hAnsi="宋体" w:cs="宋体"/>
                <w:kern w:val="0"/>
                <w:szCs w:val="21"/>
              </w:rPr>
              <w:t xml:space="preserve">0.8% </w:t>
            </w:r>
            <w:r>
              <w:rPr>
                <w:rFonts w:hint="eastAsia" w:ascii="宋体" w:hAnsi="宋体" w:cs="宋体"/>
                <w:kern w:val="0"/>
                <w:szCs w:val="21"/>
              </w:rPr>
              <w:t xml:space="preserve">               </w:t>
            </w:r>
          </w:p>
        </w:tc>
        <w:tc>
          <w:tcPr>
            <w:tcW w:w="1687" w:type="dxa"/>
          </w:tcPr>
          <w:p>
            <w:pPr>
              <w:spacing w:line="360" w:lineRule="auto"/>
              <w:ind w:firstLine="210" w:firstLineChars="100"/>
              <w:rPr>
                <w:rFonts w:ascii="宋体" w:hAnsi="宋体"/>
                <w:szCs w:val="21"/>
              </w:rPr>
            </w:pPr>
            <w:r>
              <w:rPr>
                <w:rFonts w:ascii="宋体" w:hAnsi="宋体" w:cs="宋体"/>
                <w:kern w:val="0"/>
                <w:szCs w:val="21"/>
              </w:rPr>
              <w:t>0.45%</w:t>
            </w:r>
          </w:p>
        </w:tc>
        <w:tc>
          <w:tcPr>
            <w:tcW w:w="1659" w:type="dxa"/>
          </w:tcPr>
          <w:p>
            <w:pPr>
              <w:spacing w:line="360" w:lineRule="auto"/>
              <w:ind w:firstLine="210" w:firstLineChars="100"/>
              <w:rPr>
                <w:rFonts w:ascii="宋体" w:hAnsi="宋体"/>
                <w:szCs w:val="21"/>
              </w:rPr>
            </w:pPr>
            <w:r>
              <w:rPr>
                <w:rFonts w:ascii="宋体" w:hAnsi="宋体" w:cs="宋体"/>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1000～5000万元</w:t>
            </w:r>
          </w:p>
        </w:tc>
        <w:tc>
          <w:tcPr>
            <w:tcW w:w="1659" w:type="dxa"/>
          </w:tcPr>
          <w:p>
            <w:pPr>
              <w:spacing w:line="360" w:lineRule="auto"/>
              <w:ind w:firstLine="210" w:firstLineChars="100"/>
              <w:rPr>
                <w:rFonts w:ascii="宋体" w:hAnsi="宋体"/>
                <w:szCs w:val="21"/>
              </w:rPr>
            </w:pPr>
            <w:r>
              <w:rPr>
                <w:rFonts w:ascii="宋体" w:hAnsi="宋体" w:cs="宋体"/>
                <w:kern w:val="0"/>
                <w:szCs w:val="21"/>
              </w:rPr>
              <w:t xml:space="preserve">0.5% </w:t>
            </w:r>
            <w:r>
              <w:rPr>
                <w:rFonts w:hint="eastAsia" w:ascii="宋体" w:hAnsi="宋体" w:cs="宋体"/>
                <w:kern w:val="0"/>
                <w:szCs w:val="21"/>
              </w:rPr>
              <w:t xml:space="preserve">               </w:t>
            </w:r>
          </w:p>
        </w:tc>
        <w:tc>
          <w:tcPr>
            <w:tcW w:w="1687" w:type="dxa"/>
          </w:tcPr>
          <w:p>
            <w:pPr>
              <w:spacing w:line="360" w:lineRule="auto"/>
              <w:ind w:firstLine="210" w:firstLineChars="100"/>
              <w:rPr>
                <w:rFonts w:ascii="宋体" w:hAnsi="宋体"/>
                <w:szCs w:val="21"/>
              </w:rPr>
            </w:pPr>
            <w:r>
              <w:rPr>
                <w:rFonts w:ascii="宋体" w:hAnsi="宋体" w:cs="宋体"/>
                <w:kern w:val="0"/>
                <w:szCs w:val="21"/>
              </w:rPr>
              <w:t>0.25%</w:t>
            </w:r>
          </w:p>
        </w:tc>
        <w:tc>
          <w:tcPr>
            <w:tcW w:w="1659" w:type="dxa"/>
          </w:tcPr>
          <w:p>
            <w:pPr>
              <w:spacing w:line="360" w:lineRule="auto"/>
              <w:ind w:firstLine="210" w:firstLineChars="100"/>
              <w:rPr>
                <w:rFonts w:ascii="宋体" w:hAnsi="宋体"/>
                <w:szCs w:val="21"/>
              </w:rPr>
            </w:pPr>
            <w:r>
              <w:rPr>
                <w:rFonts w:ascii="宋体" w:hAnsi="宋体" w:cs="宋体"/>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5000万元～1亿元</w:t>
            </w:r>
          </w:p>
        </w:tc>
        <w:tc>
          <w:tcPr>
            <w:tcW w:w="1659" w:type="dxa"/>
          </w:tcPr>
          <w:p>
            <w:pPr>
              <w:spacing w:line="360" w:lineRule="auto"/>
              <w:ind w:firstLine="210" w:firstLineChars="100"/>
              <w:rPr>
                <w:rFonts w:ascii="宋体" w:hAnsi="宋体"/>
                <w:szCs w:val="21"/>
              </w:rPr>
            </w:pPr>
            <w:r>
              <w:rPr>
                <w:rFonts w:ascii="宋体" w:hAnsi="宋体" w:cs="宋体"/>
                <w:kern w:val="0"/>
                <w:szCs w:val="21"/>
              </w:rPr>
              <w:t xml:space="preserve">0.25% </w:t>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t xml:space="preserve">         </w:t>
            </w:r>
          </w:p>
        </w:tc>
        <w:tc>
          <w:tcPr>
            <w:tcW w:w="1687" w:type="dxa"/>
          </w:tcPr>
          <w:p>
            <w:pPr>
              <w:spacing w:line="360" w:lineRule="auto"/>
              <w:ind w:firstLine="210" w:firstLineChars="100"/>
              <w:rPr>
                <w:rFonts w:ascii="宋体" w:hAnsi="宋体"/>
                <w:szCs w:val="21"/>
              </w:rPr>
            </w:pPr>
            <w:r>
              <w:rPr>
                <w:rFonts w:ascii="宋体" w:hAnsi="宋体" w:cs="宋体"/>
                <w:kern w:val="0"/>
                <w:szCs w:val="21"/>
              </w:rPr>
              <w:t>0.1%</w:t>
            </w:r>
          </w:p>
        </w:tc>
        <w:tc>
          <w:tcPr>
            <w:tcW w:w="1659" w:type="dxa"/>
          </w:tcPr>
          <w:p>
            <w:pPr>
              <w:spacing w:line="360" w:lineRule="auto"/>
              <w:ind w:firstLine="210" w:firstLineChars="100"/>
              <w:rPr>
                <w:rFonts w:ascii="宋体" w:hAnsi="宋体"/>
                <w:szCs w:val="21"/>
              </w:rPr>
            </w:pPr>
            <w:r>
              <w:rPr>
                <w:rFonts w:ascii="宋体" w:hAnsi="宋体"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1～5亿元</w:t>
            </w:r>
          </w:p>
        </w:tc>
        <w:tc>
          <w:tcPr>
            <w:tcW w:w="1659" w:type="dxa"/>
          </w:tcPr>
          <w:p>
            <w:pPr>
              <w:spacing w:line="360" w:lineRule="auto"/>
              <w:ind w:firstLine="210" w:firstLineChars="100"/>
              <w:rPr>
                <w:rFonts w:ascii="宋体" w:hAnsi="宋体"/>
                <w:szCs w:val="21"/>
              </w:rPr>
            </w:pPr>
            <w:r>
              <w:rPr>
                <w:rFonts w:hint="eastAsia" w:ascii="宋体" w:hAnsi="宋体"/>
                <w:szCs w:val="21"/>
              </w:rPr>
              <w:t>0.05%</w:t>
            </w:r>
          </w:p>
        </w:tc>
        <w:tc>
          <w:tcPr>
            <w:tcW w:w="1687" w:type="dxa"/>
          </w:tcPr>
          <w:p>
            <w:pPr>
              <w:spacing w:line="360" w:lineRule="auto"/>
              <w:rPr>
                <w:rFonts w:ascii="宋体" w:hAnsi="宋体"/>
                <w:szCs w:val="21"/>
              </w:rPr>
            </w:pPr>
            <w:r>
              <w:rPr>
                <w:rFonts w:hint="eastAsia" w:ascii="宋体" w:hAnsi="宋体"/>
                <w:szCs w:val="21"/>
              </w:rPr>
              <w:t xml:space="preserve">  0.05%</w:t>
            </w:r>
          </w:p>
        </w:tc>
        <w:tc>
          <w:tcPr>
            <w:tcW w:w="1659" w:type="dxa"/>
          </w:tcPr>
          <w:p>
            <w:pPr>
              <w:spacing w:line="360" w:lineRule="auto"/>
              <w:rPr>
                <w:rFonts w:ascii="宋体" w:hAnsi="宋体"/>
                <w:szCs w:val="21"/>
              </w:rPr>
            </w:pPr>
            <w:r>
              <w:rPr>
                <w:rFonts w:hint="eastAsia" w:ascii="宋体" w:hAnsi="宋体"/>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5～10亿元</w:t>
            </w:r>
          </w:p>
        </w:tc>
        <w:tc>
          <w:tcPr>
            <w:tcW w:w="1659" w:type="dxa"/>
          </w:tcPr>
          <w:p>
            <w:pPr>
              <w:spacing w:line="360" w:lineRule="auto"/>
              <w:ind w:firstLine="105" w:firstLineChars="50"/>
              <w:rPr>
                <w:rFonts w:ascii="宋体" w:hAnsi="宋体"/>
                <w:szCs w:val="21"/>
              </w:rPr>
            </w:pPr>
            <w:r>
              <w:rPr>
                <w:rFonts w:hint="eastAsia" w:ascii="宋体" w:hAnsi="宋体"/>
                <w:szCs w:val="21"/>
              </w:rPr>
              <w:t>0.035%</w:t>
            </w:r>
          </w:p>
        </w:tc>
        <w:tc>
          <w:tcPr>
            <w:tcW w:w="1687" w:type="dxa"/>
          </w:tcPr>
          <w:p>
            <w:pPr>
              <w:spacing w:line="360" w:lineRule="auto"/>
              <w:rPr>
                <w:rFonts w:ascii="宋体" w:hAnsi="宋体"/>
                <w:szCs w:val="21"/>
              </w:rPr>
            </w:pPr>
            <w:r>
              <w:rPr>
                <w:rFonts w:hint="eastAsia" w:ascii="宋体" w:hAnsi="宋体"/>
                <w:szCs w:val="21"/>
              </w:rPr>
              <w:t xml:space="preserve">  0.035%</w:t>
            </w:r>
          </w:p>
        </w:tc>
        <w:tc>
          <w:tcPr>
            <w:tcW w:w="1659" w:type="dxa"/>
          </w:tcPr>
          <w:p>
            <w:pPr>
              <w:spacing w:line="360" w:lineRule="auto"/>
              <w:ind w:firstLine="105" w:firstLineChars="50"/>
              <w:rPr>
                <w:rFonts w:ascii="宋体" w:hAnsi="宋体"/>
                <w:szCs w:val="21"/>
              </w:rPr>
            </w:pPr>
            <w:r>
              <w:rPr>
                <w:rFonts w:hint="eastAsia" w:ascii="宋体" w:hAnsi="宋体"/>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10～50亿元</w:t>
            </w:r>
          </w:p>
        </w:tc>
        <w:tc>
          <w:tcPr>
            <w:tcW w:w="1659" w:type="dxa"/>
          </w:tcPr>
          <w:p>
            <w:pPr>
              <w:spacing w:line="360" w:lineRule="auto"/>
              <w:ind w:firstLine="105" w:firstLineChars="50"/>
              <w:rPr>
                <w:rFonts w:ascii="宋体" w:hAnsi="宋体"/>
                <w:szCs w:val="21"/>
              </w:rPr>
            </w:pPr>
            <w:r>
              <w:rPr>
                <w:rFonts w:hint="eastAsia" w:ascii="宋体" w:hAnsi="宋体"/>
                <w:szCs w:val="21"/>
              </w:rPr>
              <w:t>0.008%</w:t>
            </w:r>
          </w:p>
        </w:tc>
        <w:tc>
          <w:tcPr>
            <w:tcW w:w="1687" w:type="dxa"/>
          </w:tcPr>
          <w:p>
            <w:pPr>
              <w:spacing w:line="360" w:lineRule="auto"/>
              <w:ind w:firstLine="210" w:firstLineChars="100"/>
              <w:rPr>
                <w:rFonts w:ascii="宋体" w:hAnsi="宋体"/>
                <w:szCs w:val="21"/>
              </w:rPr>
            </w:pPr>
            <w:r>
              <w:rPr>
                <w:rFonts w:hint="eastAsia" w:ascii="宋体" w:hAnsi="宋体"/>
                <w:szCs w:val="21"/>
              </w:rPr>
              <w:t>0.008%</w:t>
            </w:r>
          </w:p>
        </w:tc>
        <w:tc>
          <w:tcPr>
            <w:tcW w:w="1659" w:type="dxa"/>
          </w:tcPr>
          <w:p>
            <w:pPr>
              <w:spacing w:line="360" w:lineRule="auto"/>
              <w:ind w:firstLine="105" w:firstLineChars="50"/>
              <w:rPr>
                <w:rFonts w:ascii="宋体" w:hAnsi="宋体"/>
                <w:szCs w:val="21"/>
              </w:rPr>
            </w:pPr>
            <w:r>
              <w:rPr>
                <w:rFonts w:hint="eastAsia" w:ascii="宋体" w:hAnsi="宋体"/>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50～100亿元</w:t>
            </w:r>
          </w:p>
        </w:tc>
        <w:tc>
          <w:tcPr>
            <w:tcW w:w="1659" w:type="dxa"/>
          </w:tcPr>
          <w:p>
            <w:pPr>
              <w:spacing w:line="360" w:lineRule="auto"/>
              <w:rPr>
                <w:rFonts w:ascii="宋体" w:hAnsi="宋体"/>
                <w:szCs w:val="21"/>
              </w:rPr>
            </w:pPr>
            <w:r>
              <w:rPr>
                <w:rFonts w:hint="eastAsia" w:ascii="宋体" w:hAnsi="宋体"/>
                <w:szCs w:val="21"/>
              </w:rPr>
              <w:t xml:space="preserve"> 0.006%</w:t>
            </w:r>
          </w:p>
        </w:tc>
        <w:tc>
          <w:tcPr>
            <w:tcW w:w="1687" w:type="dxa"/>
          </w:tcPr>
          <w:p>
            <w:pPr>
              <w:spacing w:line="360" w:lineRule="auto"/>
              <w:ind w:firstLine="210" w:firstLineChars="100"/>
              <w:rPr>
                <w:rFonts w:ascii="宋体" w:hAnsi="宋体"/>
                <w:szCs w:val="21"/>
              </w:rPr>
            </w:pPr>
            <w:r>
              <w:rPr>
                <w:rFonts w:hint="eastAsia" w:ascii="宋体" w:hAnsi="宋体"/>
                <w:szCs w:val="21"/>
              </w:rPr>
              <w:t>0.006%</w:t>
            </w:r>
          </w:p>
        </w:tc>
        <w:tc>
          <w:tcPr>
            <w:tcW w:w="1659" w:type="dxa"/>
          </w:tcPr>
          <w:p>
            <w:pPr>
              <w:spacing w:line="360" w:lineRule="auto"/>
              <w:ind w:firstLine="105" w:firstLineChars="50"/>
              <w:rPr>
                <w:rFonts w:ascii="宋体" w:hAnsi="宋体"/>
                <w:szCs w:val="21"/>
              </w:rPr>
            </w:pPr>
            <w:r>
              <w:rPr>
                <w:rFonts w:hint="eastAsia" w:ascii="宋体" w:hAnsi="宋体"/>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ascii="宋体" w:hAnsi="宋体"/>
                <w:szCs w:val="21"/>
              </w:rPr>
            </w:pPr>
            <w:r>
              <w:rPr>
                <w:rFonts w:hint="eastAsia" w:ascii="宋体" w:hAnsi="宋体"/>
                <w:szCs w:val="21"/>
              </w:rPr>
              <w:t>100亿以上</w:t>
            </w:r>
          </w:p>
        </w:tc>
        <w:tc>
          <w:tcPr>
            <w:tcW w:w="1659" w:type="dxa"/>
          </w:tcPr>
          <w:p>
            <w:pPr>
              <w:spacing w:line="360" w:lineRule="auto"/>
              <w:rPr>
                <w:rFonts w:ascii="宋体" w:hAnsi="宋体"/>
                <w:szCs w:val="21"/>
              </w:rPr>
            </w:pPr>
            <w:r>
              <w:rPr>
                <w:rFonts w:hint="eastAsia" w:ascii="宋体" w:hAnsi="宋体"/>
                <w:szCs w:val="21"/>
              </w:rPr>
              <w:t xml:space="preserve"> 0.004%</w:t>
            </w:r>
          </w:p>
        </w:tc>
        <w:tc>
          <w:tcPr>
            <w:tcW w:w="1687" w:type="dxa"/>
          </w:tcPr>
          <w:p>
            <w:pPr>
              <w:spacing w:line="360" w:lineRule="auto"/>
              <w:ind w:firstLine="210" w:firstLineChars="100"/>
              <w:rPr>
                <w:rFonts w:ascii="宋体" w:hAnsi="宋体"/>
                <w:szCs w:val="21"/>
              </w:rPr>
            </w:pPr>
            <w:r>
              <w:rPr>
                <w:rFonts w:hint="eastAsia" w:ascii="宋体" w:hAnsi="宋体"/>
                <w:szCs w:val="21"/>
              </w:rPr>
              <w:t>0.004%</w:t>
            </w:r>
          </w:p>
        </w:tc>
        <w:tc>
          <w:tcPr>
            <w:tcW w:w="1659" w:type="dxa"/>
          </w:tcPr>
          <w:p>
            <w:pPr>
              <w:spacing w:line="360" w:lineRule="auto"/>
              <w:ind w:firstLine="105" w:firstLineChars="50"/>
              <w:rPr>
                <w:rFonts w:ascii="宋体" w:hAnsi="宋体"/>
                <w:szCs w:val="21"/>
              </w:rPr>
            </w:pPr>
            <w:r>
              <w:rPr>
                <w:rFonts w:hint="eastAsia" w:ascii="宋体" w:hAnsi="宋体"/>
                <w:szCs w:val="21"/>
              </w:rPr>
              <w:t>0.004%</w:t>
            </w:r>
          </w:p>
        </w:tc>
      </w:tr>
    </w:tbl>
    <w:p>
      <w:pPr>
        <w:spacing w:line="360" w:lineRule="auto"/>
        <w:ind w:firstLine="420" w:firstLineChars="200"/>
        <w:rPr>
          <w:rFonts w:ascii="宋体" w:hAnsi="宋体" w:cs="宋体"/>
          <w:szCs w:val="21"/>
        </w:rPr>
      </w:pPr>
      <w:r>
        <w:rPr>
          <w:rFonts w:hint="eastAsia" w:ascii="宋体" w:hAnsi="宋体"/>
          <w:szCs w:val="21"/>
        </w:rPr>
        <w:t>注:</w:t>
      </w:r>
      <w:r>
        <w:rPr>
          <w:rFonts w:ascii="宋体" w:hAnsi="宋体" w:cs="宋体"/>
          <w:szCs w:val="21"/>
        </w:rPr>
        <w:t xml:space="preserve"> </w:t>
      </w:r>
    </w:p>
    <w:p>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按本表费率计算的收费为</w:t>
      </w:r>
      <w:r>
        <w:rPr>
          <w:rFonts w:hint="eastAsia" w:ascii="宋体" w:hAnsi="宋体" w:cs="宋体"/>
          <w:szCs w:val="21"/>
        </w:rPr>
        <w:t>采购</w:t>
      </w:r>
      <w:r>
        <w:rPr>
          <w:rFonts w:ascii="宋体" w:hAnsi="宋体" w:cs="宋体"/>
          <w:szCs w:val="21"/>
        </w:rPr>
        <w:t>代理的收费基准价格</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（2）采购</w:t>
      </w:r>
      <w:r>
        <w:rPr>
          <w:rFonts w:ascii="宋体" w:hAnsi="宋体" w:cs="宋体"/>
          <w:szCs w:val="21"/>
        </w:rPr>
        <w:t>代理收费按差额定率累进法计算。</w:t>
      </w:r>
    </w:p>
    <w:p>
      <w:pPr>
        <w:spacing w:line="360" w:lineRule="auto"/>
        <w:ind w:firstLine="420" w:firstLineChars="200"/>
        <w:rPr>
          <w:rFonts w:ascii="宋体" w:hAnsi="宋体" w:cs="宋体"/>
          <w:szCs w:val="21"/>
        </w:rPr>
      </w:pPr>
      <w:r>
        <w:rPr>
          <w:rFonts w:ascii="宋体" w:hAnsi="宋体" w:cs="宋体"/>
          <w:szCs w:val="21"/>
        </w:rPr>
        <w:t>例如：某</w:t>
      </w:r>
      <w:r>
        <w:rPr>
          <w:rFonts w:hint="eastAsia" w:ascii="宋体" w:hAnsi="宋体" w:cs="宋体"/>
          <w:szCs w:val="21"/>
        </w:rPr>
        <w:t>服务采购</w:t>
      </w:r>
      <w:r>
        <w:rPr>
          <w:rFonts w:ascii="宋体" w:hAnsi="宋体" w:cs="宋体"/>
          <w:szCs w:val="21"/>
        </w:rPr>
        <w:t>代理业务</w:t>
      </w:r>
      <w:r>
        <w:rPr>
          <w:rFonts w:hint="eastAsia" w:ascii="宋体" w:hAnsi="宋体" w:cs="宋体"/>
          <w:szCs w:val="21"/>
        </w:rPr>
        <w:t>中标</w:t>
      </w:r>
      <w:r>
        <w:rPr>
          <w:rFonts w:ascii="宋体" w:hAnsi="宋体" w:cs="宋体"/>
          <w:szCs w:val="21"/>
        </w:rPr>
        <w:t>金额</w:t>
      </w:r>
      <w:r>
        <w:rPr>
          <w:rFonts w:hint="eastAsia" w:ascii="宋体" w:hAnsi="宋体" w:cs="宋体"/>
          <w:szCs w:val="21"/>
        </w:rPr>
        <w:t>或者暂定价</w:t>
      </w:r>
      <w:r>
        <w:rPr>
          <w:rFonts w:ascii="宋体" w:hAnsi="宋体" w:cs="宋体"/>
          <w:szCs w:val="21"/>
        </w:rPr>
        <w:t>为200万元，计算</w:t>
      </w:r>
      <w:r>
        <w:rPr>
          <w:rFonts w:hint="eastAsia" w:ascii="宋体" w:hAnsi="宋体" w:cs="宋体"/>
          <w:szCs w:val="21"/>
        </w:rPr>
        <w:t>采购</w:t>
      </w:r>
      <w:r>
        <w:rPr>
          <w:rFonts w:ascii="宋体" w:hAnsi="宋体" w:cs="宋体"/>
          <w:szCs w:val="21"/>
        </w:rPr>
        <w:t>代理收费额如下：</w:t>
      </w:r>
    </w:p>
    <w:p>
      <w:pPr>
        <w:spacing w:line="360" w:lineRule="auto"/>
        <w:ind w:firstLine="420" w:firstLineChars="200"/>
        <w:rPr>
          <w:rFonts w:ascii="宋体" w:hAnsi="宋体" w:cs="宋体"/>
          <w:szCs w:val="21"/>
        </w:rPr>
      </w:pPr>
      <w:r>
        <w:rPr>
          <w:rFonts w:ascii="宋体" w:hAnsi="宋体" w:cs="宋体"/>
          <w:szCs w:val="21"/>
        </w:rPr>
        <w:t>100 万元×l.5 %＝ 1.5 万元</w:t>
      </w:r>
    </w:p>
    <w:p>
      <w:pPr>
        <w:spacing w:line="360" w:lineRule="auto"/>
        <w:ind w:firstLine="420" w:firstLineChars="200"/>
        <w:rPr>
          <w:rFonts w:ascii="宋体" w:hAnsi="宋体" w:cs="宋体"/>
          <w:szCs w:val="21"/>
        </w:rPr>
      </w:pPr>
      <w:r>
        <w:rPr>
          <w:rFonts w:ascii="宋体" w:hAnsi="宋体" w:cs="宋体"/>
          <w:szCs w:val="21"/>
        </w:rPr>
        <w:t>（ 200 － 100 ）万元 ×0.8%＝0.8万元</w:t>
      </w:r>
    </w:p>
    <w:p>
      <w:pPr>
        <w:pStyle w:val="26"/>
        <w:snapToGrid w:val="0"/>
        <w:spacing w:line="360" w:lineRule="auto"/>
        <w:ind w:firstLine="420" w:firstLineChars="200"/>
        <w:rPr>
          <w:rFonts w:hAnsi="宋体" w:cs="宋体"/>
          <w:sz w:val="21"/>
        </w:rPr>
      </w:pPr>
      <w:r>
        <w:rPr>
          <w:rFonts w:hAnsi="宋体" w:cs="宋体"/>
          <w:sz w:val="21"/>
        </w:rPr>
        <w:t>合计收费＝ 1.5</w:t>
      </w:r>
      <w:r>
        <w:rPr>
          <w:rFonts w:hint="eastAsia" w:hAnsi="宋体" w:cs="宋体"/>
          <w:sz w:val="21"/>
        </w:rPr>
        <w:t>+</w:t>
      </w:r>
      <w:r>
        <w:rPr>
          <w:rFonts w:hAnsi="宋体" w:cs="宋体"/>
          <w:sz w:val="21"/>
        </w:rPr>
        <w:t>0.8＝ 2.3（万元）</w:t>
      </w:r>
    </w:p>
    <w:p>
      <w:pPr>
        <w:pStyle w:val="6"/>
        <w:keepNext w:val="0"/>
        <w:keepLines w:val="0"/>
        <w:spacing w:before="0" w:after="0" w:line="360" w:lineRule="auto"/>
        <w:ind w:left="420" w:leftChars="200"/>
        <w:rPr>
          <w:rFonts w:ascii="黑体" w:hAnsi="黑体" w:eastAsia="黑体"/>
          <w:sz w:val="24"/>
        </w:rPr>
      </w:pPr>
      <w:r>
        <w:rPr>
          <w:rFonts w:ascii="黑体" w:hAnsi="黑体" w:eastAsia="黑体"/>
          <w:sz w:val="24"/>
        </w:rPr>
        <w:t>40. 需要补充的其他内容</w:t>
      </w:r>
    </w:p>
    <w:p>
      <w:pPr>
        <w:pStyle w:val="26"/>
        <w:spacing w:line="360" w:lineRule="auto"/>
        <w:ind w:firstLine="420" w:firstLineChars="200"/>
        <w:rPr>
          <w:rFonts w:hAnsi="宋体"/>
          <w:sz w:val="21"/>
        </w:rPr>
      </w:pPr>
      <w:r>
        <w:rPr>
          <w:rFonts w:hAnsi="宋体"/>
          <w:sz w:val="21"/>
        </w:rPr>
        <w:t>40.1</w:t>
      </w:r>
      <w:r>
        <w:rPr>
          <w:rFonts w:hint="eastAsia" w:hAnsi="宋体" w:cs="宋体"/>
          <w:sz w:val="21"/>
        </w:rPr>
        <w:t>本招标文件解释规则详见</w:t>
      </w:r>
      <w:r>
        <w:rPr>
          <w:rFonts w:hint="eastAsia" w:hAnsi="宋体"/>
          <w:sz w:val="21"/>
        </w:rPr>
        <w:t>“投标人须知前附表”。</w:t>
      </w:r>
    </w:p>
    <w:p>
      <w:pPr>
        <w:pStyle w:val="26"/>
        <w:spacing w:line="360" w:lineRule="auto"/>
        <w:ind w:firstLine="420" w:firstLineChars="200"/>
        <w:rPr>
          <w:rFonts w:hAnsi="宋体"/>
          <w:sz w:val="21"/>
        </w:rPr>
      </w:pPr>
      <w:r>
        <w:rPr>
          <w:rFonts w:hAnsi="宋体" w:cs="宋体"/>
          <w:sz w:val="21"/>
        </w:rPr>
        <w:t>40.2</w:t>
      </w:r>
      <w:r>
        <w:rPr>
          <w:rFonts w:hint="eastAsia" w:hAnsi="宋体" w:cs="宋体"/>
          <w:sz w:val="21"/>
        </w:rPr>
        <w:t xml:space="preserve"> </w:t>
      </w:r>
      <w:r>
        <w:rPr>
          <w:rFonts w:hint="eastAsia" w:hAnsi="宋体"/>
          <w:sz w:val="21"/>
        </w:rPr>
        <w:t>其他事项详见“投标人须知前附表”。</w:t>
      </w:r>
    </w:p>
    <w:p>
      <w:pPr>
        <w:pStyle w:val="26"/>
        <w:spacing w:line="360" w:lineRule="auto"/>
        <w:ind w:firstLine="420" w:firstLineChars="200"/>
        <w:rPr>
          <w:rFonts w:hAnsi="宋体"/>
          <w:sz w:val="21"/>
        </w:rPr>
      </w:pPr>
      <w:r>
        <w:rPr>
          <w:rFonts w:hAnsi="宋体"/>
          <w:sz w:val="21"/>
        </w:rPr>
        <w:t>40.3</w:t>
      </w:r>
      <w:r>
        <w:rPr>
          <w:rFonts w:hint="eastAsia" w:hAnsi="宋体"/>
          <w:sz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rPr>
        <w:t>不对其中涉及的货物的制造商和工程承建商作出要求的，</w:t>
      </w:r>
      <w:r>
        <w:rPr>
          <w:rFonts w:hint="eastAsia" w:hAnsi="宋体"/>
          <w:sz w:val="21"/>
        </w:rPr>
        <w:t>享受本文件规定的中小企业扶持政策。</w:t>
      </w:r>
    </w:p>
    <w:p>
      <w:pPr>
        <w:pStyle w:val="26"/>
        <w:spacing w:line="360" w:lineRule="auto"/>
        <w:ind w:firstLine="420" w:firstLineChars="200"/>
        <w:rPr>
          <w:rFonts w:hAnsi="宋体"/>
          <w:sz w:val="21"/>
        </w:rPr>
      </w:pPr>
      <w:r>
        <w:rPr>
          <w:rFonts w:hint="eastAsia" w:hAnsi="宋体"/>
          <w:sz w:val="21"/>
        </w:rPr>
        <w:t>以联合体形式参加政府采购活动，联合体各方均为中小企业的，联合体视同中小企业。其中，联合体各方均为小微企业的，联合体视同小微企业。</w:t>
      </w:r>
    </w:p>
    <w:p>
      <w:pPr>
        <w:pStyle w:val="26"/>
        <w:spacing w:line="360" w:lineRule="auto"/>
        <w:ind w:firstLine="420" w:firstLineChars="200"/>
        <w:rPr>
          <w:rFonts w:hAnsi="宋体"/>
        </w:rPr>
      </w:pPr>
      <w:r>
        <w:rPr>
          <w:rFonts w:hint="eastAsia" w:hAnsi="宋体"/>
          <w:sz w:val="21"/>
        </w:rPr>
        <w:t>依据本文件规定享受扶持政策获得政府采购合同的，小微企业不得将合同分包给大中型企业，中型企业不得将合同分包给大型企业。</w:t>
      </w:r>
      <w:r>
        <w:rPr>
          <w:rFonts w:hAnsi="宋体"/>
        </w:rPr>
        <w:br w:type="page"/>
      </w: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3"/>
        <w:keepNext w:val="0"/>
        <w:keepLines w:val="0"/>
        <w:jc w:val="center"/>
      </w:pPr>
      <w:bookmarkStart w:id="501" w:name="_Toc19686832"/>
      <w:bookmarkStart w:id="502" w:name="_Toc330456896"/>
      <w:bookmarkStart w:id="503" w:name="_Toc254970548"/>
      <w:bookmarkStart w:id="504" w:name="_Toc254970689"/>
      <w:r>
        <w:rPr>
          <w:rFonts w:hint="eastAsia"/>
        </w:rPr>
        <w:t>第四章  评标方法及评标标准</w:t>
      </w:r>
      <w:bookmarkEnd w:id="501"/>
      <w:bookmarkEnd w:id="502"/>
      <w:bookmarkEnd w:id="503"/>
      <w:bookmarkEnd w:id="504"/>
    </w:p>
    <w:p>
      <w:pPr>
        <w:pStyle w:val="26"/>
        <w:snapToGrid w:val="0"/>
        <w:spacing w:before="120" w:after="120"/>
        <w:rPr>
          <w:rFonts w:hAnsi="宋体"/>
        </w:rPr>
      </w:pPr>
      <w:bookmarkStart w:id="505" w:name="_Toc254970549"/>
      <w:bookmarkStart w:id="506" w:name="_Toc254970690"/>
    </w:p>
    <w:bookmarkEnd w:id="505"/>
    <w:bookmarkEnd w:id="506"/>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napToGrid w:val="0"/>
        <w:spacing w:before="120" w:after="120"/>
        <w:rPr>
          <w:rFonts w:hAnsi="宋体"/>
        </w:rPr>
      </w:pPr>
    </w:p>
    <w:p>
      <w:pPr>
        <w:pStyle w:val="26"/>
        <w:spacing w:line="360" w:lineRule="exact"/>
        <w:rPr>
          <w:rFonts w:hAnsi="宋体"/>
          <w:b/>
          <w:sz w:val="24"/>
        </w:rPr>
      </w:pPr>
    </w:p>
    <w:p>
      <w:pPr>
        <w:pStyle w:val="26"/>
        <w:spacing w:line="360" w:lineRule="exact"/>
        <w:rPr>
          <w:rFonts w:hAnsi="宋体"/>
          <w:b/>
          <w:sz w:val="24"/>
        </w:rPr>
      </w:pPr>
    </w:p>
    <w:p>
      <w:pPr>
        <w:pStyle w:val="26"/>
        <w:spacing w:line="360" w:lineRule="exact"/>
        <w:rPr>
          <w:rFonts w:hAnsi="宋体"/>
          <w:b/>
          <w:sz w:val="24"/>
        </w:rPr>
      </w:pPr>
    </w:p>
    <w:p>
      <w:pPr>
        <w:pStyle w:val="26"/>
        <w:spacing w:line="360" w:lineRule="exact"/>
        <w:rPr>
          <w:rFonts w:hAnsi="宋体"/>
          <w:bCs/>
        </w:rPr>
      </w:pPr>
      <w:r>
        <w:rPr>
          <w:rFonts w:hAnsi="宋体"/>
          <w:bCs/>
        </w:rPr>
        <w:t xml:space="preserve"> </w:t>
      </w:r>
    </w:p>
    <w:p>
      <w:pPr>
        <w:pStyle w:val="4"/>
        <w:keepNext w:val="0"/>
        <w:keepLines w:val="0"/>
        <w:jc w:val="center"/>
      </w:pPr>
      <w:r>
        <w:br w:type="page"/>
      </w:r>
      <w:r>
        <w:rPr>
          <w:rFonts w:hint="eastAsia"/>
        </w:rPr>
        <w:t>一、评标方法</w:t>
      </w:r>
    </w:p>
    <w:p>
      <w:pPr>
        <w:pStyle w:val="26"/>
        <w:spacing w:line="360" w:lineRule="auto"/>
        <w:ind w:firstLine="420"/>
        <w:rPr>
          <w:rFonts w:hAnsi="宋体"/>
          <w:sz w:val="21"/>
        </w:rPr>
      </w:pPr>
      <w:r>
        <w:rPr>
          <w:rFonts w:hint="eastAsia" w:hAnsi="宋体"/>
          <w:sz w:val="21"/>
        </w:rPr>
        <w:t>综合评分法，是指投标文件满足招标文件全部实质性要求，且按照评审因素的量化指标评审得分最高的投标人为中标候选人的评标方法。</w:t>
      </w:r>
    </w:p>
    <w:p>
      <w:pPr>
        <w:pStyle w:val="26"/>
        <w:spacing w:line="360" w:lineRule="auto"/>
        <w:ind w:firstLine="420"/>
        <w:rPr>
          <w:rFonts w:hAnsi="宋体"/>
          <w:sz w:val="21"/>
        </w:rPr>
      </w:pPr>
      <w:r>
        <w:rPr>
          <w:rFonts w:hint="eastAsia" w:hAnsi="宋体"/>
          <w:sz w:val="21"/>
        </w:rPr>
        <w:t>最低评标报价法，是指投标文件满足招标文件全部实质性要求，且投标报价最低的投标人为中标候选人的评标方法。</w:t>
      </w:r>
    </w:p>
    <w:p>
      <w:pPr>
        <w:pStyle w:val="4"/>
        <w:keepNext w:val="0"/>
        <w:keepLines w:val="0"/>
        <w:jc w:val="center"/>
      </w:pPr>
      <w:r>
        <w:rPr>
          <w:rFonts w:hint="eastAsia"/>
        </w:rPr>
        <w:t>二、评标程序</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1.符合性审查</w:t>
      </w:r>
    </w:p>
    <w:p>
      <w:pPr>
        <w:pStyle w:val="26"/>
        <w:snapToGrid w:val="0"/>
        <w:spacing w:line="360" w:lineRule="auto"/>
        <w:ind w:left="1" w:firstLine="420"/>
        <w:rPr>
          <w:rFonts w:hAnsi="宋体"/>
          <w:b/>
          <w:kern w:val="2"/>
          <w:sz w:val="21"/>
        </w:rPr>
      </w:pPr>
      <w:r>
        <w:rPr>
          <w:rFonts w:hint="eastAsia" w:hAnsi="宋体"/>
          <w:b/>
          <w:kern w:val="2"/>
          <w:sz w:val="21"/>
        </w:rPr>
        <w:t>评标委员会应当对符合资格的投标人的投标文件进行投标报价、商务、技术等实质性内容符合性审查，以确定其是否满足招标文件的实质性要求。</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w:t>
      </w:r>
      <w:r>
        <w:rPr>
          <w:rFonts w:ascii="宋体" w:hAnsi="宋体"/>
          <w:sz w:val="21"/>
          <w:szCs w:val="21"/>
        </w:rPr>
        <w:t>.</w:t>
      </w:r>
      <w:r>
        <w:rPr>
          <w:rFonts w:hint="eastAsia" w:ascii="宋体" w:hAnsi="宋体"/>
          <w:sz w:val="21"/>
          <w:szCs w:val="21"/>
        </w:rPr>
        <w:t>符合性审查不通过而导致投标无效的情形</w:t>
      </w:r>
    </w:p>
    <w:p>
      <w:pPr>
        <w:snapToGrid w:val="0"/>
        <w:spacing w:line="360" w:lineRule="auto"/>
        <w:ind w:firstLine="422" w:firstLineChars="200"/>
        <w:rPr>
          <w:rFonts w:ascii="宋体" w:hAnsi="宋体"/>
          <w:b/>
          <w:szCs w:val="21"/>
        </w:rPr>
      </w:pPr>
      <w:r>
        <w:rPr>
          <w:rFonts w:hint="eastAsia" w:ascii="宋体" w:hAnsi="宋体"/>
          <w:b/>
          <w:szCs w:val="21"/>
        </w:rPr>
        <w:t>投标人的投标文件中存在对招标文件的任何实质性要求和条件的负偏离，将被视为投标无效。</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2.1在报价评审时，如发现下列情形之一的，将被视为投标无效：</w:t>
      </w:r>
    </w:p>
    <w:p>
      <w:pPr>
        <w:pStyle w:val="7"/>
        <w:numPr>
          <w:ilvl w:val="0"/>
          <w:numId w:val="8"/>
        </w:numPr>
        <w:spacing w:line="360" w:lineRule="auto"/>
        <w:ind w:firstLine="422" w:firstLineChars="200"/>
        <w:rPr>
          <w:rFonts w:ascii="宋体" w:hAnsi="宋体"/>
          <w:b/>
          <w:szCs w:val="21"/>
        </w:rPr>
      </w:pPr>
      <w:r>
        <w:rPr>
          <w:rFonts w:hint="eastAsia" w:ascii="宋体" w:hAnsi="宋体"/>
          <w:b/>
          <w:szCs w:val="21"/>
        </w:rPr>
        <w:t>投标文件未提供“投标人须知前附表”第13.1条规定中“必须提供”的文件资料的;</w:t>
      </w:r>
    </w:p>
    <w:p>
      <w:pPr>
        <w:pStyle w:val="7"/>
        <w:numPr>
          <w:ilvl w:val="0"/>
          <w:numId w:val="8"/>
        </w:numPr>
        <w:spacing w:line="360" w:lineRule="auto"/>
        <w:ind w:firstLine="422" w:firstLineChars="200"/>
        <w:rPr>
          <w:rFonts w:ascii="宋体" w:hAnsi="宋体"/>
          <w:b/>
          <w:szCs w:val="21"/>
        </w:rPr>
      </w:pPr>
      <w:r>
        <w:rPr>
          <w:rFonts w:hint="eastAsia" w:ascii="宋体" w:hAnsi="宋体"/>
          <w:b/>
          <w:szCs w:val="21"/>
        </w:rPr>
        <w:t>未采用人民币报价或者未按照招标文件标明的币种报价的；</w:t>
      </w:r>
    </w:p>
    <w:p>
      <w:pPr>
        <w:pStyle w:val="7"/>
        <w:numPr>
          <w:ilvl w:val="0"/>
          <w:numId w:val="8"/>
        </w:numPr>
        <w:spacing w:line="360" w:lineRule="auto"/>
        <w:ind w:firstLine="422" w:firstLineChars="200"/>
        <w:rPr>
          <w:rFonts w:ascii="宋体" w:hAnsi="宋体"/>
          <w:b/>
          <w:szCs w:val="21"/>
        </w:rPr>
      </w:pPr>
      <w:r>
        <w:rPr>
          <w:rFonts w:hint="eastAsia" w:ascii="宋体" w:hAnsi="宋体"/>
          <w:b/>
          <w:szCs w:val="21"/>
        </w:rPr>
        <w:t>报价超出招标文件规定最高限价，或者超出采购预算金额的；</w:t>
      </w:r>
    </w:p>
    <w:p>
      <w:pPr>
        <w:pStyle w:val="7"/>
        <w:numPr>
          <w:ilvl w:val="0"/>
          <w:numId w:val="8"/>
        </w:numPr>
        <w:spacing w:line="360" w:lineRule="auto"/>
        <w:ind w:firstLine="422" w:firstLineChars="200"/>
        <w:rPr>
          <w:rFonts w:ascii="宋体" w:hAnsi="宋体"/>
          <w:b/>
          <w:szCs w:val="21"/>
        </w:rPr>
      </w:pPr>
      <w:r>
        <w:rPr>
          <w:rFonts w:hint="eastAsia" w:ascii="宋体" w:hAnsi="宋体"/>
          <w:b/>
          <w:szCs w:val="21"/>
        </w:rPr>
        <w:t>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pPr>
        <w:pStyle w:val="7"/>
        <w:numPr>
          <w:ilvl w:val="0"/>
          <w:numId w:val="8"/>
        </w:numPr>
        <w:spacing w:line="360" w:lineRule="auto"/>
        <w:ind w:firstLine="422" w:firstLineChars="200"/>
        <w:rPr>
          <w:rFonts w:ascii="宋体" w:hAnsi="宋体"/>
          <w:b/>
          <w:szCs w:val="21"/>
        </w:rPr>
      </w:pPr>
      <w:r>
        <w:rPr>
          <w:rFonts w:hint="eastAsia" w:ascii="宋体" w:hAnsi="宋体"/>
          <w:b/>
          <w:szCs w:val="21"/>
        </w:rPr>
        <w:t>修正后的报价，投标人不确认的；</w:t>
      </w:r>
    </w:p>
    <w:p>
      <w:pPr>
        <w:pStyle w:val="7"/>
        <w:numPr>
          <w:ilvl w:val="0"/>
          <w:numId w:val="8"/>
        </w:numPr>
        <w:spacing w:line="360" w:lineRule="auto"/>
        <w:ind w:firstLine="422" w:firstLineChars="200"/>
        <w:rPr>
          <w:rFonts w:ascii="宋体" w:hAnsi="宋体"/>
          <w:b/>
          <w:szCs w:val="21"/>
        </w:rPr>
      </w:pPr>
      <w:r>
        <w:rPr>
          <w:rFonts w:hint="eastAsia" w:ascii="宋体" w:hAnsi="宋体"/>
          <w:b/>
          <w:szCs w:val="21"/>
        </w:rPr>
        <w:t>投标人属于本章第</w:t>
      </w:r>
      <w:r>
        <w:rPr>
          <w:rFonts w:ascii="宋体" w:hAnsi="宋体"/>
          <w:b/>
          <w:szCs w:val="21"/>
        </w:rPr>
        <w:t>5</w:t>
      </w:r>
      <w:r>
        <w:rPr>
          <w:rFonts w:hint="eastAsia" w:ascii="宋体" w:hAnsi="宋体"/>
          <w:b/>
          <w:szCs w:val="21"/>
        </w:rPr>
        <w:t>条第（2）项情形的。</w:t>
      </w:r>
    </w:p>
    <w:p>
      <w:pPr>
        <w:pStyle w:val="7"/>
        <w:numPr>
          <w:ilvl w:val="0"/>
          <w:numId w:val="8"/>
        </w:numPr>
        <w:spacing w:line="360" w:lineRule="auto"/>
        <w:ind w:firstLine="422" w:firstLineChars="200"/>
        <w:rPr>
          <w:rFonts w:ascii="宋体" w:hAnsi="宋体"/>
          <w:b/>
          <w:szCs w:val="21"/>
        </w:rPr>
      </w:pPr>
      <w:r>
        <w:rPr>
          <w:rFonts w:hint="eastAsia" w:ascii="宋体" w:hAnsi="宋体"/>
          <w:b/>
          <w:szCs w:val="21"/>
        </w:rPr>
        <w:t>投标文件响应的标的数量及单位与招标文件要求实质性不一致的。</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2.2在商务评审时，如发现下列情形之一的，将被视为投标无效：</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投标文件未按招标文件要求签署、盖章的；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 xml:space="preserve">委托代理人未能出具有效身份证明或者出具的身份证明与授权委托书中的信息不符的； </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为无效投标保证金的或者未按照招标文件的规定提交投标保证金的；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投标文件未提供“投标人须知前附表”第13.</w:t>
      </w:r>
      <w:r>
        <w:rPr>
          <w:rFonts w:ascii="宋体" w:hAnsi="宋体"/>
          <w:b/>
          <w:szCs w:val="21"/>
        </w:rPr>
        <w:t>1</w:t>
      </w:r>
      <w:r>
        <w:rPr>
          <w:rFonts w:hint="eastAsia" w:ascii="宋体" w:hAnsi="宋体"/>
          <w:b/>
          <w:szCs w:val="21"/>
        </w:rPr>
        <w:t>条规定中“必须提供”或者“委托时必须提供”的文件资料的;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商务条款评审允许负偏离的条款数超过“投标人须知前附表”规定项数的。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投标文件的实质性内容未使用中文表述、使用计量单位不符合招标文件要求的；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投标文件中的文件资料因填写不齐全或者内容虚假或者出现其他情形而导致被评标委员会认定无效的；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投标文件含有采购人不能接受的附加条件的；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属于投标人须知正文第</w:t>
      </w:r>
      <w:r>
        <w:rPr>
          <w:rFonts w:ascii="宋体" w:hAnsi="宋体"/>
          <w:b/>
          <w:szCs w:val="21"/>
        </w:rPr>
        <w:t>9.2</w:t>
      </w:r>
      <w:r>
        <w:rPr>
          <w:rFonts w:hint="eastAsia" w:ascii="宋体" w:hAnsi="宋体"/>
          <w:b/>
          <w:szCs w:val="21"/>
        </w:rPr>
        <w:t>条情形的；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投标文件标注的项目名称或者项目编号与招标文件标注的项目名称或者项目编号不一致的；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rPr>
        <w:t>未响应招标文件实质性要求的；</w:t>
      </w:r>
    </w:p>
    <w:p>
      <w:pPr>
        <w:numPr>
          <w:ilvl w:val="0"/>
          <w:numId w:val="9"/>
        </w:numPr>
        <w:snapToGrid w:val="0"/>
        <w:spacing w:line="360" w:lineRule="auto"/>
        <w:ind w:firstLine="422" w:firstLineChars="200"/>
        <w:rPr>
          <w:rFonts w:ascii="宋体" w:hAnsi="宋体"/>
          <w:b/>
          <w:szCs w:val="21"/>
        </w:rPr>
      </w:pPr>
      <w:r>
        <w:rPr>
          <w:rFonts w:hint="eastAsia" w:ascii="宋体" w:hAnsi="宋体"/>
          <w:b/>
          <w:szCs w:val="21"/>
          <w:lang w:eastAsia="zh-CN"/>
        </w:rPr>
        <w:t>法律法规</w:t>
      </w:r>
      <w:r>
        <w:rPr>
          <w:rFonts w:hint="eastAsia" w:ascii="宋体" w:hAnsi="宋体"/>
          <w:b/>
          <w:szCs w:val="21"/>
        </w:rPr>
        <w:t>和招标文件规定的其他无效情形。</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2.3在技术评审时，如发现下列情形之一的，将被视为投标无效：</w:t>
      </w:r>
    </w:p>
    <w:p>
      <w:pPr>
        <w:pStyle w:val="20"/>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（1）明显不满足招标文件要求的服务内容、技术要求、安全、质量标准，或者与招标文件中标“▲”的服务需求发生负偏离的；</w:t>
      </w:r>
    </w:p>
    <w:p>
      <w:pPr>
        <w:pStyle w:val="20"/>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（2）服务需求评审允许负偏离的条款数超过“投标人须知前附表”规定项数的；</w:t>
      </w:r>
    </w:p>
    <w:p>
      <w:pPr>
        <w:pStyle w:val="20"/>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（3）投标文件未提供“投标人须知前附表”第13.</w:t>
      </w:r>
      <w:r>
        <w:rPr>
          <w:rFonts w:ascii="宋体" w:hAnsi="宋体" w:eastAsia="宋体"/>
          <w:b/>
          <w:kern w:val="2"/>
          <w:sz w:val="21"/>
          <w:szCs w:val="21"/>
        </w:rPr>
        <w:t>1</w:t>
      </w:r>
      <w:r>
        <w:rPr>
          <w:rFonts w:hint="eastAsia" w:ascii="宋体" w:hAnsi="宋体" w:eastAsia="宋体"/>
          <w:b/>
          <w:kern w:val="2"/>
          <w:sz w:val="21"/>
          <w:szCs w:val="21"/>
        </w:rPr>
        <w:t>条规定中“必须提供”的文件资料的;</w:t>
      </w:r>
    </w:p>
    <w:p>
      <w:pPr>
        <w:pStyle w:val="20"/>
        <w:snapToGrid w:val="0"/>
        <w:spacing w:line="360" w:lineRule="auto"/>
        <w:ind w:firstLine="413" w:firstLineChars="196"/>
        <w:rPr>
          <w:rFonts w:ascii="宋体" w:hAnsi="宋体" w:eastAsia="宋体"/>
          <w:b/>
          <w:kern w:val="2"/>
          <w:sz w:val="21"/>
          <w:szCs w:val="21"/>
        </w:rPr>
      </w:pPr>
      <w:r>
        <w:rPr>
          <w:rFonts w:hint="eastAsia" w:ascii="宋体" w:hAnsi="宋体" w:eastAsia="宋体"/>
          <w:b/>
          <w:kern w:val="2"/>
          <w:sz w:val="21"/>
          <w:szCs w:val="21"/>
        </w:rPr>
        <w:t>（4）虚假投标，或者出现其他情形而导致被评标委员会认定无效的；</w:t>
      </w:r>
    </w:p>
    <w:p>
      <w:pPr>
        <w:pStyle w:val="20"/>
        <w:snapToGrid w:val="0"/>
        <w:spacing w:line="360" w:lineRule="auto"/>
        <w:ind w:firstLine="413" w:firstLineChars="196"/>
        <w:rPr>
          <w:rFonts w:ascii="宋体" w:hAnsi="宋体" w:eastAsia="宋体"/>
          <w:sz w:val="21"/>
          <w:szCs w:val="21"/>
        </w:rPr>
      </w:pPr>
      <w:r>
        <w:rPr>
          <w:rFonts w:hint="eastAsia" w:ascii="宋体" w:hAnsi="宋体" w:eastAsia="宋体"/>
          <w:b/>
          <w:kern w:val="2"/>
          <w:sz w:val="21"/>
          <w:szCs w:val="21"/>
        </w:rPr>
        <w:t>（5）投标技术方案不明确，招标文件未允许但存在一个或者一个以上备选（替代）投标方案的。</w:t>
      </w:r>
    </w:p>
    <w:p>
      <w:pPr>
        <w:pStyle w:val="6"/>
        <w:keepNext w:val="0"/>
        <w:keepLines w:val="0"/>
        <w:spacing w:before="0" w:after="0" w:line="360" w:lineRule="auto"/>
        <w:ind w:left="420" w:leftChars="200"/>
        <w:rPr>
          <w:rFonts w:ascii="宋体" w:hAnsi="宋体"/>
          <w:sz w:val="21"/>
          <w:szCs w:val="21"/>
        </w:rPr>
      </w:pPr>
      <w:r>
        <w:rPr>
          <w:rFonts w:hint="eastAsia" w:ascii="宋体" w:hAnsi="宋体"/>
          <w:sz w:val="21"/>
          <w:szCs w:val="21"/>
        </w:rPr>
        <w:t>3</w:t>
      </w:r>
      <w:r>
        <w:rPr>
          <w:rFonts w:ascii="宋体" w:hAnsi="宋体"/>
          <w:sz w:val="21"/>
          <w:szCs w:val="21"/>
        </w:rPr>
        <w:t>.</w:t>
      </w:r>
      <w:r>
        <w:rPr>
          <w:rFonts w:hint="eastAsia" w:ascii="宋体" w:hAnsi="宋体"/>
          <w:sz w:val="21"/>
          <w:szCs w:val="21"/>
        </w:rPr>
        <w:t>澄清补正</w:t>
      </w:r>
    </w:p>
    <w:p>
      <w:pPr>
        <w:snapToGrid w:val="0"/>
        <w:spacing w:line="360" w:lineRule="auto"/>
        <w:ind w:firstLine="420" w:firstLineChars="200"/>
        <w:rPr>
          <w:rFonts w:ascii="宋体" w:hAnsi="宋体" w:cs="Courier New"/>
          <w:szCs w:val="21"/>
        </w:rPr>
      </w:pPr>
      <w:r>
        <w:rPr>
          <w:rFonts w:hint="eastAsia" w:ascii="宋体" w:hAnsi="宋体" w:cs="Courier New"/>
          <w:szCs w:val="21"/>
        </w:rPr>
        <w:t>对投标文件中含义不明确、同类问题表述不一致或者有明显文字和计算错误的内容，评标委员会以书面形式要求投标人在规定时间内作出必要的澄清、说明或者纠正。投标人的澄清、说明或者补正必须采用电子回函形式，并加盖电子签章，或者由法定代表人或者其授权的代表签字（或电子签名）。投标人的澄清、说明或者补正不得超出投标文件的范围或者改变投标文件的实质性内容。</w:t>
      </w:r>
      <w:bookmarkStart w:id="507" w:name="_Hlk129687495"/>
      <w:r>
        <w:rPr>
          <w:rFonts w:hint="eastAsia" w:ascii="宋体" w:hAnsi="宋体" w:cs="Courier New"/>
          <w:szCs w:val="21"/>
        </w:rPr>
        <w:t>投标人</w:t>
      </w:r>
      <w:r>
        <w:rPr>
          <w:rFonts w:hint="eastAsia" w:ascii="宋体" w:hAnsi="宋体" w:cs="宋体"/>
          <w:szCs w:val="21"/>
        </w:rPr>
        <w:t>为自然人的，必须由本人签字并附身份证明</w:t>
      </w:r>
      <w:r>
        <w:rPr>
          <w:rFonts w:hint="eastAsia" w:ascii="宋体" w:hAnsi="宋体" w:cs="宋体"/>
          <w:spacing w:val="-6"/>
          <w:szCs w:val="21"/>
        </w:rPr>
        <w:t>。</w:t>
      </w:r>
      <w:bookmarkEnd w:id="507"/>
    </w:p>
    <w:p>
      <w:pPr>
        <w:snapToGrid w:val="0"/>
        <w:spacing w:line="360" w:lineRule="auto"/>
        <w:ind w:firstLine="420" w:firstLineChars="200"/>
        <w:rPr>
          <w:rFonts w:ascii="宋体" w:hAnsi="宋体" w:cs="Courier New"/>
          <w:szCs w:val="21"/>
        </w:rPr>
      </w:pPr>
      <w:r>
        <w:rPr>
          <w:rFonts w:hint="eastAsia" w:ascii="宋体" w:hAnsi="宋体" w:cs="Courier New"/>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投标人</w:t>
      </w:r>
      <w:r>
        <w:rPr>
          <w:rFonts w:hint="eastAsia" w:ascii="宋体" w:hAnsi="宋体" w:cs="宋体"/>
          <w:szCs w:val="21"/>
        </w:rPr>
        <w:t>为自然人的，必须由本人签字并附身份证明</w:t>
      </w:r>
      <w:r>
        <w:rPr>
          <w:rFonts w:hint="eastAsia" w:ascii="宋体" w:hAnsi="宋体" w:cs="宋体"/>
          <w:spacing w:val="-6"/>
          <w:szCs w:val="21"/>
        </w:rPr>
        <w:t>。</w:t>
      </w:r>
    </w:p>
    <w:p>
      <w:pPr>
        <w:pStyle w:val="6"/>
        <w:keepNext w:val="0"/>
        <w:keepLines w:val="0"/>
        <w:spacing w:before="0" w:after="0" w:line="360" w:lineRule="auto"/>
        <w:ind w:left="420" w:leftChars="200"/>
        <w:rPr>
          <w:rFonts w:ascii="宋体" w:hAnsi="宋体"/>
          <w:sz w:val="21"/>
          <w:szCs w:val="21"/>
        </w:rPr>
      </w:pPr>
      <w:r>
        <w:rPr>
          <w:rFonts w:ascii="宋体" w:hAnsi="宋体"/>
          <w:sz w:val="21"/>
          <w:szCs w:val="21"/>
        </w:rPr>
        <w:t>4.</w:t>
      </w:r>
      <w:r>
        <w:rPr>
          <w:rFonts w:hint="eastAsia" w:ascii="宋体" w:hAnsi="宋体"/>
          <w:sz w:val="21"/>
          <w:szCs w:val="21"/>
        </w:rPr>
        <w:t>投标文件修正</w:t>
      </w:r>
    </w:p>
    <w:p>
      <w:pPr>
        <w:pStyle w:val="6"/>
        <w:keepNext w:val="0"/>
        <w:keepLines w:val="0"/>
        <w:spacing w:before="0" w:after="0" w:line="360" w:lineRule="auto"/>
        <w:ind w:left="420" w:leftChars="200"/>
        <w:rPr>
          <w:rFonts w:ascii="宋体" w:hAnsi="宋体"/>
          <w:b w:val="0"/>
          <w:sz w:val="21"/>
          <w:szCs w:val="21"/>
        </w:rPr>
      </w:pPr>
      <w:r>
        <w:rPr>
          <w:rFonts w:ascii="宋体" w:hAnsi="宋体"/>
          <w:b w:val="0"/>
          <w:sz w:val="21"/>
          <w:szCs w:val="21"/>
        </w:rPr>
        <w:t>4</w:t>
      </w:r>
      <w:r>
        <w:rPr>
          <w:rFonts w:hint="eastAsia" w:ascii="宋体" w:hAnsi="宋体"/>
          <w:b w:val="0"/>
          <w:sz w:val="21"/>
          <w:szCs w:val="21"/>
        </w:rPr>
        <w:t xml:space="preserve">.1投标文件报价出现前后不一致的，按照下列规定修正： </w:t>
      </w:r>
    </w:p>
    <w:p>
      <w:pPr>
        <w:pStyle w:val="26"/>
        <w:snapToGrid w:val="0"/>
        <w:spacing w:line="360" w:lineRule="auto"/>
        <w:ind w:firstLine="420" w:firstLineChars="200"/>
        <w:rPr>
          <w:rFonts w:hAnsi="宋体"/>
          <w:sz w:val="21"/>
        </w:rPr>
      </w:pPr>
      <w:r>
        <w:rPr>
          <w:rFonts w:hint="eastAsia" w:hAnsi="宋体"/>
          <w:sz w:val="21"/>
        </w:rPr>
        <w:t>（1）投标文件中开标一览表（报价表）内容与投标文件中相应内容不一致的，以开标一览表（报价表）为准；</w:t>
      </w:r>
    </w:p>
    <w:p>
      <w:pPr>
        <w:pStyle w:val="26"/>
        <w:snapToGrid w:val="0"/>
        <w:spacing w:line="360" w:lineRule="auto"/>
        <w:ind w:firstLine="420" w:firstLineChars="200"/>
        <w:rPr>
          <w:rFonts w:hAnsi="宋体"/>
          <w:sz w:val="21"/>
        </w:rPr>
      </w:pPr>
      <w:r>
        <w:rPr>
          <w:rFonts w:hint="eastAsia" w:hAnsi="宋体"/>
          <w:sz w:val="21"/>
        </w:rPr>
        <w:t>（2）大写金额和小写金额不一致的，以大写金额为准；</w:t>
      </w:r>
    </w:p>
    <w:p>
      <w:pPr>
        <w:pStyle w:val="26"/>
        <w:snapToGrid w:val="0"/>
        <w:spacing w:line="360" w:lineRule="auto"/>
        <w:ind w:firstLine="420" w:firstLineChars="200"/>
        <w:rPr>
          <w:rFonts w:hAnsi="宋体"/>
          <w:sz w:val="21"/>
        </w:rPr>
      </w:pPr>
      <w:r>
        <w:rPr>
          <w:rFonts w:hint="eastAsia" w:hAnsi="宋体"/>
          <w:sz w:val="21"/>
        </w:rPr>
        <w:t>（3）单价金额小数点或者百分比有明显错位的，以开标一览表的总价为准，并修改单价；</w:t>
      </w:r>
    </w:p>
    <w:p>
      <w:pPr>
        <w:pStyle w:val="26"/>
        <w:snapToGrid w:val="0"/>
        <w:spacing w:line="360" w:lineRule="auto"/>
        <w:ind w:firstLine="420" w:firstLineChars="200"/>
        <w:rPr>
          <w:rFonts w:hAnsi="宋体"/>
          <w:sz w:val="21"/>
        </w:rPr>
      </w:pPr>
      <w:r>
        <w:rPr>
          <w:rFonts w:hint="eastAsia" w:hAnsi="宋体"/>
          <w:sz w:val="21"/>
        </w:rPr>
        <w:t>（4）总价金额与按单价汇总金额不一致的，以单价金额计算结果为准。</w:t>
      </w:r>
    </w:p>
    <w:p>
      <w:pPr>
        <w:pStyle w:val="26"/>
        <w:snapToGrid w:val="0"/>
        <w:spacing w:line="360" w:lineRule="auto"/>
        <w:ind w:firstLine="420" w:firstLineChars="200"/>
        <w:rPr>
          <w:rFonts w:hAnsi="宋体"/>
          <w:sz w:val="21"/>
        </w:rPr>
      </w:pPr>
      <w:r>
        <w:rPr>
          <w:rFonts w:hint="eastAsia" w:hAnsi="宋体"/>
          <w:sz w:val="21"/>
        </w:rPr>
        <w:t>同时出现两种以上不一致的，按照以上（1）-（4）规定的顺序修正。修正后的报价经投标人确认后产生约束力，投标人不确认的，</w:t>
      </w:r>
      <w:r>
        <w:rPr>
          <w:rFonts w:hint="eastAsia" w:hAnsi="宋体"/>
          <w:b/>
          <w:kern w:val="2"/>
          <w:sz w:val="21"/>
        </w:rPr>
        <w:t>其投标无效</w:t>
      </w:r>
      <w:r>
        <w:rPr>
          <w:rFonts w:hint="eastAsia" w:hAnsi="宋体"/>
          <w:sz w:val="21"/>
        </w:rPr>
        <w:t>。</w:t>
      </w:r>
    </w:p>
    <w:p>
      <w:pPr>
        <w:pStyle w:val="6"/>
        <w:keepNext w:val="0"/>
        <w:keepLines w:val="0"/>
        <w:spacing w:before="0" w:after="0" w:line="360" w:lineRule="auto"/>
        <w:rPr>
          <w:rFonts w:ascii="宋体" w:hAnsi="宋体"/>
          <w:b w:val="0"/>
          <w:sz w:val="21"/>
          <w:szCs w:val="21"/>
        </w:rPr>
      </w:pPr>
      <w:r>
        <w:rPr>
          <w:rFonts w:ascii="宋体" w:hAnsi="宋体"/>
          <w:b w:val="0"/>
          <w:sz w:val="21"/>
          <w:szCs w:val="21"/>
        </w:rPr>
        <w:t xml:space="preserve">    4</w:t>
      </w:r>
      <w:r>
        <w:rPr>
          <w:rFonts w:hint="eastAsia" w:ascii="宋体" w:hAnsi="宋体"/>
          <w:b w:val="0"/>
          <w:sz w:val="21"/>
          <w:szCs w:val="21"/>
        </w:rPr>
        <w:t>.2经投标人确认修正后的报价若超过采购预算金额或者最高限价，</w:t>
      </w:r>
      <w:r>
        <w:rPr>
          <w:rFonts w:hint="eastAsia" w:ascii="宋体" w:hAnsi="宋体"/>
          <w:sz w:val="21"/>
          <w:szCs w:val="21"/>
        </w:rPr>
        <w:t>投标人的投标文件按无效投标处理</w:t>
      </w:r>
      <w:r>
        <w:rPr>
          <w:rFonts w:hint="eastAsia" w:ascii="宋体" w:hAnsi="宋体"/>
          <w:b w:val="0"/>
          <w:sz w:val="21"/>
          <w:szCs w:val="21"/>
        </w:rPr>
        <w:t>。</w:t>
      </w:r>
    </w:p>
    <w:p>
      <w:pPr>
        <w:snapToGrid w:val="0"/>
        <w:spacing w:line="360" w:lineRule="auto"/>
        <w:ind w:firstLine="420" w:firstLineChars="200"/>
        <w:rPr>
          <w:rFonts w:ascii="宋体" w:hAnsi="宋体"/>
          <w:szCs w:val="21"/>
        </w:rPr>
      </w:pPr>
      <w:r>
        <w:rPr>
          <w:rFonts w:ascii="宋体" w:hAnsi="宋体"/>
          <w:szCs w:val="21"/>
        </w:rPr>
        <w:t>4</w:t>
      </w:r>
      <w:r>
        <w:rPr>
          <w:rFonts w:hint="eastAsia" w:ascii="宋体" w:hAnsi="宋体"/>
          <w:szCs w:val="21"/>
        </w:rPr>
        <w:t>.3经投标人确认修正后的报价作为签订合同的依据，并以此报价计算价格分。</w:t>
      </w:r>
    </w:p>
    <w:p>
      <w:pPr>
        <w:pStyle w:val="6"/>
        <w:keepNext w:val="0"/>
        <w:keepLines w:val="0"/>
        <w:spacing w:before="0" w:after="0" w:line="360" w:lineRule="auto"/>
        <w:ind w:left="420" w:leftChars="200"/>
        <w:rPr>
          <w:rFonts w:ascii="宋体" w:hAnsi="宋体"/>
          <w:sz w:val="21"/>
          <w:szCs w:val="21"/>
        </w:rPr>
      </w:pPr>
      <w:r>
        <w:rPr>
          <w:rFonts w:ascii="宋体" w:hAnsi="宋体"/>
          <w:sz w:val="21"/>
          <w:szCs w:val="21"/>
        </w:rPr>
        <w:t>5.</w:t>
      </w:r>
      <w:r>
        <w:rPr>
          <w:rFonts w:hint="eastAsia" w:ascii="宋体" w:hAnsi="宋体"/>
          <w:sz w:val="21"/>
          <w:szCs w:val="21"/>
        </w:rPr>
        <w:t>比较与评价</w:t>
      </w:r>
    </w:p>
    <w:p>
      <w:pPr>
        <w:pStyle w:val="26"/>
        <w:snapToGrid w:val="0"/>
        <w:spacing w:line="360" w:lineRule="auto"/>
        <w:ind w:firstLine="420" w:firstLineChars="200"/>
        <w:rPr>
          <w:rFonts w:hAnsi="宋体"/>
          <w:sz w:val="21"/>
        </w:rPr>
      </w:pPr>
      <w:r>
        <w:rPr>
          <w:rFonts w:hint="eastAsia" w:hAnsi="宋体"/>
          <w:sz w:val="21"/>
        </w:rPr>
        <w:t>（1）评标委员会按照招标文件中规定的评标方法和评标标准，对符合性审查合格的投标文件进行商务和技术评估，综合比较与评价。</w:t>
      </w:r>
    </w:p>
    <w:p>
      <w:pPr>
        <w:pStyle w:val="26"/>
        <w:snapToGrid w:val="0"/>
        <w:spacing w:line="360" w:lineRule="auto"/>
        <w:ind w:firstLine="420" w:firstLineChars="200"/>
        <w:rPr>
          <w:rFonts w:hAnsi="宋体"/>
          <w:sz w:val="21"/>
        </w:rPr>
      </w:pPr>
      <w:r>
        <w:rPr>
          <w:rFonts w:hint="eastAsia" w:hAnsi="宋体"/>
          <w:sz w:val="21"/>
        </w:rPr>
        <w:t>（2）评标委员会独立对每个投标人的投标文件进行评价，并汇总每个投标人的得分。</w:t>
      </w:r>
    </w:p>
    <w:p>
      <w:pPr>
        <w:pStyle w:val="26"/>
        <w:snapToGrid w:val="0"/>
        <w:spacing w:line="360" w:lineRule="auto"/>
        <w:ind w:firstLine="420" w:firstLineChars="200"/>
        <w:rPr>
          <w:rFonts w:hAnsi="宋体"/>
          <w:sz w:val="21"/>
        </w:rPr>
      </w:pPr>
      <w:r>
        <w:rPr>
          <w:rFonts w:hint="eastAsia" w:hAnsi="宋体"/>
          <w:sz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r>
        <w:rPr>
          <w:rFonts w:hint="eastAsia" w:hAnsi="宋体"/>
          <w:b/>
          <w:kern w:val="2"/>
          <w:sz w:val="21"/>
        </w:rPr>
        <w:t>评标委员会将其作为无效投标处理</w:t>
      </w:r>
      <w:r>
        <w:rPr>
          <w:rFonts w:hint="eastAsia" w:hAnsi="宋体"/>
          <w:sz w:val="21"/>
        </w:rPr>
        <w:t>。</w:t>
      </w:r>
    </w:p>
    <w:p>
      <w:pPr>
        <w:pStyle w:val="26"/>
        <w:snapToGrid w:val="0"/>
        <w:spacing w:line="360" w:lineRule="auto"/>
        <w:ind w:firstLine="420" w:firstLineChars="200"/>
        <w:rPr>
          <w:rFonts w:hAnsi="宋体"/>
          <w:sz w:val="21"/>
        </w:rPr>
      </w:pPr>
      <w:r>
        <w:rPr>
          <w:rFonts w:hint="eastAsia" w:hAnsi="宋体"/>
          <w:sz w:val="21"/>
        </w:rPr>
        <w:t>（3）评标委员会按照招标文件中规定的评标方法和标准计算各投标人的报价得分。在计算过程中，不得去掉最高报价或者最低报价。</w:t>
      </w:r>
    </w:p>
    <w:p>
      <w:pPr>
        <w:pStyle w:val="26"/>
        <w:snapToGrid w:val="0"/>
        <w:spacing w:line="360" w:lineRule="auto"/>
        <w:ind w:firstLine="420" w:firstLineChars="200"/>
        <w:rPr>
          <w:rFonts w:hAnsi="宋体"/>
          <w:sz w:val="21"/>
        </w:rPr>
      </w:pPr>
      <w:r>
        <w:rPr>
          <w:rFonts w:hint="eastAsia" w:hAnsi="宋体"/>
          <w:sz w:val="21"/>
        </w:rPr>
        <w:t>（4）各投标人的得分为所有评委的有效评分的算术平均数。</w:t>
      </w:r>
    </w:p>
    <w:p>
      <w:pPr>
        <w:pStyle w:val="26"/>
        <w:snapToGrid w:val="0"/>
        <w:spacing w:line="360" w:lineRule="auto"/>
        <w:ind w:firstLine="420" w:firstLineChars="200"/>
        <w:rPr>
          <w:rFonts w:hAnsi="宋体"/>
          <w:sz w:val="21"/>
        </w:rPr>
      </w:pPr>
      <w:r>
        <w:rPr>
          <w:rFonts w:hint="eastAsia" w:hAnsi="宋体"/>
          <w:sz w:val="21"/>
        </w:rPr>
        <w:t>（5）评标委员会按照招标文件中的规定推荐中标候选人。</w:t>
      </w:r>
    </w:p>
    <w:p>
      <w:pPr>
        <w:pStyle w:val="26"/>
        <w:snapToGrid w:val="0"/>
        <w:spacing w:line="360" w:lineRule="auto"/>
        <w:ind w:firstLine="420" w:firstLineChars="200"/>
        <w:rPr>
          <w:rFonts w:hAnsi="宋体"/>
          <w:sz w:val="21"/>
        </w:rPr>
      </w:pPr>
      <w:r>
        <w:rPr>
          <w:rFonts w:hint="eastAsia" w:hAnsi="宋体"/>
          <w:sz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w:t>
      </w:r>
      <w:r>
        <w:rPr>
          <w:rFonts w:hint="eastAsia"/>
        </w:rPr>
        <w:t>评标委员会成员</w:t>
      </w:r>
      <w:r>
        <w:rPr>
          <w:rFonts w:hint="eastAsia" w:hAnsi="宋体"/>
          <w:sz w:val="21"/>
        </w:rPr>
        <w:t>应当在评标报告上签署不同意见及理由，否则视为同意评标报告。</w:t>
      </w:r>
    </w:p>
    <w:p>
      <w:pPr>
        <w:pStyle w:val="6"/>
        <w:keepNext w:val="0"/>
        <w:keepLines w:val="0"/>
        <w:spacing w:before="0" w:after="0" w:line="240" w:lineRule="auto"/>
        <w:ind w:left="420" w:leftChars="200"/>
        <w:rPr>
          <w:rFonts w:ascii="宋体" w:hAnsi="宋体"/>
          <w:b w:val="0"/>
          <w:sz w:val="21"/>
          <w:szCs w:val="21"/>
        </w:rPr>
      </w:pPr>
    </w:p>
    <w:p>
      <w:pPr>
        <w:pStyle w:val="4"/>
        <w:keepNext w:val="0"/>
        <w:keepLines w:val="0"/>
        <w:numPr>
          <w:ilvl w:val="0"/>
          <w:numId w:val="10"/>
        </w:numPr>
        <w:jc w:val="center"/>
      </w:pPr>
      <w:r>
        <w:rPr>
          <w:rFonts w:hAnsi="宋体"/>
        </w:rPr>
        <w:br w:type="page"/>
      </w:r>
      <w:r>
        <w:rPr>
          <w:rFonts w:hint="eastAsia"/>
        </w:rPr>
        <w:t>评标标准</w:t>
      </w:r>
    </w:p>
    <w:p>
      <w:pPr>
        <w:pStyle w:val="4"/>
        <w:keepNext w:val="0"/>
        <w:keepLines w:val="0"/>
        <w:jc w:val="center"/>
      </w:pPr>
      <w:r>
        <w:rPr>
          <w:rFonts w:hint="eastAsia"/>
        </w:rPr>
        <w:t>（一）综合评分法</w:t>
      </w:r>
    </w:p>
    <w:p>
      <w:pPr>
        <w:pStyle w:val="26"/>
        <w:spacing w:line="360" w:lineRule="auto"/>
        <w:ind w:firstLine="420"/>
        <w:rPr>
          <w:rFonts w:hAnsi="宋体"/>
          <w:bCs/>
          <w:sz w:val="21"/>
        </w:rPr>
      </w:pPr>
      <w:bookmarkStart w:id="508" w:name="_Hlk128667751"/>
      <w:r>
        <w:rPr>
          <w:rFonts w:hint="eastAsia" w:hAnsi="宋体"/>
          <w:bCs/>
          <w:sz w:val="21"/>
        </w:rPr>
        <w:t>注：计分方法按四舍五入取至百分位。</w:t>
      </w:r>
      <w:bookmarkEnd w:id="508"/>
    </w:p>
    <w:tbl>
      <w:tblPr>
        <w:tblStyle w:val="48"/>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299"/>
        <w:gridCol w:w="1289"/>
        <w:gridCol w:w="6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3" w:type="dxa"/>
            <w:vAlign w:val="center"/>
          </w:tcPr>
          <w:p>
            <w:pPr>
              <w:pStyle w:val="26"/>
              <w:spacing w:line="360" w:lineRule="auto"/>
              <w:jc w:val="center"/>
              <w:rPr>
                <w:rFonts w:hAnsi="宋体"/>
                <w:sz w:val="21"/>
              </w:rPr>
            </w:pPr>
            <w:r>
              <w:rPr>
                <w:rFonts w:hint="eastAsia" w:hAnsi="宋体"/>
                <w:sz w:val="21"/>
              </w:rPr>
              <w:t>序号</w:t>
            </w:r>
          </w:p>
        </w:tc>
        <w:tc>
          <w:tcPr>
            <w:tcW w:w="1299" w:type="dxa"/>
            <w:vAlign w:val="center"/>
          </w:tcPr>
          <w:p>
            <w:pPr>
              <w:pStyle w:val="26"/>
              <w:spacing w:line="360" w:lineRule="auto"/>
              <w:jc w:val="center"/>
              <w:rPr>
                <w:rFonts w:hAnsi="宋体"/>
                <w:sz w:val="21"/>
              </w:rPr>
            </w:pPr>
            <w:r>
              <w:rPr>
                <w:rFonts w:hint="eastAsia" w:hAnsi="宋体"/>
                <w:sz w:val="21"/>
              </w:rPr>
              <w:t>分数</w:t>
            </w:r>
          </w:p>
        </w:tc>
        <w:tc>
          <w:tcPr>
            <w:tcW w:w="1289" w:type="dxa"/>
            <w:vAlign w:val="center"/>
          </w:tcPr>
          <w:p>
            <w:pPr>
              <w:pStyle w:val="26"/>
              <w:spacing w:line="360" w:lineRule="auto"/>
              <w:jc w:val="center"/>
              <w:rPr>
                <w:rFonts w:hAnsi="宋体"/>
                <w:sz w:val="21"/>
              </w:rPr>
            </w:pPr>
            <w:r>
              <w:rPr>
                <w:rFonts w:hint="eastAsia" w:hAnsi="宋体"/>
                <w:sz w:val="21"/>
              </w:rPr>
              <w:t>评审因素</w:t>
            </w:r>
          </w:p>
        </w:tc>
        <w:tc>
          <w:tcPr>
            <w:tcW w:w="6029" w:type="dxa"/>
            <w:vAlign w:val="center"/>
          </w:tcPr>
          <w:p>
            <w:pPr>
              <w:pStyle w:val="26"/>
              <w:spacing w:line="360" w:lineRule="auto"/>
              <w:ind w:firstLine="420" w:firstLineChars="200"/>
              <w:jc w:val="center"/>
              <w:rPr>
                <w:rFonts w:hAnsi="宋体"/>
                <w:sz w:val="21"/>
              </w:rPr>
            </w:pPr>
            <w:r>
              <w:rPr>
                <w:rFonts w:hint="eastAsia" w:hAnsi="宋体"/>
                <w:sz w:val="21"/>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vAlign w:val="center"/>
          </w:tcPr>
          <w:p>
            <w:pPr>
              <w:pStyle w:val="26"/>
              <w:spacing w:line="360" w:lineRule="auto"/>
              <w:ind w:firstLine="420" w:firstLineChars="200"/>
              <w:rPr>
                <w:rFonts w:hAnsi="宋体"/>
                <w:sz w:val="21"/>
              </w:rPr>
            </w:pPr>
            <w:r>
              <w:rPr>
                <w:rFonts w:hint="eastAsia" w:hAnsi="宋体"/>
                <w:sz w:val="21"/>
              </w:rPr>
              <w:t>1</w:t>
            </w:r>
          </w:p>
        </w:tc>
        <w:tc>
          <w:tcPr>
            <w:tcW w:w="1299" w:type="dxa"/>
            <w:vAlign w:val="center"/>
          </w:tcPr>
          <w:p>
            <w:pPr>
              <w:pStyle w:val="26"/>
              <w:spacing w:line="360" w:lineRule="auto"/>
              <w:jc w:val="center"/>
              <w:rPr>
                <w:rFonts w:hAnsi="宋体"/>
                <w:sz w:val="21"/>
              </w:rPr>
            </w:pPr>
            <w:r>
              <w:rPr>
                <w:rFonts w:hint="eastAsia" w:hAnsi="宋体"/>
                <w:sz w:val="21"/>
              </w:rPr>
              <w:t>价格分（满分 20分）</w:t>
            </w:r>
          </w:p>
        </w:tc>
        <w:tc>
          <w:tcPr>
            <w:tcW w:w="1289" w:type="dxa"/>
            <w:vAlign w:val="center"/>
          </w:tcPr>
          <w:p>
            <w:pPr>
              <w:pStyle w:val="26"/>
              <w:spacing w:line="360" w:lineRule="auto"/>
              <w:jc w:val="center"/>
              <w:rPr>
                <w:rFonts w:hAnsi="宋体"/>
                <w:sz w:val="21"/>
              </w:rPr>
            </w:pPr>
            <w:r>
              <w:rPr>
                <w:rFonts w:hint="eastAsia" w:hAnsi="宋体"/>
                <w:sz w:val="21"/>
              </w:rPr>
              <w:t>投标报价</w:t>
            </w:r>
          </w:p>
        </w:tc>
        <w:tc>
          <w:tcPr>
            <w:tcW w:w="6029" w:type="dxa"/>
            <w:vAlign w:val="center"/>
          </w:tcPr>
          <w:p>
            <w:pPr>
              <w:pStyle w:val="26"/>
              <w:spacing w:line="360" w:lineRule="auto"/>
              <w:ind w:firstLine="420" w:firstLineChars="200"/>
              <w:rPr>
                <w:rFonts w:hAnsi="宋体"/>
                <w:sz w:val="21"/>
              </w:rPr>
            </w:pPr>
            <w:r>
              <w:rPr>
                <w:rFonts w:hint="eastAsia" w:hAnsi="宋体"/>
                <w:sz w:val="21"/>
              </w:rPr>
              <w:t>（1）评标报价为投标供应商的投标报价进行政策性扣除后的价格，评标报价只是作为评标时使用。最终中标供应商的中标金额等于投标报价。</w:t>
            </w:r>
          </w:p>
          <w:p>
            <w:pPr>
              <w:pStyle w:val="26"/>
              <w:spacing w:line="360" w:lineRule="auto"/>
              <w:ind w:firstLine="420" w:firstLineChars="200"/>
              <w:rPr>
                <w:rFonts w:hAnsi="宋体"/>
                <w:sz w:val="21"/>
              </w:rPr>
            </w:pPr>
            <w:r>
              <w:rPr>
                <w:rFonts w:hint="eastAsia" w:hAnsi="宋体"/>
                <w:sz w:val="21"/>
              </w:rPr>
              <w:t>（2）按照《政府采购促进中小企业发展管理办法》（财库〔2020〕46号）及关于进一步加大政府采购支持中小企业力度的通知（财库〔2022〕19号）的规定，投标供应商在其投标文件中提供《中小企业声明函》，且其服务为小型和微型企业承接的，对其最后报价给予10%的扣除。</w:t>
            </w:r>
          </w:p>
          <w:p>
            <w:pPr>
              <w:pStyle w:val="26"/>
              <w:spacing w:line="360" w:lineRule="auto"/>
              <w:ind w:firstLine="420" w:firstLineChars="200"/>
              <w:rPr>
                <w:rFonts w:hAnsi="宋体"/>
                <w:sz w:val="21"/>
              </w:rPr>
            </w:pPr>
            <w:r>
              <w:rPr>
                <w:rFonts w:hint="eastAsia" w:hAnsi="宋体"/>
                <w:sz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pStyle w:val="26"/>
              <w:spacing w:line="360" w:lineRule="auto"/>
              <w:ind w:firstLine="420" w:firstLineChars="200"/>
              <w:rPr>
                <w:rFonts w:hAnsi="宋体"/>
                <w:sz w:val="21"/>
              </w:rPr>
            </w:pPr>
            <w:r>
              <w:rPr>
                <w:rFonts w:hint="eastAsia" w:hAnsi="宋体"/>
                <w:sz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pStyle w:val="26"/>
              <w:spacing w:line="360" w:lineRule="auto"/>
              <w:ind w:firstLine="420" w:firstLineChars="200"/>
              <w:rPr>
                <w:rFonts w:hAnsi="宋体"/>
                <w:sz w:val="21"/>
              </w:rPr>
            </w:pPr>
            <w:r>
              <w:rPr>
                <w:rFonts w:hint="eastAsia" w:hAnsi="宋体"/>
                <w:sz w:val="21"/>
              </w:rPr>
              <w:t>（5）政策性扣除计算方法。</w:t>
            </w:r>
          </w:p>
          <w:p>
            <w:pPr>
              <w:pStyle w:val="26"/>
              <w:spacing w:line="360" w:lineRule="auto"/>
              <w:ind w:firstLine="420" w:firstLineChars="200"/>
              <w:rPr>
                <w:rFonts w:hAnsi="宋体"/>
                <w:sz w:val="21"/>
              </w:rPr>
            </w:pPr>
            <w:r>
              <w:rPr>
                <w:rFonts w:hint="eastAsia" w:hAnsi="宋体"/>
                <w:sz w:val="21"/>
              </w:rPr>
              <w:t>在服务采购项目中，服务由小微企业承接；对符合上述要求的投标供应商的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6%的扣除，用扣除后的价格参加评审，扣除后的价格为评标报价，即评标报价=投标报价×（1-6%）。除上述情况外，评标报价=投标报价。</w:t>
            </w:r>
          </w:p>
          <w:p>
            <w:pPr>
              <w:pStyle w:val="26"/>
              <w:spacing w:line="360" w:lineRule="auto"/>
              <w:ind w:firstLine="420" w:firstLineChars="200"/>
              <w:rPr>
                <w:rFonts w:hAnsi="宋体"/>
                <w:sz w:val="21"/>
              </w:rPr>
            </w:pPr>
            <w:r>
              <w:rPr>
                <w:rFonts w:hint="eastAsia" w:hAnsi="宋体"/>
                <w:sz w:val="21"/>
              </w:rPr>
              <w:t>（6）满足招标文件要求且评标报价最低的评标报价为评标基准价，其价格分为满分。</w:t>
            </w:r>
          </w:p>
          <w:p>
            <w:pPr>
              <w:pStyle w:val="26"/>
              <w:spacing w:line="360" w:lineRule="auto"/>
              <w:ind w:firstLine="420" w:firstLineChars="200"/>
              <w:rPr>
                <w:rFonts w:hAnsi="宋体"/>
                <w:sz w:val="21"/>
              </w:rPr>
            </w:pPr>
            <w:r>
              <w:rPr>
                <w:rFonts w:hint="eastAsia" w:hAnsi="宋体"/>
                <w:sz w:val="21"/>
              </w:rPr>
              <w:t>（7）价格分计算公式：</w:t>
            </w:r>
          </w:p>
          <w:p>
            <w:pPr>
              <w:pStyle w:val="26"/>
              <w:spacing w:line="360" w:lineRule="auto"/>
              <w:ind w:firstLine="420" w:firstLineChars="200"/>
              <w:rPr>
                <w:rFonts w:hAnsi="宋体"/>
                <w:sz w:val="21"/>
              </w:rPr>
            </w:pPr>
            <w:r>
              <w:rPr>
                <w:rFonts w:hint="eastAsia" w:hAnsi="宋体"/>
                <w:sz w:val="21"/>
              </w:rPr>
              <w:t>价格分=(评标基准价／评标报价) × 20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3" w:type="dxa"/>
            <w:vMerge w:val="restart"/>
            <w:vAlign w:val="center"/>
          </w:tcPr>
          <w:p>
            <w:pPr>
              <w:pStyle w:val="26"/>
              <w:spacing w:line="360" w:lineRule="auto"/>
              <w:ind w:firstLine="420" w:firstLineChars="200"/>
              <w:rPr>
                <w:rFonts w:hAnsi="宋体"/>
                <w:sz w:val="21"/>
              </w:rPr>
            </w:pPr>
            <w:r>
              <w:rPr>
                <w:rFonts w:hint="eastAsia" w:hAnsi="宋体"/>
                <w:sz w:val="21"/>
              </w:rPr>
              <w:t>2</w:t>
            </w:r>
          </w:p>
        </w:tc>
        <w:tc>
          <w:tcPr>
            <w:tcW w:w="1299" w:type="dxa"/>
            <w:vMerge w:val="restart"/>
            <w:vAlign w:val="center"/>
          </w:tcPr>
          <w:p>
            <w:pPr>
              <w:pStyle w:val="26"/>
              <w:spacing w:line="360" w:lineRule="auto"/>
              <w:jc w:val="center"/>
              <w:rPr>
                <w:rFonts w:hAnsi="宋体"/>
                <w:sz w:val="21"/>
              </w:rPr>
            </w:pPr>
            <w:r>
              <w:rPr>
                <w:rFonts w:hint="eastAsia" w:hAnsi="宋体"/>
                <w:sz w:val="21"/>
              </w:rPr>
              <w:t>技术分（满分 52 分）</w:t>
            </w:r>
          </w:p>
        </w:tc>
        <w:tc>
          <w:tcPr>
            <w:tcW w:w="1289" w:type="dxa"/>
            <w:vAlign w:val="center"/>
          </w:tcPr>
          <w:p>
            <w:pPr>
              <w:pStyle w:val="26"/>
              <w:spacing w:line="360" w:lineRule="auto"/>
              <w:jc w:val="center"/>
              <w:rPr>
                <w:rFonts w:hAnsi="宋体"/>
                <w:sz w:val="21"/>
              </w:rPr>
            </w:pPr>
            <w:r>
              <w:rPr>
                <w:rFonts w:hint="eastAsia" w:hAnsi="宋体"/>
                <w:sz w:val="21"/>
              </w:rPr>
              <w:t>项目运维服务方案（满分20分）</w:t>
            </w:r>
          </w:p>
        </w:tc>
        <w:tc>
          <w:tcPr>
            <w:tcW w:w="6029" w:type="dxa"/>
            <w:vAlign w:val="center"/>
          </w:tcPr>
          <w:p>
            <w:pPr>
              <w:pStyle w:val="26"/>
              <w:spacing w:line="360" w:lineRule="auto"/>
              <w:ind w:firstLine="420" w:firstLineChars="200"/>
              <w:rPr>
                <w:rFonts w:hAnsi="宋体"/>
                <w:sz w:val="21"/>
              </w:rPr>
            </w:pPr>
            <w:r>
              <w:rPr>
                <w:rFonts w:hint="eastAsia" w:hAnsi="宋体"/>
                <w:sz w:val="21"/>
              </w:rPr>
              <w:t>评委根据投标供应商在投标文件中提供的项目运维服务方案划分档次后，在相应档次内独立打分。未提供运维服务方案或所提供的运维服务方案不符合以下档次要求的，不予进档评分。</w:t>
            </w:r>
          </w:p>
          <w:p>
            <w:pPr>
              <w:pStyle w:val="26"/>
              <w:spacing w:line="360" w:lineRule="auto"/>
              <w:ind w:firstLine="420" w:firstLineChars="200"/>
              <w:rPr>
                <w:rFonts w:hAnsi="宋体"/>
                <w:sz w:val="21"/>
              </w:rPr>
            </w:pPr>
            <w:r>
              <w:rPr>
                <w:rFonts w:hint="eastAsia" w:hAnsi="宋体"/>
                <w:sz w:val="21"/>
              </w:rPr>
              <w:t>一档（5分）：投标供应商提供简单项目运维实施方案，提供项目组织管理机构图、运维服务流程和运维服务计划方案，无明显错误。</w:t>
            </w:r>
          </w:p>
          <w:p>
            <w:pPr>
              <w:pStyle w:val="26"/>
              <w:spacing w:line="360" w:lineRule="auto"/>
              <w:ind w:firstLine="420" w:firstLineChars="200"/>
              <w:rPr>
                <w:rFonts w:hAnsi="宋体"/>
                <w:sz w:val="21"/>
              </w:rPr>
            </w:pPr>
            <w:r>
              <w:rPr>
                <w:rFonts w:hint="eastAsia" w:hAnsi="宋体"/>
                <w:sz w:val="21"/>
              </w:rPr>
              <w:t>二档（10分）：投标供应商提供的项目运维实施方案，提供具体的项目组织管理机构图、运维服务流程和运维服务计划方案，能够详细说明各运维工作内容，有明确的相关运维岗位人员，进行详细分析描述。</w:t>
            </w:r>
          </w:p>
          <w:p>
            <w:pPr>
              <w:pStyle w:val="26"/>
              <w:spacing w:line="360" w:lineRule="auto"/>
              <w:ind w:firstLine="420" w:firstLineChars="200"/>
              <w:rPr>
                <w:rFonts w:hAnsi="宋体"/>
                <w:sz w:val="21"/>
              </w:rPr>
            </w:pPr>
            <w:r>
              <w:rPr>
                <w:rFonts w:hint="eastAsia" w:hAnsi="宋体"/>
                <w:sz w:val="21"/>
              </w:rPr>
              <w:t>三档（15分）：投标供应商提供的项目运维实施方案在满足二档的基础上，有针对性的提供科学的运维服务管理体系、运维服务方案，可操作性强。</w:t>
            </w:r>
          </w:p>
          <w:p>
            <w:pPr>
              <w:pStyle w:val="26"/>
              <w:spacing w:line="360" w:lineRule="auto"/>
              <w:ind w:firstLine="420" w:firstLineChars="200"/>
              <w:rPr>
                <w:rFonts w:hAnsi="宋体"/>
                <w:sz w:val="21"/>
              </w:rPr>
            </w:pPr>
            <w:r>
              <w:rPr>
                <w:rFonts w:hint="eastAsia" w:hAnsi="宋体"/>
                <w:sz w:val="21"/>
              </w:rPr>
              <w:t>四档（20分）：投标供应商提供的项目运维实施方案在满足三档的基础上，有新技术或手段对项目运维进行技术保障支撑。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8" w:hRule="atLeast"/>
          <w:jc w:val="center"/>
        </w:trPr>
        <w:tc>
          <w:tcPr>
            <w:tcW w:w="833" w:type="dxa"/>
            <w:vMerge w:val="continue"/>
            <w:vAlign w:val="center"/>
          </w:tcPr>
          <w:p>
            <w:pPr>
              <w:pStyle w:val="26"/>
              <w:spacing w:line="360" w:lineRule="auto"/>
              <w:ind w:firstLine="420" w:firstLineChars="200"/>
              <w:rPr>
                <w:rFonts w:hAnsi="宋体"/>
                <w:sz w:val="21"/>
              </w:rPr>
            </w:pPr>
          </w:p>
        </w:tc>
        <w:tc>
          <w:tcPr>
            <w:tcW w:w="1299" w:type="dxa"/>
            <w:vMerge w:val="continue"/>
            <w:vAlign w:val="center"/>
          </w:tcPr>
          <w:p>
            <w:pPr>
              <w:pStyle w:val="26"/>
              <w:spacing w:line="360" w:lineRule="auto"/>
              <w:ind w:firstLine="420" w:firstLineChars="200"/>
              <w:rPr>
                <w:rFonts w:hAnsi="宋体"/>
                <w:sz w:val="21"/>
              </w:rPr>
            </w:pPr>
          </w:p>
        </w:tc>
        <w:tc>
          <w:tcPr>
            <w:tcW w:w="1289" w:type="dxa"/>
            <w:vAlign w:val="center"/>
          </w:tcPr>
          <w:p>
            <w:pPr>
              <w:pStyle w:val="26"/>
              <w:spacing w:line="360" w:lineRule="auto"/>
              <w:jc w:val="center"/>
              <w:rPr>
                <w:rFonts w:hAnsi="宋体"/>
                <w:sz w:val="21"/>
              </w:rPr>
            </w:pPr>
            <w:r>
              <w:rPr>
                <w:rFonts w:hint="eastAsia" w:hAnsi="宋体"/>
                <w:sz w:val="21"/>
              </w:rPr>
              <w:t>安全保障服务方案（18分）</w:t>
            </w:r>
          </w:p>
        </w:tc>
        <w:tc>
          <w:tcPr>
            <w:tcW w:w="6029" w:type="dxa"/>
            <w:vAlign w:val="center"/>
          </w:tcPr>
          <w:p>
            <w:pPr>
              <w:pStyle w:val="26"/>
              <w:spacing w:line="360" w:lineRule="auto"/>
              <w:ind w:firstLine="420" w:firstLineChars="200"/>
              <w:rPr>
                <w:rFonts w:hAnsi="宋体"/>
                <w:sz w:val="21"/>
              </w:rPr>
            </w:pPr>
            <w:r>
              <w:rPr>
                <w:rFonts w:hint="eastAsia" w:hAnsi="宋体"/>
                <w:sz w:val="21"/>
              </w:rPr>
              <w:t>评委根据投标供应商在投标文件中提供的项目安全保障服务方案中安全保障内容的优劣情况确定各投标供应商所属档次，在相应档次内独立打分。未提供安全保障服务方案或所提供的安全保障服务方案不符合以下档次要求的，不予进档评分。</w:t>
            </w:r>
          </w:p>
          <w:p>
            <w:pPr>
              <w:pStyle w:val="26"/>
              <w:spacing w:line="360" w:lineRule="auto"/>
              <w:ind w:firstLine="420" w:firstLineChars="200"/>
              <w:rPr>
                <w:rFonts w:hAnsi="宋体"/>
                <w:sz w:val="21"/>
              </w:rPr>
            </w:pPr>
            <w:r>
              <w:rPr>
                <w:rFonts w:hint="eastAsia" w:hAnsi="宋体"/>
                <w:sz w:val="21"/>
              </w:rPr>
              <w:t>一档（6分）：投标供应商针对本项目提供简单的安全保障服务方案，考虑不全面，日常安全和应急处置机制较简单。</w:t>
            </w:r>
          </w:p>
          <w:p>
            <w:pPr>
              <w:pStyle w:val="26"/>
              <w:spacing w:line="360" w:lineRule="auto"/>
              <w:ind w:firstLine="420" w:firstLineChars="200"/>
              <w:rPr>
                <w:rFonts w:hAnsi="宋体"/>
                <w:sz w:val="21"/>
              </w:rPr>
            </w:pPr>
            <w:r>
              <w:rPr>
                <w:rFonts w:hint="eastAsia" w:hAnsi="宋体"/>
                <w:sz w:val="21"/>
              </w:rPr>
              <w:t>二档（12分）：投标供应商针对本项目提供的安全保障方案完善，组建有专业的安全团队，有完善的日常安全和应急处置机制，可操作性强。</w:t>
            </w:r>
          </w:p>
          <w:p>
            <w:pPr>
              <w:pStyle w:val="26"/>
              <w:spacing w:line="360" w:lineRule="auto"/>
              <w:ind w:firstLine="420" w:firstLineChars="200"/>
              <w:rPr>
                <w:rFonts w:hAnsi="宋体"/>
                <w:sz w:val="21"/>
              </w:rPr>
            </w:pPr>
            <w:r>
              <w:rPr>
                <w:rFonts w:hint="eastAsia" w:hAnsi="宋体"/>
                <w:sz w:val="21"/>
              </w:rPr>
              <w:t>三档（18分）：投标供应商针对本项目提供的安全保障方案完善，组建有专业的安全团队，有完善的日常安全和应急处置机制，可操作性强。有新技术或手段对安全进行技术保障支撑。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33" w:type="dxa"/>
            <w:vMerge w:val="continue"/>
            <w:vAlign w:val="center"/>
          </w:tcPr>
          <w:p>
            <w:pPr>
              <w:pStyle w:val="26"/>
              <w:spacing w:line="360" w:lineRule="auto"/>
              <w:ind w:firstLine="420" w:firstLineChars="200"/>
              <w:rPr>
                <w:rFonts w:hAnsi="宋体"/>
                <w:sz w:val="21"/>
              </w:rPr>
            </w:pPr>
          </w:p>
        </w:tc>
        <w:tc>
          <w:tcPr>
            <w:tcW w:w="1299" w:type="dxa"/>
            <w:vMerge w:val="continue"/>
            <w:vAlign w:val="center"/>
          </w:tcPr>
          <w:p>
            <w:pPr>
              <w:pStyle w:val="26"/>
              <w:spacing w:line="360" w:lineRule="auto"/>
              <w:ind w:firstLine="420" w:firstLineChars="200"/>
              <w:rPr>
                <w:rFonts w:hAnsi="宋体"/>
                <w:sz w:val="21"/>
              </w:rPr>
            </w:pPr>
          </w:p>
        </w:tc>
        <w:tc>
          <w:tcPr>
            <w:tcW w:w="1289" w:type="dxa"/>
            <w:vAlign w:val="center"/>
          </w:tcPr>
          <w:p>
            <w:pPr>
              <w:pStyle w:val="26"/>
              <w:spacing w:line="360" w:lineRule="auto"/>
              <w:rPr>
                <w:rFonts w:hAnsi="宋体"/>
                <w:sz w:val="21"/>
              </w:rPr>
            </w:pPr>
            <w:r>
              <w:rPr>
                <w:rFonts w:hint="eastAsia" w:hAnsi="宋体"/>
                <w:sz w:val="21"/>
              </w:rPr>
              <w:t>应急响应方案（满分6分）</w:t>
            </w:r>
          </w:p>
        </w:tc>
        <w:tc>
          <w:tcPr>
            <w:tcW w:w="6029" w:type="dxa"/>
            <w:vAlign w:val="center"/>
          </w:tcPr>
          <w:p>
            <w:pPr>
              <w:pStyle w:val="26"/>
              <w:spacing w:line="360" w:lineRule="auto"/>
              <w:ind w:firstLine="420" w:firstLineChars="200"/>
              <w:rPr>
                <w:rFonts w:hAnsi="宋体"/>
                <w:sz w:val="21"/>
              </w:rPr>
            </w:pPr>
            <w:r>
              <w:rPr>
                <w:rFonts w:hint="eastAsia" w:hAnsi="宋体"/>
                <w:sz w:val="21"/>
              </w:rPr>
              <w:t>评委根据投标供应商在投标文件中提供的应急响应方案中应急响应内容的优劣情况确定各投标供应商所属档次，在相应档次内独立打分。未提供应急响应方案或所提供的应急响应方案不符合以下档次要求的，不予进档评分。</w:t>
            </w:r>
          </w:p>
          <w:p>
            <w:pPr>
              <w:pStyle w:val="26"/>
              <w:spacing w:line="360" w:lineRule="auto"/>
              <w:ind w:firstLine="420" w:firstLineChars="200"/>
              <w:rPr>
                <w:rFonts w:hAnsi="宋体"/>
                <w:sz w:val="21"/>
              </w:rPr>
            </w:pPr>
            <w:r>
              <w:rPr>
                <w:rFonts w:hint="eastAsia" w:hAnsi="宋体"/>
                <w:sz w:val="21"/>
              </w:rPr>
              <w:t>一档（2分）：投标供应商针对本项目提供简单的应急响应方案，考虑不全面，存在不足。</w:t>
            </w:r>
          </w:p>
          <w:p>
            <w:pPr>
              <w:pStyle w:val="26"/>
              <w:spacing w:line="360" w:lineRule="auto"/>
              <w:ind w:firstLine="420" w:firstLineChars="200"/>
              <w:rPr>
                <w:rFonts w:hAnsi="宋体"/>
                <w:sz w:val="21"/>
              </w:rPr>
            </w:pPr>
            <w:r>
              <w:rPr>
                <w:rFonts w:hint="eastAsia" w:hAnsi="宋体"/>
                <w:sz w:val="21"/>
              </w:rPr>
              <w:t>二档（4分）：投标供应商针对本项目提供的应急响应方案和针对提供服务进行服务水平承诺，内容详细合理、有较好的故障处理服务、重大故障应急预案。</w:t>
            </w:r>
          </w:p>
          <w:p>
            <w:pPr>
              <w:pStyle w:val="26"/>
              <w:spacing w:line="360" w:lineRule="auto"/>
              <w:ind w:firstLine="420" w:firstLineChars="200"/>
              <w:rPr>
                <w:rFonts w:hAnsi="宋体"/>
                <w:sz w:val="21"/>
              </w:rPr>
            </w:pPr>
            <w:r>
              <w:rPr>
                <w:rFonts w:hint="eastAsia" w:hAnsi="宋体"/>
                <w:sz w:val="21"/>
              </w:rPr>
              <w:t xml:space="preserve">三档（6分）：投标供应商针对本项目提供的应急响应方案完善，有详细的故障处理服务、重大故障应急预案及措施安排，能提供技术支持服务，具有完备的数据备份、存储、恢复机制。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9" w:hRule="atLeast"/>
          <w:jc w:val="center"/>
        </w:trPr>
        <w:tc>
          <w:tcPr>
            <w:tcW w:w="833" w:type="dxa"/>
            <w:vMerge w:val="continue"/>
            <w:vAlign w:val="center"/>
          </w:tcPr>
          <w:p>
            <w:pPr>
              <w:pStyle w:val="26"/>
              <w:spacing w:line="360" w:lineRule="auto"/>
              <w:ind w:firstLine="420" w:firstLineChars="200"/>
              <w:rPr>
                <w:rFonts w:hAnsi="宋体"/>
                <w:sz w:val="21"/>
              </w:rPr>
            </w:pPr>
          </w:p>
        </w:tc>
        <w:tc>
          <w:tcPr>
            <w:tcW w:w="1299" w:type="dxa"/>
            <w:vMerge w:val="continue"/>
            <w:vAlign w:val="center"/>
          </w:tcPr>
          <w:p>
            <w:pPr>
              <w:pStyle w:val="26"/>
              <w:spacing w:line="360" w:lineRule="auto"/>
              <w:ind w:firstLine="420" w:firstLineChars="200"/>
              <w:rPr>
                <w:rFonts w:hAnsi="宋体"/>
                <w:sz w:val="21"/>
              </w:rPr>
            </w:pPr>
          </w:p>
        </w:tc>
        <w:tc>
          <w:tcPr>
            <w:tcW w:w="1289" w:type="dxa"/>
            <w:vAlign w:val="center"/>
          </w:tcPr>
          <w:p>
            <w:pPr>
              <w:pStyle w:val="26"/>
              <w:spacing w:line="360" w:lineRule="auto"/>
              <w:rPr>
                <w:rFonts w:hAnsi="宋体"/>
                <w:sz w:val="21"/>
              </w:rPr>
            </w:pPr>
            <w:r>
              <w:rPr>
                <w:rFonts w:hint="eastAsia" w:hAnsi="宋体"/>
                <w:sz w:val="21"/>
              </w:rPr>
              <w:t>运维团队管理方案（满分8分）</w:t>
            </w:r>
          </w:p>
        </w:tc>
        <w:tc>
          <w:tcPr>
            <w:tcW w:w="6029" w:type="dxa"/>
            <w:vAlign w:val="center"/>
          </w:tcPr>
          <w:p>
            <w:pPr>
              <w:pStyle w:val="26"/>
              <w:spacing w:line="360" w:lineRule="auto"/>
              <w:ind w:firstLine="420" w:firstLineChars="200"/>
              <w:rPr>
                <w:rFonts w:hAnsi="宋体"/>
                <w:sz w:val="21"/>
              </w:rPr>
            </w:pPr>
            <w:r>
              <w:rPr>
                <w:rFonts w:hint="eastAsia" w:hAnsi="宋体"/>
                <w:sz w:val="21"/>
              </w:rPr>
              <w:t xml:space="preserve">根据投标供应商对项目整体及具体运维事项的理解程度，对运维团队管理方案进行评定，没有运维团队管理方案的，此项不得分，以下各项不重复计分。未提供运维管理团队方案或所提供的运维管理团队方案不符合以下档次要求的，不予进档评分。与采购需求内容基本一致，无针对性的，定为一档。 </w:t>
            </w:r>
          </w:p>
          <w:p>
            <w:pPr>
              <w:pStyle w:val="26"/>
              <w:spacing w:line="360" w:lineRule="auto"/>
              <w:ind w:firstLine="420" w:firstLineChars="200"/>
              <w:rPr>
                <w:rFonts w:hAnsi="宋体"/>
                <w:sz w:val="21"/>
              </w:rPr>
            </w:pPr>
            <w:r>
              <w:rPr>
                <w:rFonts w:hint="eastAsia" w:hAnsi="宋体"/>
                <w:sz w:val="21"/>
              </w:rPr>
              <w:t xml:space="preserve">一档（2分）：提交的运维管理方案基本符合项目要求，方案简单、内容不全面，不具体。 </w:t>
            </w:r>
          </w:p>
          <w:p>
            <w:pPr>
              <w:pStyle w:val="26"/>
              <w:spacing w:line="360" w:lineRule="auto"/>
              <w:ind w:firstLine="420" w:firstLineChars="200"/>
              <w:rPr>
                <w:rFonts w:hAnsi="宋体"/>
                <w:sz w:val="21"/>
              </w:rPr>
            </w:pPr>
            <w:r>
              <w:rPr>
                <w:rFonts w:hint="eastAsia" w:hAnsi="宋体"/>
                <w:sz w:val="21"/>
              </w:rPr>
              <w:t xml:space="preserve">二档（4分）：提交的运维管理方案在满足一档的基础上，较为符合项目要求， 内容较为完善、可行，有运维组织体系，有团队考核方案，可操作性、可行性较强。 </w:t>
            </w:r>
          </w:p>
          <w:p>
            <w:pPr>
              <w:pStyle w:val="26"/>
              <w:spacing w:line="360" w:lineRule="auto"/>
              <w:ind w:firstLine="420" w:firstLineChars="200"/>
              <w:rPr>
                <w:rFonts w:hAnsi="宋体"/>
                <w:sz w:val="21"/>
              </w:rPr>
            </w:pPr>
            <w:r>
              <w:rPr>
                <w:rFonts w:hint="eastAsia" w:hAnsi="宋体"/>
                <w:sz w:val="21"/>
              </w:rPr>
              <w:t>三档（6分）：提交的运维管理方案在满足二档的基础上，符合项目要求，方案详细内容完整、可操作性、可行性强，有完善的运维组织体系、运维管理制度规范、运维工作流程，能保证服务按时按质按量完成，有比较完善的团队（包含驻场人员、项目经理等）考核方案，考核行之有效。</w:t>
            </w:r>
          </w:p>
          <w:p>
            <w:pPr>
              <w:pStyle w:val="26"/>
              <w:spacing w:line="360" w:lineRule="auto"/>
              <w:ind w:firstLine="420" w:firstLineChars="200"/>
              <w:rPr>
                <w:rFonts w:hAnsi="宋体"/>
                <w:sz w:val="21"/>
              </w:rPr>
            </w:pPr>
            <w:r>
              <w:rPr>
                <w:rFonts w:hint="eastAsia" w:hAnsi="宋体"/>
                <w:sz w:val="21"/>
              </w:rPr>
              <w:t>四档（8分）：提交的运维管理方案在满足三档的基础上，设置了针对性强和完善的运维组织体系、运维管理制度规范、运维工作流程，能保证服务按时按质按量完成，有成熟完善，操作性强的团队（包含驻场人员、项目经理等）考核方案，考核方案能充分体现业主单位的意见建议，有奖惩机制，对服务质量、沟通交流能力、工作态度及职业精神等有明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3" w:type="dxa"/>
            <w:vMerge w:val="restart"/>
            <w:vAlign w:val="center"/>
          </w:tcPr>
          <w:p>
            <w:pPr>
              <w:pStyle w:val="26"/>
              <w:spacing w:line="360" w:lineRule="auto"/>
              <w:ind w:firstLine="420" w:firstLineChars="200"/>
              <w:rPr>
                <w:rFonts w:hAnsi="宋体"/>
                <w:sz w:val="21"/>
              </w:rPr>
            </w:pPr>
            <w:r>
              <w:rPr>
                <w:rFonts w:hint="eastAsia" w:hAnsi="宋体"/>
                <w:sz w:val="21"/>
              </w:rPr>
              <w:t>3</w:t>
            </w:r>
          </w:p>
        </w:tc>
        <w:tc>
          <w:tcPr>
            <w:tcW w:w="1299" w:type="dxa"/>
            <w:vMerge w:val="restart"/>
            <w:vAlign w:val="center"/>
          </w:tcPr>
          <w:p>
            <w:pPr>
              <w:pStyle w:val="26"/>
              <w:spacing w:line="360" w:lineRule="auto"/>
              <w:rPr>
                <w:rFonts w:hAnsi="宋体"/>
                <w:sz w:val="21"/>
              </w:rPr>
            </w:pPr>
            <w:r>
              <w:rPr>
                <w:rFonts w:hint="eastAsia" w:hAnsi="宋体"/>
                <w:sz w:val="21"/>
              </w:rPr>
              <w:t>商务分（满分 28 分）</w:t>
            </w:r>
          </w:p>
        </w:tc>
        <w:tc>
          <w:tcPr>
            <w:tcW w:w="1289" w:type="dxa"/>
            <w:vAlign w:val="center"/>
          </w:tcPr>
          <w:p>
            <w:pPr>
              <w:pStyle w:val="26"/>
              <w:spacing w:line="360" w:lineRule="auto"/>
              <w:rPr>
                <w:rFonts w:hAnsi="宋体"/>
                <w:sz w:val="21"/>
              </w:rPr>
            </w:pPr>
            <w:r>
              <w:rPr>
                <w:rFonts w:hint="eastAsia" w:hAnsi="宋体"/>
                <w:sz w:val="21"/>
              </w:rPr>
              <w:t>信誉能力分（满分 6分）</w:t>
            </w:r>
          </w:p>
        </w:tc>
        <w:tc>
          <w:tcPr>
            <w:tcW w:w="6029" w:type="dxa"/>
            <w:vAlign w:val="center"/>
          </w:tcPr>
          <w:p>
            <w:pPr>
              <w:pStyle w:val="26"/>
              <w:spacing w:line="360" w:lineRule="auto"/>
              <w:ind w:firstLine="420" w:firstLineChars="200"/>
              <w:rPr>
                <w:rFonts w:hAnsi="宋体"/>
                <w:sz w:val="21"/>
              </w:rPr>
            </w:pPr>
            <w:r>
              <w:rPr>
                <w:rFonts w:hint="eastAsia" w:hAnsi="宋体"/>
                <w:sz w:val="21"/>
              </w:rPr>
              <w:t>1.投标供应商具备ITSS信息技术服务标准符合性证书（运行维护服务）三级及以上资质的，得2分，满分2分。</w:t>
            </w:r>
          </w:p>
          <w:p>
            <w:pPr>
              <w:pStyle w:val="26"/>
              <w:spacing w:line="360" w:lineRule="auto"/>
              <w:ind w:firstLine="420" w:firstLineChars="200"/>
              <w:rPr>
                <w:rFonts w:hAnsi="宋体"/>
                <w:sz w:val="21"/>
              </w:rPr>
            </w:pPr>
            <w:r>
              <w:rPr>
                <w:rFonts w:hint="eastAsia" w:hAnsi="宋体"/>
                <w:sz w:val="21"/>
              </w:rPr>
              <w:t>2.投标供应商具备ISO/IEC20000-1：2018信息技术服务管理体系认证证书，得2分，满分2分。</w:t>
            </w:r>
          </w:p>
          <w:p>
            <w:pPr>
              <w:pStyle w:val="26"/>
              <w:spacing w:line="360" w:lineRule="auto"/>
              <w:ind w:firstLine="420" w:firstLineChars="200"/>
              <w:rPr>
                <w:rFonts w:hAnsi="宋体"/>
                <w:sz w:val="21"/>
              </w:rPr>
            </w:pPr>
            <w:r>
              <w:rPr>
                <w:rFonts w:hint="eastAsia" w:hAnsi="宋体"/>
                <w:sz w:val="21"/>
              </w:rPr>
              <w:t>3.投标供应商具备ISO/IEC27001：2013信息安全管理体系认证证书，得2分，满分2分。</w:t>
            </w:r>
          </w:p>
          <w:p>
            <w:pPr>
              <w:pStyle w:val="26"/>
              <w:spacing w:line="360" w:lineRule="auto"/>
              <w:ind w:firstLine="420" w:firstLineChars="200"/>
              <w:rPr>
                <w:rFonts w:hAnsi="宋体"/>
                <w:sz w:val="21"/>
              </w:rPr>
            </w:pPr>
            <w:r>
              <w:rPr>
                <w:rFonts w:hint="eastAsia" w:hAnsi="宋体"/>
                <w:sz w:val="21"/>
              </w:rPr>
              <w:t>【提供在有效期内的证书复印件】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3" w:type="dxa"/>
            <w:vMerge w:val="continue"/>
            <w:vAlign w:val="center"/>
          </w:tcPr>
          <w:p>
            <w:pPr>
              <w:pStyle w:val="26"/>
              <w:spacing w:line="360" w:lineRule="auto"/>
              <w:ind w:firstLine="420" w:firstLineChars="200"/>
              <w:rPr>
                <w:rFonts w:hAnsi="宋体"/>
                <w:sz w:val="21"/>
              </w:rPr>
            </w:pPr>
          </w:p>
        </w:tc>
        <w:tc>
          <w:tcPr>
            <w:tcW w:w="1299" w:type="dxa"/>
            <w:vMerge w:val="continue"/>
            <w:vAlign w:val="center"/>
          </w:tcPr>
          <w:p>
            <w:pPr>
              <w:pStyle w:val="26"/>
              <w:spacing w:line="360" w:lineRule="auto"/>
              <w:ind w:firstLine="420" w:firstLineChars="200"/>
              <w:rPr>
                <w:rFonts w:hAnsi="宋体"/>
                <w:sz w:val="21"/>
              </w:rPr>
            </w:pPr>
          </w:p>
        </w:tc>
        <w:tc>
          <w:tcPr>
            <w:tcW w:w="1289" w:type="dxa"/>
            <w:vAlign w:val="center"/>
          </w:tcPr>
          <w:p>
            <w:pPr>
              <w:pStyle w:val="26"/>
              <w:spacing w:line="360" w:lineRule="auto"/>
              <w:rPr>
                <w:rFonts w:hAnsi="宋体"/>
                <w:sz w:val="21"/>
              </w:rPr>
            </w:pPr>
            <w:r>
              <w:rPr>
                <w:rFonts w:hint="eastAsia" w:hAnsi="宋体"/>
                <w:sz w:val="21"/>
              </w:rPr>
              <w:t>业绩（满分 4分）</w:t>
            </w:r>
          </w:p>
        </w:tc>
        <w:tc>
          <w:tcPr>
            <w:tcW w:w="6029" w:type="dxa"/>
            <w:vAlign w:val="center"/>
          </w:tcPr>
          <w:p>
            <w:pPr>
              <w:pStyle w:val="26"/>
              <w:spacing w:line="360" w:lineRule="auto"/>
              <w:ind w:firstLine="420" w:firstLineChars="200"/>
              <w:rPr>
                <w:rFonts w:hAnsi="宋体"/>
                <w:sz w:val="21"/>
              </w:rPr>
            </w:pPr>
            <w:r>
              <w:rPr>
                <w:rFonts w:hint="eastAsia" w:hAnsi="宋体"/>
                <w:sz w:val="21"/>
              </w:rPr>
              <w:t>供应商提供自2021年1月1日以来系统维护类项目业绩的，每个得1分,满分4分【须提供合同或中标通知书复印件，否则不予认可】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3" w:type="dxa"/>
            <w:vMerge w:val="continue"/>
            <w:vAlign w:val="center"/>
          </w:tcPr>
          <w:p>
            <w:pPr>
              <w:pStyle w:val="26"/>
              <w:spacing w:line="360" w:lineRule="auto"/>
              <w:ind w:firstLine="420" w:firstLineChars="200"/>
              <w:rPr>
                <w:rFonts w:hAnsi="宋体"/>
                <w:sz w:val="21"/>
              </w:rPr>
            </w:pPr>
          </w:p>
        </w:tc>
        <w:tc>
          <w:tcPr>
            <w:tcW w:w="1299" w:type="dxa"/>
            <w:vMerge w:val="continue"/>
            <w:vAlign w:val="center"/>
          </w:tcPr>
          <w:p>
            <w:pPr>
              <w:pStyle w:val="26"/>
              <w:spacing w:line="360" w:lineRule="auto"/>
              <w:ind w:firstLine="420" w:firstLineChars="200"/>
              <w:rPr>
                <w:rFonts w:hAnsi="宋体"/>
                <w:sz w:val="21"/>
              </w:rPr>
            </w:pPr>
          </w:p>
        </w:tc>
        <w:tc>
          <w:tcPr>
            <w:tcW w:w="1289" w:type="dxa"/>
            <w:vAlign w:val="center"/>
          </w:tcPr>
          <w:p>
            <w:pPr>
              <w:pStyle w:val="26"/>
              <w:spacing w:line="360" w:lineRule="auto"/>
              <w:rPr>
                <w:rFonts w:hAnsi="宋体"/>
                <w:sz w:val="21"/>
              </w:rPr>
            </w:pPr>
            <w:r>
              <w:rPr>
                <w:rFonts w:hint="eastAsia" w:hAnsi="宋体"/>
                <w:sz w:val="21"/>
              </w:rPr>
              <w:t>人员配备（满分16分）</w:t>
            </w:r>
          </w:p>
        </w:tc>
        <w:tc>
          <w:tcPr>
            <w:tcW w:w="6029" w:type="dxa"/>
            <w:vAlign w:val="center"/>
          </w:tcPr>
          <w:p>
            <w:pPr>
              <w:pStyle w:val="26"/>
              <w:spacing w:line="360" w:lineRule="auto"/>
              <w:ind w:firstLine="420" w:firstLineChars="200"/>
              <w:rPr>
                <w:rFonts w:hAnsi="宋体"/>
                <w:sz w:val="21"/>
              </w:rPr>
            </w:pPr>
            <w:r>
              <w:rPr>
                <w:rFonts w:hint="eastAsia" w:hAnsi="宋体"/>
                <w:sz w:val="21"/>
              </w:rPr>
              <w:t>团队应按照采购需求中人员要求配备项目经理、技术负责人、项目组成员（含至少9名驻场人员）等岗位。</w:t>
            </w:r>
          </w:p>
          <w:p>
            <w:pPr>
              <w:pStyle w:val="26"/>
              <w:spacing w:line="360" w:lineRule="auto"/>
              <w:ind w:firstLine="420" w:firstLineChars="200"/>
              <w:rPr>
                <w:rFonts w:hAnsi="宋体"/>
                <w:sz w:val="21"/>
              </w:rPr>
            </w:pPr>
            <w:r>
              <w:rPr>
                <w:rFonts w:hint="eastAsia" w:hAnsi="宋体"/>
                <w:sz w:val="21"/>
              </w:rPr>
              <w:t>1.项目经理人员分（满分4分）。若项目经理拥有计算机/网络专业高级职称/证书得4分；若项目经理拥有计算机/网络专业中级职称/证书得2分。（若同时有高级、中级职称/证书的，以高级职称/证书记分，不可重复记分）。</w:t>
            </w:r>
          </w:p>
          <w:p>
            <w:pPr>
              <w:pStyle w:val="26"/>
              <w:spacing w:line="360" w:lineRule="auto"/>
              <w:ind w:firstLine="420" w:firstLineChars="200"/>
              <w:rPr>
                <w:rFonts w:hAnsi="宋体"/>
                <w:sz w:val="21"/>
              </w:rPr>
            </w:pPr>
            <w:r>
              <w:rPr>
                <w:rFonts w:hint="eastAsia" w:hAnsi="宋体"/>
                <w:sz w:val="21"/>
              </w:rPr>
              <w:t>2.技术负责人人员分（满分4分）。若技术负责人拥有高级信息系统项目管理师证书/高级软件技术开发工程师证书得4分，若技术负责人拥有计算/网络专业中级职称证书得2分。（若同时有高级、中级职称/证书的，以高级职称/证书记分，不可重复记分）。</w:t>
            </w:r>
          </w:p>
          <w:p>
            <w:pPr>
              <w:pStyle w:val="26"/>
              <w:spacing w:line="360" w:lineRule="auto"/>
              <w:ind w:firstLine="420" w:firstLineChars="200"/>
              <w:rPr>
                <w:rFonts w:hAnsi="宋体"/>
                <w:sz w:val="21"/>
              </w:rPr>
            </w:pPr>
            <w:r>
              <w:rPr>
                <w:rFonts w:hint="eastAsia" w:hAnsi="宋体"/>
                <w:sz w:val="21"/>
              </w:rPr>
              <w:t>3.项目小组成员分（满分4分）。每有一位小组成员（不含项目经理、技术负责人）拥有计算机/网络专业高级职称/证书得2分；每有一位小组成员（不含项目经理、技术负责人）拥有中级职称/证书得1分。（若同时有高级、中级职称/证书的，以高级职称/证书记分，不可重复记分）。</w:t>
            </w:r>
          </w:p>
          <w:p>
            <w:pPr>
              <w:pStyle w:val="26"/>
              <w:spacing w:line="360" w:lineRule="auto"/>
              <w:ind w:firstLine="420" w:firstLineChars="200"/>
              <w:rPr>
                <w:rFonts w:hAnsi="宋体"/>
                <w:sz w:val="21"/>
              </w:rPr>
            </w:pPr>
            <w:r>
              <w:rPr>
                <w:rFonts w:hint="eastAsia" w:hAnsi="宋体"/>
                <w:sz w:val="21"/>
              </w:rPr>
              <w:t>4.安全团队成员分（满分4分）。每有一位小组成员（包含项目经理、技术负责人）拥有信息安全保障人员认证/注册信息安全工程师人员认证/注册信息安全管理人员证书得1分。</w:t>
            </w:r>
          </w:p>
          <w:p>
            <w:pPr>
              <w:pStyle w:val="26"/>
              <w:spacing w:line="360" w:lineRule="auto"/>
              <w:ind w:firstLine="420" w:firstLineChars="200"/>
              <w:rPr>
                <w:rFonts w:hAnsi="宋体"/>
                <w:sz w:val="21"/>
              </w:rPr>
            </w:pPr>
            <w:r>
              <w:rPr>
                <w:rFonts w:hint="eastAsia" w:hAnsi="宋体"/>
                <w:sz w:val="21"/>
              </w:rPr>
              <w:t>【提供在有效期内的证书复印件】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33" w:type="dxa"/>
            <w:vMerge w:val="continue"/>
            <w:vAlign w:val="center"/>
          </w:tcPr>
          <w:p>
            <w:pPr>
              <w:pStyle w:val="26"/>
              <w:spacing w:line="360" w:lineRule="auto"/>
              <w:ind w:firstLine="420" w:firstLineChars="200"/>
              <w:rPr>
                <w:rFonts w:hAnsi="宋体"/>
                <w:sz w:val="21"/>
              </w:rPr>
            </w:pPr>
          </w:p>
        </w:tc>
        <w:tc>
          <w:tcPr>
            <w:tcW w:w="1299" w:type="dxa"/>
            <w:vMerge w:val="continue"/>
            <w:vAlign w:val="center"/>
          </w:tcPr>
          <w:p>
            <w:pPr>
              <w:pStyle w:val="26"/>
              <w:spacing w:line="360" w:lineRule="auto"/>
              <w:ind w:firstLine="420" w:firstLineChars="200"/>
              <w:rPr>
                <w:rFonts w:hAnsi="宋体"/>
                <w:sz w:val="21"/>
              </w:rPr>
            </w:pPr>
          </w:p>
        </w:tc>
        <w:tc>
          <w:tcPr>
            <w:tcW w:w="1289" w:type="dxa"/>
            <w:vAlign w:val="center"/>
          </w:tcPr>
          <w:p>
            <w:pPr>
              <w:pStyle w:val="26"/>
              <w:spacing w:line="360" w:lineRule="auto"/>
              <w:rPr>
                <w:rFonts w:hAnsi="宋体"/>
                <w:sz w:val="21"/>
              </w:rPr>
            </w:pPr>
            <w:r>
              <w:rPr>
                <w:rFonts w:hint="eastAsia" w:hAnsi="宋体"/>
                <w:sz w:val="21"/>
              </w:rPr>
              <w:t>荣誉（满分2分）</w:t>
            </w:r>
          </w:p>
        </w:tc>
        <w:tc>
          <w:tcPr>
            <w:tcW w:w="6029" w:type="dxa"/>
            <w:vAlign w:val="center"/>
          </w:tcPr>
          <w:p>
            <w:pPr>
              <w:pStyle w:val="26"/>
              <w:spacing w:line="360" w:lineRule="auto"/>
              <w:ind w:firstLine="420" w:firstLineChars="200"/>
              <w:rPr>
                <w:rFonts w:hAnsi="宋体"/>
                <w:sz w:val="21"/>
              </w:rPr>
            </w:pPr>
            <w:r>
              <w:rPr>
                <w:rFonts w:hint="eastAsia" w:hAnsi="宋体"/>
                <w:sz w:val="21"/>
              </w:rPr>
              <w:t>2021年1月1日以来投标供应商获得与运行维护，网络安全防护等相关市厅级以上荣誉奖项，每项得1分，满分2分；（投标时在投标文件提供证书原件（或复印件）扫描件）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gridSpan w:val="4"/>
            <w:vAlign w:val="center"/>
          </w:tcPr>
          <w:p>
            <w:pPr>
              <w:pStyle w:val="26"/>
              <w:spacing w:line="360" w:lineRule="auto"/>
              <w:ind w:firstLine="420" w:firstLineChars="200"/>
              <w:rPr>
                <w:rFonts w:hAnsi="宋体"/>
                <w:sz w:val="21"/>
              </w:rPr>
            </w:pPr>
            <w:r>
              <w:rPr>
                <w:rFonts w:hint="eastAsia" w:hAnsi="宋体"/>
                <w:sz w:val="21"/>
              </w:rPr>
              <w:t>总得分=1+2+3。</w:t>
            </w:r>
          </w:p>
        </w:tc>
      </w:tr>
    </w:tbl>
    <w:p>
      <w:pPr>
        <w:pStyle w:val="26"/>
        <w:spacing w:line="360" w:lineRule="auto"/>
        <w:ind w:firstLine="420" w:firstLineChars="200"/>
        <w:rPr>
          <w:rFonts w:hAnsi="宋体"/>
          <w:sz w:val="21"/>
        </w:rPr>
      </w:pPr>
    </w:p>
    <w:p>
      <w:pPr>
        <w:pStyle w:val="26"/>
        <w:spacing w:line="360" w:lineRule="auto"/>
        <w:ind w:firstLine="420" w:firstLineChars="200"/>
        <w:rPr>
          <w:rFonts w:hAnsi="宋体"/>
          <w:sz w:val="21"/>
        </w:rPr>
      </w:pPr>
    </w:p>
    <w:p>
      <w:pPr>
        <w:pStyle w:val="26"/>
        <w:spacing w:line="360" w:lineRule="auto"/>
        <w:ind w:firstLine="420" w:firstLineChars="200"/>
        <w:rPr>
          <w:rFonts w:hAnsi="宋体"/>
        </w:rPr>
      </w:pPr>
      <w:r>
        <w:rPr>
          <w:rFonts w:hint="eastAsia" w:hAnsi="宋体"/>
          <w:sz w:val="21"/>
        </w:rPr>
        <w:t>评标委员会将根据总得分由高到低排列次序并推荐中标候选人。得分相同的，以投标报价由低到高顺序排列。得分相同且投标报价相同的并列，投标文件满足招标文件全部实质性要求，且按照评审因素的量化指标服务方案、人员配置、履约能分评审得分最高的投标人依次确定为排名第一的中标候选人。</w:t>
      </w:r>
    </w:p>
    <w:p/>
    <w:p>
      <w:pPr>
        <w:pStyle w:val="4"/>
        <w:keepNext w:val="0"/>
        <w:keepLines w:val="0"/>
        <w:jc w:val="center"/>
        <w:rPr>
          <w:sz w:val="30"/>
          <w:szCs w:val="30"/>
        </w:rPr>
      </w:pPr>
      <w:r>
        <w:rPr>
          <w:rFonts w:hint="eastAsia"/>
          <w:sz w:val="30"/>
          <w:szCs w:val="30"/>
        </w:rPr>
        <w:t>四、中标候选人推荐原则</w:t>
      </w:r>
    </w:p>
    <w:p>
      <w:pPr>
        <w:pStyle w:val="26"/>
        <w:spacing w:line="360" w:lineRule="auto"/>
        <w:contextualSpacing/>
        <w:rPr>
          <w:rFonts w:hAnsi="宋体"/>
          <w:b/>
          <w:bCs/>
          <w:sz w:val="24"/>
          <w:szCs w:val="24"/>
        </w:rPr>
      </w:pPr>
      <w:r>
        <w:rPr>
          <w:rFonts w:hint="eastAsia" w:hAnsi="宋体"/>
          <w:b/>
          <w:bCs/>
          <w:sz w:val="24"/>
          <w:szCs w:val="24"/>
        </w:rPr>
        <w:t>（一）综合评分法</w:t>
      </w:r>
    </w:p>
    <w:p>
      <w:pPr>
        <w:pStyle w:val="26"/>
        <w:spacing w:line="360" w:lineRule="auto"/>
        <w:ind w:firstLine="420" w:firstLineChars="200"/>
        <w:contextualSpacing/>
        <w:rPr>
          <w:rFonts w:hAnsi="宋体"/>
          <w:sz w:val="21"/>
        </w:rPr>
      </w:pPr>
      <w:r>
        <w:rPr>
          <w:rFonts w:hint="eastAsia" w:hAnsi="宋体"/>
          <w:sz w:val="21"/>
        </w:rPr>
        <w:t>评标委员会将根据总得分由高到低排列次序并推荐三名中标候选人。得分相同的，以投标报价由低到高顺序排列。得分相同且投标报价相同的并列，投标文件满足招标文件全部实质性要求，且按照评审因素的量化指标服务方案、人员配置、履约能分评审得分最高的投标人依次确定为排名第一的中标候选人。</w:t>
      </w:r>
    </w:p>
    <w:p>
      <w:pPr>
        <w:pStyle w:val="26"/>
        <w:spacing w:line="360" w:lineRule="auto"/>
        <w:ind w:firstLine="482" w:firstLineChars="200"/>
        <w:contextualSpacing/>
        <w:rPr>
          <w:rFonts w:hAnsi="宋体"/>
          <w:sz w:val="21"/>
        </w:rPr>
      </w:pPr>
      <w:r>
        <w:rPr>
          <w:rFonts w:hAnsi="宋体"/>
          <w:b/>
          <w:sz w:val="24"/>
        </w:rPr>
        <w:br w:type="page"/>
      </w: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spacing w:before="120" w:beforeLines="50" w:after="120" w:afterLines="50" w:line="400" w:lineRule="exact"/>
        <w:rPr>
          <w:rFonts w:ascii="宋体" w:hAnsi="宋体"/>
          <w:b/>
          <w:sz w:val="24"/>
        </w:rPr>
      </w:pPr>
    </w:p>
    <w:p>
      <w:pPr>
        <w:pStyle w:val="3"/>
        <w:keepNext w:val="0"/>
        <w:keepLines w:val="0"/>
        <w:numPr>
          <w:ilvl w:val="0"/>
          <w:numId w:val="11"/>
        </w:numPr>
        <w:jc w:val="center"/>
      </w:pPr>
      <w:bookmarkStart w:id="509" w:name="_Toc19686833"/>
      <w:r>
        <w:rPr>
          <w:rFonts w:hint="eastAsia"/>
        </w:rPr>
        <w:t xml:space="preserve"> 拟签订的合同文本</w:t>
      </w:r>
      <w:bookmarkEnd w:id="509"/>
    </w:p>
    <w:p>
      <w:pPr>
        <w:numPr>
          <w:ilvl w:val="255"/>
          <w:numId w:val="0"/>
        </w:numPr>
      </w:pPr>
    </w:p>
    <w:p>
      <w:pPr>
        <w:numPr>
          <w:ilvl w:val="255"/>
          <w:numId w:val="0"/>
        </w:numPr>
        <w:rPr>
          <w:rFonts w:ascii="黑体" w:hAnsi="黑体" w:eastAsia="黑体" w:cs="黑体"/>
        </w:rPr>
      </w:pPr>
      <w:r>
        <w:rPr>
          <w:rFonts w:hint="eastAsia" w:ascii="黑体" w:hAnsi="黑体" w:eastAsia="黑体" w:cs="黑体"/>
        </w:rPr>
        <w:t>（说明：</w:t>
      </w:r>
    </w:p>
    <w:p>
      <w:pPr>
        <w:numPr>
          <w:ilvl w:val="255"/>
          <w:numId w:val="0"/>
        </w:numPr>
        <w:rPr>
          <w:rFonts w:ascii="黑体" w:hAnsi="黑体" w:eastAsia="黑体" w:cs="黑体"/>
        </w:rPr>
      </w:pPr>
      <w:r>
        <w:rPr>
          <w:rFonts w:hint="eastAsia" w:ascii="黑体" w:hAnsi="黑体" w:eastAsia="黑体" w:cs="黑体"/>
        </w:rPr>
        <w:t>1、以下合同书仅供签订正式合同时参考用，正式合同书应包括此参考格式之内容。</w:t>
      </w:r>
    </w:p>
    <w:p>
      <w:pPr>
        <w:numPr>
          <w:ilvl w:val="255"/>
          <w:numId w:val="0"/>
        </w:numPr>
        <w:rPr>
          <w:rFonts w:ascii="黑体" w:hAnsi="黑体" w:eastAsia="黑体" w:cs="黑体"/>
        </w:rPr>
      </w:pPr>
      <w:r>
        <w:rPr>
          <w:rFonts w:hint="eastAsia" w:ascii="黑体" w:hAnsi="黑体" w:eastAsia="黑体" w:cs="黑体"/>
        </w:rPr>
        <w:t>2、合同签订双方可根据项目的具体要求进行修订，但合同条款不得与采购文件和成交供应商响应文件有实质性偏离。）</w:t>
      </w: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pStyle w:val="19"/>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spacing w:line="400" w:lineRule="exact"/>
        <w:jc w:val="center"/>
        <w:rPr>
          <w:rFonts w:ascii="宋体" w:hAnsi="宋体"/>
          <w:b/>
          <w:bCs/>
          <w:sz w:val="32"/>
          <w:szCs w:val="32"/>
        </w:rPr>
      </w:pPr>
      <w:r>
        <w:rPr>
          <w:rFonts w:ascii="宋体" w:hAnsi="宋体"/>
          <w:bCs/>
        </w:rPr>
        <w:br w:type="page"/>
      </w:r>
      <w:r>
        <w:rPr>
          <w:rFonts w:hint="eastAsia" w:ascii="宋体" w:hAnsi="宋体"/>
          <w:b/>
          <w:bCs/>
          <w:sz w:val="32"/>
          <w:szCs w:val="32"/>
        </w:rPr>
        <w:t>合同文本</w:t>
      </w:r>
    </w:p>
    <w:p>
      <w:pPr>
        <w:snapToGrid w:val="0"/>
        <w:spacing w:line="400" w:lineRule="exact"/>
        <w:jc w:val="center"/>
      </w:pPr>
    </w:p>
    <w:p>
      <w:pPr>
        <w:tabs>
          <w:tab w:val="left" w:pos="900"/>
        </w:tabs>
        <w:jc w:val="center"/>
        <w:outlineLvl w:val="0"/>
        <w:rPr>
          <w:rFonts w:ascii="宋体" w:hAnsi="宋体"/>
          <w:b/>
          <w:bCs/>
          <w:kern w:val="0"/>
          <w:sz w:val="28"/>
          <w:szCs w:val="21"/>
        </w:rPr>
      </w:pPr>
      <w:r>
        <w:rPr>
          <w:rFonts w:ascii="宋体" w:hAnsi="宋体"/>
          <w:b/>
          <w:bCs/>
          <w:sz w:val="28"/>
          <w:szCs w:val="21"/>
        </w:rPr>
        <w:t>自治区环境信息中心2024年信息系统运维项目合同</w:t>
      </w:r>
    </w:p>
    <w:p>
      <w:pPr>
        <w:snapToGrid w:val="0"/>
        <w:spacing w:line="360" w:lineRule="auto"/>
        <w:ind w:firstLine="420" w:firstLineChars="200"/>
        <w:rPr>
          <w:rFonts w:ascii="宋体" w:hAnsi="宋体"/>
          <w:szCs w:val="21"/>
        </w:rPr>
      </w:pPr>
    </w:p>
    <w:p>
      <w:pPr>
        <w:snapToGrid w:val="0"/>
        <w:spacing w:line="360" w:lineRule="auto"/>
        <w:ind w:firstLine="420" w:firstLineChars="200"/>
        <w:rPr>
          <w:rFonts w:ascii="宋体" w:hAnsi="宋体"/>
          <w:szCs w:val="21"/>
          <w:u w:val="single"/>
        </w:rPr>
      </w:pPr>
      <w:r>
        <w:rPr>
          <w:rFonts w:ascii="宋体" w:hAnsi="宋体"/>
          <w:szCs w:val="21"/>
        </w:rPr>
        <w:t>采购单位（甲方）：</w:t>
      </w:r>
      <w:r>
        <w:rPr>
          <w:rFonts w:ascii="宋体" w:hAnsi="宋体"/>
          <w:szCs w:val="21"/>
          <w:u w:val="single"/>
        </w:rPr>
        <w:t xml:space="preserve">  广西壮族自治区环境信息中心   </w:t>
      </w:r>
    </w:p>
    <w:p>
      <w:pPr>
        <w:snapToGrid w:val="0"/>
        <w:spacing w:line="360" w:lineRule="auto"/>
        <w:ind w:firstLine="420" w:firstLineChars="200"/>
        <w:jc w:val="left"/>
        <w:rPr>
          <w:rFonts w:ascii="宋体" w:hAnsi="宋体"/>
          <w:szCs w:val="21"/>
          <w:u w:val="single"/>
        </w:rPr>
      </w:pPr>
      <w:r>
        <w:rPr>
          <w:rFonts w:ascii="宋体" w:hAnsi="宋体"/>
          <w:szCs w:val="21"/>
        </w:rPr>
        <w:t>供 应 商（乙方）：</w:t>
      </w:r>
      <w:r>
        <w:rPr>
          <w:rFonts w:ascii="宋体" w:hAnsi="宋体"/>
          <w:szCs w:val="21"/>
          <w:u w:val="single"/>
        </w:rPr>
        <w:t xml:space="preserve">                              </w:t>
      </w:r>
    </w:p>
    <w:p>
      <w:pPr>
        <w:snapToGrid w:val="0"/>
        <w:spacing w:line="360" w:lineRule="auto"/>
        <w:ind w:firstLine="420" w:firstLineChars="200"/>
        <w:rPr>
          <w:rFonts w:ascii="宋体" w:hAnsi="宋体"/>
          <w:szCs w:val="21"/>
        </w:rPr>
      </w:pPr>
      <w:r>
        <w:rPr>
          <w:rFonts w:ascii="宋体" w:hAnsi="宋体"/>
          <w:szCs w:val="21"/>
        </w:rPr>
        <w:t>采购计划文号：</w:t>
      </w:r>
      <w:r>
        <w:rPr>
          <w:rFonts w:ascii="宋体" w:hAnsi="宋体"/>
          <w:szCs w:val="21"/>
          <w:u w:val="single"/>
        </w:rPr>
        <w:t xml:space="preserve">                       </w:t>
      </w:r>
    </w:p>
    <w:p>
      <w:pPr>
        <w:snapToGrid w:val="0"/>
        <w:spacing w:line="360" w:lineRule="auto"/>
        <w:ind w:firstLine="420" w:firstLineChars="200"/>
        <w:rPr>
          <w:rFonts w:ascii="宋体" w:hAnsi="宋体"/>
          <w:szCs w:val="21"/>
        </w:rPr>
      </w:pPr>
      <w:r>
        <w:rPr>
          <w:rFonts w:ascii="宋体" w:hAnsi="宋体"/>
          <w:szCs w:val="21"/>
        </w:rPr>
        <w:t>根据《中华人民共和国政府采购法》、《中华人民共和国民法典》等</w:t>
      </w:r>
      <w:r>
        <w:rPr>
          <w:rFonts w:hint="eastAsia" w:ascii="宋体" w:hAnsi="宋体"/>
          <w:szCs w:val="21"/>
          <w:lang w:eastAsia="zh-CN"/>
        </w:rPr>
        <w:t>法律法规</w:t>
      </w:r>
      <w:r>
        <w:rPr>
          <w:rFonts w:ascii="宋体" w:hAnsi="宋体"/>
          <w:szCs w:val="21"/>
        </w:rPr>
        <w:t>规定，按照公开招标文件（采购文件）规定条款和中标（成交）供应商承诺，甲乙双方签订本合同。</w:t>
      </w:r>
    </w:p>
    <w:p>
      <w:pPr>
        <w:snapToGrid w:val="0"/>
        <w:spacing w:line="360" w:lineRule="auto"/>
        <w:ind w:firstLine="422" w:firstLineChars="200"/>
        <w:rPr>
          <w:rFonts w:ascii="宋体" w:hAnsi="宋体"/>
          <w:b/>
          <w:szCs w:val="21"/>
        </w:rPr>
      </w:pPr>
      <w:r>
        <w:rPr>
          <w:rFonts w:ascii="宋体" w:hAnsi="宋体"/>
          <w:b/>
          <w:szCs w:val="21"/>
        </w:rPr>
        <w:t>第一条　合同标的</w:t>
      </w:r>
    </w:p>
    <w:p>
      <w:pPr>
        <w:snapToGrid w:val="0"/>
        <w:spacing w:line="360" w:lineRule="auto"/>
        <w:ind w:firstLine="420" w:firstLineChars="200"/>
        <w:rPr>
          <w:rFonts w:ascii="宋体" w:hAnsi="宋体"/>
          <w:szCs w:val="21"/>
        </w:rPr>
      </w:pPr>
      <w:r>
        <w:rPr>
          <w:rFonts w:ascii="宋体" w:hAnsi="宋体"/>
          <w:szCs w:val="21"/>
        </w:rPr>
        <w:t>1.本项目总价款为</w:t>
      </w:r>
      <w:r>
        <w:rPr>
          <w:rFonts w:ascii="宋体" w:hAnsi="宋体"/>
          <w:szCs w:val="21"/>
          <w:u w:val="single"/>
        </w:rPr>
        <w:t xml:space="preserve">                              </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2.合同合计金额包括为了实施和完成服务所需的设备、各种费用及合同包含的所有风险、责任等各项应有的费用。如招标文件对其另有规定的，从其规定。</w:t>
      </w:r>
    </w:p>
    <w:p>
      <w:pPr>
        <w:snapToGrid w:val="0"/>
        <w:spacing w:line="360" w:lineRule="auto"/>
        <w:ind w:firstLine="422" w:firstLineChars="200"/>
        <w:rPr>
          <w:rFonts w:ascii="宋体" w:hAnsi="宋体"/>
          <w:szCs w:val="21"/>
        </w:rPr>
      </w:pPr>
      <w:r>
        <w:rPr>
          <w:rFonts w:ascii="宋体" w:hAnsi="宋体"/>
          <w:b/>
          <w:szCs w:val="21"/>
        </w:rPr>
        <w:t>第二条　质量保证</w:t>
      </w:r>
    </w:p>
    <w:p>
      <w:pPr>
        <w:snapToGrid w:val="0"/>
        <w:spacing w:line="360" w:lineRule="auto"/>
        <w:ind w:firstLine="420" w:firstLineChars="200"/>
        <w:rPr>
          <w:rFonts w:ascii="宋体" w:hAnsi="宋体"/>
          <w:szCs w:val="21"/>
        </w:rPr>
      </w:pPr>
      <w:r>
        <w:rPr>
          <w:rFonts w:ascii="宋体" w:hAnsi="宋体"/>
          <w:szCs w:val="21"/>
        </w:rPr>
        <w:t>1.为保证合同履行质量，乙方须切实按投标文件要求，履行响应文件的各项服务承诺，保证服务的质量。</w:t>
      </w:r>
    </w:p>
    <w:p>
      <w:pPr>
        <w:snapToGrid w:val="0"/>
        <w:spacing w:line="360" w:lineRule="auto"/>
        <w:ind w:firstLine="420" w:firstLineChars="200"/>
        <w:rPr>
          <w:rFonts w:ascii="宋体" w:hAnsi="宋体"/>
          <w:szCs w:val="21"/>
        </w:rPr>
      </w:pPr>
      <w:r>
        <w:rPr>
          <w:rFonts w:ascii="宋体" w:hAnsi="宋体"/>
          <w:szCs w:val="21"/>
        </w:rPr>
        <w:t>2.乙方应履行响应文件的承诺，保证项目实施团队人员的数量和素质满足履行合同要求并随时接受甲方的检查。</w:t>
      </w:r>
    </w:p>
    <w:p>
      <w:pPr>
        <w:snapToGrid w:val="0"/>
        <w:spacing w:line="360" w:lineRule="auto"/>
        <w:ind w:firstLine="420" w:firstLineChars="200"/>
        <w:rPr>
          <w:rFonts w:ascii="宋体" w:hAnsi="宋体"/>
          <w:szCs w:val="21"/>
        </w:rPr>
      </w:pPr>
      <w:r>
        <w:rPr>
          <w:rFonts w:ascii="宋体" w:hAnsi="宋体"/>
          <w:szCs w:val="21"/>
        </w:rPr>
        <w:t>3.乙方应履行响应文件的承诺，配置必要的软件和硬件设备保证合同的有效实施。</w:t>
      </w:r>
    </w:p>
    <w:p>
      <w:pPr>
        <w:snapToGrid w:val="0"/>
        <w:spacing w:line="360" w:lineRule="auto"/>
        <w:ind w:firstLine="420" w:firstLineChars="200"/>
        <w:rPr>
          <w:rFonts w:ascii="宋体" w:hAnsi="宋体"/>
          <w:szCs w:val="21"/>
        </w:rPr>
      </w:pPr>
      <w:r>
        <w:rPr>
          <w:rFonts w:ascii="宋体" w:hAnsi="宋体"/>
          <w:szCs w:val="21"/>
        </w:rPr>
        <w:t>4.为保证合同履行质量，乙方有责任建立系统的内部质量保证体系。</w:t>
      </w:r>
    </w:p>
    <w:p>
      <w:pPr>
        <w:snapToGrid w:val="0"/>
        <w:spacing w:line="360" w:lineRule="auto"/>
        <w:ind w:firstLine="420" w:firstLineChars="200"/>
        <w:rPr>
          <w:rFonts w:ascii="宋体" w:hAnsi="宋体"/>
          <w:szCs w:val="21"/>
        </w:rPr>
      </w:pPr>
      <w:r>
        <w:rPr>
          <w:rFonts w:ascii="宋体" w:hAnsi="宋体"/>
          <w:szCs w:val="21"/>
        </w:rPr>
        <w:t>5.鉴于服务性质的特殊性，乙方有责任对所提供的服务和服务成果按照甲方的要求作相应的调整。</w:t>
      </w:r>
    </w:p>
    <w:p>
      <w:pPr>
        <w:snapToGrid w:val="0"/>
        <w:spacing w:line="360" w:lineRule="auto"/>
        <w:ind w:firstLine="420"/>
        <w:rPr>
          <w:rFonts w:ascii="宋体" w:hAnsi="宋体"/>
          <w:szCs w:val="21"/>
        </w:rPr>
      </w:pPr>
      <w:r>
        <w:rPr>
          <w:rFonts w:ascii="宋体" w:hAnsi="宋体"/>
          <w:szCs w:val="21"/>
        </w:rPr>
        <w:t>6.乙方所提供的服务、服务质量及服务内容</w:t>
      </w:r>
      <w:r>
        <w:rPr>
          <w:rFonts w:hint="eastAsia" w:ascii="宋体" w:hAnsi="宋体"/>
          <w:szCs w:val="21"/>
        </w:rPr>
        <w:t>除了</w:t>
      </w:r>
      <w:r>
        <w:rPr>
          <w:rFonts w:ascii="宋体" w:hAnsi="宋体"/>
          <w:szCs w:val="21"/>
        </w:rPr>
        <w:t>必须与合同、采购文件、响应文件及承诺相一致，有国家强制性标准的，还必须符合国家强制性标准的规定，没有国家强制性标准但有其他标准的，必须符合其他标准的规定。</w:t>
      </w:r>
    </w:p>
    <w:p>
      <w:pPr>
        <w:snapToGrid w:val="0"/>
        <w:spacing w:line="360" w:lineRule="auto"/>
        <w:ind w:firstLine="422" w:firstLineChars="200"/>
        <w:rPr>
          <w:rFonts w:ascii="宋体" w:hAnsi="宋体"/>
          <w:szCs w:val="21"/>
        </w:rPr>
      </w:pPr>
      <w:r>
        <w:rPr>
          <w:rFonts w:ascii="宋体" w:hAnsi="宋体"/>
          <w:b/>
          <w:szCs w:val="21"/>
        </w:rPr>
        <w:t>第三条　权利保证</w:t>
      </w:r>
    </w:p>
    <w:p>
      <w:pPr>
        <w:snapToGrid w:val="0"/>
        <w:spacing w:line="360" w:lineRule="auto"/>
        <w:ind w:firstLine="420" w:firstLineChars="200"/>
        <w:rPr>
          <w:rFonts w:ascii="宋体" w:hAnsi="宋体"/>
          <w:szCs w:val="21"/>
        </w:rPr>
      </w:pPr>
      <w:r>
        <w:rPr>
          <w:rFonts w:ascii="宋体" w:hAnsi="宋体"/>
          <w:szCs w:val="21"/>
        </w:rPr>
        <w:t>1.甲方有权随时向乙方了解服务进度和对服务资金使用情况进行监督、检查，并要求乙方提供相关资料。</w:t>
      </w:r>
    </w:p>
    <w:p>
      <w:pPr>
        <w:snapToGrid w:val="0"/>
        <w:spacing w:line="360" w:lineRule="auto"/>
        <w:ind w:firstLine="420" w:firstLineChars="200"/>
        <w:jc w:val="left"/>
        <w:rPr>
          <w:rFonts w:ascii="宋体" w:hAnsi="宋体"/>
          <w:kern w:val="0"/>
          <w:szCs w:val="21"/>
        </w:rPr>
      </w:pPr>
      <w:r>
        <w:rPr>
          <w:rFonts w:ascii="宋体" w:hAnsi="宋体"/>
          <w:kern w:val="0"/>
          <w:szCs w:val="21"/>
        </w:rPr>
        <w:t>2.甲方有权按照本合同约定或有关法律法规、政府管理的相关职能规定，对乙方服务进行监督和检查，有权要求乙方按照监督检查情况限期制定相应措施并加以整改。甲方不因行使该监督和检查权而承担任何责任，也不因此而减轻或免除乙方根据合同约定或相关法律法规应承担的任何义务或责任。</w:t>
      </w:r>
    </w:p>
    <w:p>
      <w:pPr>
        <w:snapToGrid w:val="0"/>
        <w:spacing w:line="360" w:lineRule="auto"/>
        <w:ind w:firstLine="420" w:firstLineChars="200"/>
        <w:jc w:val="left"/>
        <w:rPr>
          <w:rFonts w:ascii="宋体" w:hAnsi="宋体"/>
          <w:kern w:val="0"/>
          <w:szCs w:val="21"/>
        </w:rPr>
      </w:pPr>
      <w:r>
        <w:rPr>
          <w:rFonts w:ascii="宋体" w:hAnsi="宋体"/>
          <w:kern w:val="0"/>
          <w:szCs w:val="21"/>
        </w:rPr>
        <w:t>3.甲方有权监督或委托第三方监理监督乙方的工作进度及服务质量，并提出合理建议，甲方不因行使该监督和检查权而承担任何责任，也不因此而减轻或免除乙方根据合同约定或相关法律法规规定应承担的任何义务或责任</w:t>
      </w:r>
      <w:r>
        <w:rPr>
          <w:rFonts w:hint="eastAsia" w:ascii="宋体" w:hAnsi="宋体"/>
          <w:kern w:val="0"/>
          <w:szCs w:val="21"/>
          <w:lang w:eastAsia="zh-CN"/>
        </w:rPr>
        <w:t>。</w:t>
      </w:r>
    </w:p>
    <w:p>
      <w:pPr>
        <w:snapToGrid w:val="0"/>
        <w:spacing w:line="360" w:lineRule="auto"/>
        <w:ind w:firstLine="420" w:firstLineChars="200"/>
        <w:jc w:val="left"/>
        <w:rPr>
          <w:rFonts w:ascii="宋体" w:hAnsi="宋体"/>
          <w:kern w:val="0"/>
          <w:szCs w:val="21"/>
        </w:rPr>
      </w:pPr>
      <w:r>
        <w:rPr>
          <w:rFonts w:ascii="宋体" w:hAnsi="宋体"/>
          <w:kern w:val="0"/>
          <w:szCs w:val="21"/>
        </w:rPr>
        <w:t>4.乙方应保证所提供服务在使用时不会侵犯任何第三方的专利权、商标权、工业设计权等知识产权及其他合法权利，且所有权、处分权等没有受到任何限制，如乙方违反前述约定侵犯他人权利或违反相关规定的，由乙方承担责任、费用和行政处罚。如造成甲方损失的，乙方应当赔偿甲方全部损失。</w:t>
      </w:r>
    </w:p>
    <w:p>
      <w:pPr>
        <w:snapToGrid w:val="0"/>
        <w:spacing w:line="360" w:lineRule="auto"/>
        <w:ind w:firstLine="420" w:firstLineChars="200"/>
        <w:jc w:val="left"/>
        <w:rPr>
          <w:rFonts w:ascii="宋体" w:hAnsi="宋体"/>
          <w:kern w:val="0"/>
          <w:szCs w:val="21"/>
        </w:rPr>
      </w:pPr>
      <w:r>
        <w:rPr>
          <w:rFonts w:ascii="宋体" w:hAnsi="宋体"/>
          <w:kern w:val="0"/>
          <w:szCs w:val="21"/>
        </w:rPr>
        <w:t>5.没有甲方事先书面同意，乙方不得将由甲方提供的有关本合同或者任何本合同条文、规格、计划、图纸、样品或者资料提供给与履行本合同无关的任何其他人。即使向履行合同有关的人员提供，也应注意保密关限于履行合同的必需范围。乙方的保密义务持续有效，不因为本合同履行终止、解除或者无效而解除。</w:t>
      </w:r>
    </w:p>
    <w:p>
      <w:pPr>
        <w:snapToGrid w:val="0"/>
        <w:spacing w:line="360" w:lineRule="auto"/>
        <w:ind w:firstLine="420" w:firstLineChars="200"/>
        <w:jc w:val="left"/>
        <w:rPr>
          <w:rFonts w:ascii="宋体" w:hAnsi="宋体"/>
          <w:kern w:val="0"/>
          <w:szCs w:val="21"/>
        </w:rPr>
      </w:pPr>
      <w:r>
        <w:rPr>
          <w:rFonts w:ascii="宋体" w:hAnsi="宋体"/>
          <w:kern w:val="0"/>
          <w:szCs w:val="21"/>
        </w:rPr>
        <w:t>6.乙方保证所交付的服务成果的所有权完全属于乙方且无任何抵押、质押、查封等产权瑕疵。如乙方所交付服务成果有产权瑕疵的，视为乙方违约，按照本合同第九条约定处理。但在已经全部支付完合同款后才发现有产权瑕疵的，乙方除了支付本合同合计总额10%违约金，还应负担甲方由此产生的一切损失。</w:t>
      </w:r>
    </w:p>
    <w:p>
      <w:pPr>
        <w:snapToGrid w:val="0"/>
        <w:spacing w:line="360" w:lineRule="auto"/>
        <w:ind w:firstLine="420" w:firstLineChars="200"/>
        <w:jc w:val="left"/>
        <w:rPr>
          <w:rFonts w:ascii="宋体" w:hAnsi="宋体"/>
          <w:kern w:val="0"/>
          <w:szCs w:val="21"/>
        </w:rPr>
      </w:pPr>
      <w:r>
        <w:rPr>
          <w:rFonts w:ascii="宋体" w:hAnsi="宋体"/>
          <w:kern w:val="0"/>
          <w:szCs w:val="21"/>
        </w:rPr>
        <w:t>7.乙方必须确保项目实施的技术力量，参与项目实施的项目经理和开发及运维人员须具有项目实施资格能力且为乙方单位人员，</w:t>
      </w:r>
      <w:r>
        <w:rPr>
          <w:rFonts w:ascii="宋体" w:hAnsi="宋体"/>
          <w:b/>
          <w:bCs/>
          <w:kern w:val="0"/>
          <w:szCs w:val="21"/>
        </w:rPr>
        <w:t>原则上项目经理在合同期内不得更换</w:t>
      </w:r>
      <w:r>
        <w:rPr>
          <w:rFonts w:ascii="宋体" w:hAnsi="宋体"/>
          <w:kern w:val="0"/>
          <w:szCs w:val="21"/>
        </w:rPr>
        <w:t>；项目组核心技术人员和开发实施及运维人员以乙方响应文件名单和资格证书为准，须保证合同期内2/3以上人员不变更，因特殊原因需要更换人员，应提前5天书面通知甲方，并附上不低于响应标准的资格、从业经验等预更换人员资料供甲方书面认可后，方能更换。乙方未经甲方书面同意擅自更换人员，实质上不再符合乙方响应标准的，视为乙方根本违约，甲方有权单方解除本合同并要求乙方承担本合同合计金额20%的违约责任，同时报财政部门按照《中华人民共和国政府采购法》及实施条例等法律法规进行处理。</w:t>
      </w:r>
    </w:p>
    <w:p>
      <w:pPr>
        <w:snapToGrid w:val="0"/>
        <w:spacing w:line="360" w:lineRule="auto"/>
        <w:ind w:firstLine="420" w:firstLineChars="200"/>
        <w:jc w:val="left"/>
        <w:rPr>
          <w:rFonts w:ascii="宋体" w:hAnsi="宋体"/>
          <w:kern w:val="0"/>
          <w:szCs w:val="21"/>
        </w:rPr>
      </w:pPr>
      <w:r>
        <w:rPr>
          <w:rFonts w:ascii="宋体" w:hAnsi="宋体"/>
          <w:kern w:val="0"/>
          <w:szCs w:val="21"/>
        </w:rPr>
        <w:t>8.乙方负责提供技术支持。配备专门的运维服务团队为甲方提供专业，及时的服务，运维团队至少派9名人员至甲方驻场，该人员可以现场处理一般问题，乙方应对驻场人员开展背景审查，乙方不得派驻有犯罪记录或失信人员至甲方开展运维工作；乙方须提供5*8小时的故障即时诊断、7*24小时电话服务或远程技术支持服务。甲方出现系统故障，乙方应当在</w:t>
      </w:r>
      <w:r>
        <w:rPr>
          <w:rFonts w:hint="eastAsia" w:ascii="宋体" w:hAnsi="宋体"/>
          <w:kern w:val="0"/>
          <w:szCs w:val="21"/>
        </w:rPr>
        <w:t>30分钟</w:t>
      </w:r>
      <w:r>
        <w:rPr>
          <w:rFonts w:ascii="宋体" w:hAnsi="宋体"/>
          <w:kern w:val="0"/>
          <w:szCs w:val="21"/>
        </w:rPr>
        <w:t>内做出响应安排及有效处理，4小时内做出故障诊断报告，由此产生的费用由乙方承担，乙方解决该问题后应出具书面总结报告交给甲方备份留存。如需</w:t>
      </w:r>
      <w:r>
        <w:rPr>
          <w:rFonts w:hint="eastAsia" w:ascii="宋体" w:hAnsi="宋体"/>
          <w:kern w:val="0"/>
          <w:szCs w:val="21"/>
        </w:rPr>
        <w:t>二线技术团队</w:t>
      </w:r>
      <w:r>
        <w:rPr>
          <w:rFonts w:ascii="宋体" w:hAnsi="宋体"/>
          <w:kern w:val="0"/>
          <w:szCs w:val="21"/>
        </w:rPr>
        <w:t>现场处理的，</w:t>
      </w:r>
      <w:r>
        <w:rPr>
          <w:rFonts w:ascii="宋体" w:hAnsi="宋体"/>
          <w:szCs w:val="21"/>
        </w:rPr>
        <w:t>乙方应在接到甲方通知后</w:t>
      </w:r>
      <w:r>
        <w:rPr>
          <w:rFonts w:hint="eastAsia" w:ascii="宋体" w:hAnsi="宋体"/>
          <w:szCs w:val="21"/>
        </w:rPr>
        <w:t>2</w:t>
      </w:r>
      <w:r>
        <w:rPr>
          <w:rFonts w:ascii="宋体" w:hAnsi="宋体"/>
          <w:szCs w:val="21"/>
        </w:rPr>
        <w:t>小时内到达甲方现场在甲方指定的期限内解决问题，乙方超时不作出处理或不能作出有效处理的，视为乙方违约，甲方有权另行委托第三方进行处理，乙方需要双倍赔偿甲方聘请第三方的费用</w:t>
      </w:r>
      <w:r>
        <w:rPr>
          <w:rFonts w:ascii="宋体" w:hAnsi="宋体"/>
          <w:kern w:val="0"/>
          <w:szCs w:val="21"/>
        </w:rPr>
        <w:t>。乙方应提供免费热线咨询电话</w:t>
      </w:r>
      <w:r>
        <w:rPr>
          <w:rFonts w:hint="eastAsia" w:ascii="宋体" w:hAnsi="宋体"/>
          <w:kern w:val="0"/>
          <w:szCs w:val="21"/>
        </w:rPr>
        <w:t>，为甲方</w:t>
      </w:r>
      <w:r>
        <w:rPr>
          <w:rFonts w:ascii="宋体" w:hAnsi="宋体"/>
          <w:kern w:val="0"/>
          <w:szCs w:val="21"/>
        </w:rPr>
        <w:t>提供满足用户需求的系统日常操作、简单的维护和错误处理等技术</w:t>
      </w:r>
      <w:r>
        <w:rPr>
          <w:rFonts w:hint="eastAsia" w:ascii="宋体" w:hAnsi="宋体"/>
          <w:kern w:val="0"/>
          <w:szCs w:val="21"/>
        </w:rPr>
        <w:t>的</w:t>
      </w:r>
      <w:r>
        <w:rPr>
          <w:rFonts w:ascii="宋体" w:hAnsi="宋体"/>
          <w:kern w:val="0"/>
          <w:szCs w:val="21"/>
        </w:rPr>
        <w:t>免费培训。。</w:t>
      </w:r>
    </w:p>
    <w:p>
      <w:pPr>
        <w:snapToGrid w:val="0"/>
        <w:spacing w:line="360" w:lineRule="auto"/>
        <w:ind w:firstLine="420" w:firstLineChars="200"/>
        <w:jc w:val="left"/>
        <w:rPr>
          <w:rFonts w:ascii="宋体" w:hAnsi="宋体"/>
          <w:kern w:val="0"/>
          <w:szCs w:val="21"/>
          <w:u w:val="single"/>
        </w:rPr>
      </w:pPr>
      <w:r>
        <w:rPr>
          <w:rFonts w:ascii="宋体" w:hAnsi="宋体"/>
          <w:kern w:val="0"/>
          <w:szCs w:val="21"/>
        </w:rPr>
        <w:t>本合同乙方24小时电话热线为：</w:t>
      </w:r>
      <w:r>
        <w:rPr>
          <w:rFonts w:ascii="宋体" w:hAnsi="宋体"/>
          <w:kern w:val="0"/>
          <w:szCs w:val="21"/>
          <w:u w:val="single"/>
        </w:rPr>
        <w:t xml:space="preserve">            </w:t>
      </w:r>
    </w:p>
    <w:p>
      <w:pPr>
        <w:snapToGrid w:val="0"/>
        <w:spacing w:line="360" w:lineRule="auto"/>
        <w:ind w:firstLine="420" w:firstLineChars="200"/>
        <w:jc w:val="left"/>
        <w:rPr>
          <w:rFonts w:ascii="宋体" w:hAnsi="宋体"/>
          <w:kern w:val="0"/>
          <w:szCs w:val="21"/>
        </w:rPr>
      </w:pPr>
      <w:r>
        <w:rPr>
          <w:rFonts w:ascii="宋体" w:hAnsi="宋体"/>
          <w:kern w:val="0"/>
          <w:szCs w:val="21"/>
        </w:rPr>
        <w:t>9.服务期间，乙方人员违反本合同约定及甲方管理制度给甲方造成损失的，乙方应赔偿甲方的全部损失，乙方人员造成甲方设备、设施损坏的，乙方应承担损坏设备、设施的全部费用。乙方人员在服务中造成乙方或甲方、他方人身损害的，由乙方自行承担全部责任。</w:t>
      </w:r>
    </w:p>
    <w:p>
      <w:pPr>
        <w:snapToGrid w:val="0"/>
        <w:spacing w:line="360" w:lineRule="auto"/>
        <w:ind w:firstLine="422" w:firstLineChars="200"/>
        <w:jc w:val="left"/>
        <w:rPr>
          <w:rFonts w:ascii="宋体" w:hAnsi="宋体"/>
          <w:szCs w:val="21"/>
          <w:u w:val="single"/>
        </w:rPr>
      </w:pPr>
      <w:r>
        <w:rPr>
          <w:rFonts w:ascii="宋体" w:hAnsi="宋体"/>
          <w:b/>
          <w:szCs w:val="21"/>
        </w:rPr>
        <w:t>第四条　交付和验收</w:t>
      </w:r>
    </w:p>
    <w:p>
      <w:pPr>
        <w:snapToGrid w:val="0"/>
        <w:spacing w:line="360" w:lineRule="auto"/>
        <w:ind w:firstLine="420" w:firstLineChars="200"/>
        <w:rPr>
          <w:rFonts w:ascii="宋体" w:hAnsi="宋体"/>
          <w:szCs w:val="21"/>
          <w:u w:val="single"/>
        </w:rPr>
      </w:pPr>
      <w:r>
        <w:rPr>
          <w:rFonts w:ascii="宋体" w:hAnsi="宋体"/>
          <w:szCs w:val="21"/>
        </w:rPr>
        <w:t>1.服务时间：</w:t>
      </w:r>
      <w:r>
        <w:rPr>
          <w:rFonts w:ascii="宋体" w:hAnsi="宋体"/>
          <w:szCs w:val="21"/>
          <w:u w:val="single"/>
        </w:rPr>
        <w:t xml:space="preserve">                             </w:t>
      </w:r>
    </w:p>
    <w:p>
      <w:pPr>
        <w:snapToGrid w:val="0"/>
        <w:spacing w:line="360" w:lineRule="auto"/>
        <w:ind w:firstLine="420" w:firstLineChars="200"/>
        <w:rPr>
          <w:rFonts w:ascii="宋体" w:hAnsi="宋体"/>
          <w:szCs w:val="21"/>
        </w:rPr>
      </w:pPr>
      <w:r>
        <w:rPr>
          <w:rFonts w:ascii="宋体" w:hAnsi="宋体"/>
          <w:szCs w:val="21"/>
        </w:rPr>
        <w:t>2.提交服务成果地点：甲方指定地点。</w:t>
      </w:r>
    </w:p>
    <w:p>
      <w:pPr>
        <w:snapToGrid w:val="0"/>
        <w:spacing w:line="360" w:lineRule="auto"/>
        <w:ind w:firstLine="420" w:firstLineChars="200"/>
        <w:rPr>
          <w:rFonts w:ascii="宋体" w:hAnsi="宋体"/>
          <w:szCs w:val="21"/>
        </w:rPr>
      </w:pPr>
      <w:r>
        <w:rPr>
          <w:rFonts w:ascii="宋体" w:hAnsi="宋体"/>
          <w:szCs w:val="21"/>
        </w:rPr>
        <w:t>3</w:t>
      </w:r>
      <w:r>
        <w:rPr>
          <w:rFonts w:ascii="宋体" w:hAnsi="宋体"/>
          <w:szCs w:val="21"/>
          <w:lang w:val="en"/>
        </w:rPr>
        <w:t>.</w:t>
      </w:r>
      <w:r>
        <w:rPr>
          <w:rFonts w:ascii="宋体" w:hAnsi="宋体"/>
          <w:szCs w:val="21"/>
        </w:rPr>
        <w:t>乙方应按合同、招标文件、响应文件及承诺向甲方提供相应的服务，并提供服务质量和服务内容的相关技术资料。</w:t>
      </w:r>
    </w:p>
    <w:p>
      <w:pPr>
        <w:snapToGrid w:val="0"/>
        <w:spacing w:line="360" w:lineRule="auto"/>
        <w:ind w:firstLine="420" w:firstLineChars="200"/>
        <w:rPr>
          <w:rFonts w:ascii="宋体" w:hAnsi="宋体"/>
          <w:szCs w:val="21"/>
        </w:rPr>
      </w:pPr>
      <w:r>
        <w:rPr>
          <w:rFonts w:ascii="宋体" w:hAnsi="宋体"/>
          <w:szCs w:val="21"/>
        </w:rPr>
        <w:t>4</w:t>
      </w:r>
      <w:r>
        <w:rPr>
          <w:rFonts w:ascii="宋体" w:hAnsi="宋体"/>
          <w:szCs w:val="21"/>
          <w:lang w:val="en"/>
        </w:rPr>
        <w:t>.</w:t>
      </w:r>
      <w:r>
        <w:rPr>
          <w:rFonts w:ascii="宋体" w:hAnsi="宋体"/>
          <w:szCs w:val="21"/>
        </w:rPr>
        <w:t>乙方提供不符合本合同、招标文件、响应文件规定的服务成果，甲方有权拒绝接收，并要求乙方限期进行整改直至服务成果符合规定，如乙方在限期整改的时间内仍不能提供符合采购文件、响应文件和本合同规定的，则按乙方逾期交付服务成果处理。</w:t>
      </w:r>
    </w:p>
    <w:p>
      <w:pPr>
        <w:snapToGrid w:val="0"/>
        <w:spacing w:line="360" w:lineRule="auto"/>
        <w:ind w:firstLine="420" w:firstLineChars="200"/>
        <w:rPr>
          <w:rFonts w:ascii="宋体" w:hAnsi="宋体"/>
          <w:szCs w:val="21"/>
        </w:rPr>
      </w:pPr>
      <w:r>
        <w:rPr>
          <w:rFonts w:ascii="宋体" w:hAnsi="宋体"/>
          <w:szCs w:val="21"/>
        </w:rPr>
        <w:t>5</w:t>
      </w:r>
      <w:r>
        <w:rPr>
          <w:rFonts w:ascii="宋体" w:hAnsi="宋体"/>
          <w:szCs w:val="21"/>
          <w:lang w:val="en"/>
        </w:rPr>
        <w:t>.</w:t>
      </w:r>
      <w:r>
        <w:rPr>
          <w:rFonts w:ascii="宋体" w:hAnsi="宋体"/>
          <w:szCs w:val="21"/>
        </w:rPr>
        <w:t>乙方在完成服务前应对服务作出全面检查和对验收文件进行整理，并列出清单，作为甲方服务验收的技术依据，清单应随提交的服务成果交给甲方，乙方应提前书面通知甲方组织验收，并在通知单上列明乙方组织验收的负责人以及参与人员，甲方在接到乙方书面通知后组织安排验收工作。</w:t>
      </w:r>
    </w:p>
    <w:p>
      <w:pPr>
        <w:snapToGrid w:val="0"/>
        <w:spacing w:line="360" w:lineRule="auto"/>
        <w:ind w:firstLine="420" w:firstLineChars="200"/>
        <w:rPr>
          <w:rFonts w:ascii="宋体" w:hAnsi="宋体"/>
          <w:szCs w:val="21"/>
        </w:rPr>
      </w:pPr>
      <w:r>
        <w:rPr>
          <w:rFonts w:ascii="宋体" w:hAnsi="宋体"/>
          <w:szCs w:val="21"/>
        </w:rPr>
        <w:t>6</w:t>
      </w:r>
      <w:r>
        <w:rPr>
          <w:rFonts w:ascii="宋体" w:hAnsi="宋体"/>
          <w:szCs w:val="21"/>
          <w:lang w:val="en"/>
        </w:rPr>
        <w:t>.</w:t>
      </w:r>
      <w:r>
        <w:rPr>
          <w:rFonts w:ascii="宋体" w:hAnsi="宋体"/>
          <w:szCs w:val="21"/>
        </w:rPr>
        <w:t>甲乙双方应按照《广西壮族自治区政府采购项目履约验收管理办法》、本合同、招标文件、响应文件进行验收，验收时乙方必须在现场，验收费用由乙方负责。经验收服务质量和服务内容符合合同、投标文件、响应文件规定的要求的，由甲乙双方签署合格验收书并加盖甲乙方公章，合格验收书</w:t>
      </w:r>
      <w:r>
        <w:rPr>
          <w:rFonts w:hint="eastAsia" w:ascii="宋体" w:hAnsi="宋体"/>
          <w:szCs w:val="21"/>
          <w:lang w:eastAsia="zh-CN"/>
        </w:rPr>
        <w:t>一式两份</w:t>
      </w:r>
      <w:r>
        <w:rPr>
          <w:rFonts w:ascii="宋体" w:hAnsi="宋体"/>
          <w:szCs w:val="21"/>
        </w:rPr>
        <w:t>，甲乙双方各执壹份。</w:t>
      </w:r>
    </w:p>
    <w:p>
      <w:pPr>
        <w:snapToGrid w:val="0"/>
        <w:spacing w:line="360" w:lineRule="auto"/>
        <w:ind w:firstLine="420" w:firstLineChars="200"/>
        <w:rPr>
          <w:rFonts w:ascii="宋体" w:hAnsi="宋体"/>
          <w:szCs w:val="21"/>
        </w:rPr>
      </w:pPr>
      <w:r>
        <w:rPr>
          <w:rFonts w:ascii="宋体" w:hAnsi="宋体"/>
          <w:szCs w:val="21"/>
        </w:rPr>
        <w:t>7</w:t>
      </w:r>
      <w:r>
        <w:rPr>
          <w:rFonts w:ascii="宋体" w:hAnsi="宋体"/>
          <w:szCs w:val="21"/>
          <w:lang w:val="en"/>
        </w:rPr>
        <w:t>.</w:t>
      </w:r>
      <w:r>
        <w:rPr>
          <w:rFonts w:ascii="宋体" w:hAnsi="宋体"/>
          <w:szCs w:val="21"/>
        </w:rPr>
        <w:t>甲方在初步验收或者最终验收过程中发现乙方提供的服务、服务质量或服务内容不满足合同、投标文件、响应文件规定的，按投标文件约定处理。</w:t>
      </w:r>
    </w:p>
    <w:p>
      <w:pPr>
        <w:snapToGrid w:val="0"/>
        <w:spacing w:line="360" w:lineRule="auto"/>
        <w:ind w:firstLine="420" w:firstLineChars="200"/>
        <w:rPr>
          <w:rFonts w:ascii="宋体" w:hAnsi="宋体"/>
          <w:szCs w:val="21"/>
        </w:rPr>
      </w:pPr>
      <w:r>
        <w:rPr>
          <w:rFonts w:ascii="宋体" w:hAnsi="宋体"/>
          <w:szCs w:val="21"/>
        </w:rPr>
        <w:t>8</w:t>
      </w:r>
      <w:r>
        <w:rPr>
          <w:rFonts w:ascii="宋体" w:hAnsi="宋体"/>
          <w:szCs w:val="21"/>
          <w:lang w:val="en"/>
        </w:rPr>
        <w:t>.</w:t>
      </w:r>
      <w:r>
        <w:rPr>
          <w:rFonts w:ascii="宋体" w:hAnsi="宋体"/>
          <w:szCs w:val="21"/>
        </w:rPr>
        <w:t>甲方验收时发现乙方提供的服务、服务质量或服务内容不满足本合同、投标文件、响应文件规定并以书面形式提出异议的，乙方应自收到甲方书面异议后五个工作日内予以解决，否则甲方有权不出具合格验收书。乙方因解决异议问题而造成逾期的，按乙方逾期交付服务/提供服务成果处理。</w:t>
      </w:r>
    </w:p>
    <w:p>
      <w:pPr>
        <w:snapToGrid w:val="0"/>
        <w:spacing w:line="360" w:lineRule="auto"/>
        <w:ind w:firstLine="420" w:firstLineChars="200"/>
        <w:rPr>
          <w:rFonts w:ascii="宋体" w:hAnsi="宋体"/>
          <w:szCs w:val="21"/>
        </w:rPr>
      </w:pPr>
      <w:bookmarkStart w:id="510" w:name="_Toc922475769_WPSOffice_Level1"/>
      <w:bookmarkStart w:id="511" w:name="_Toc1723436797_WPSOffice_Level1"/>
      <w:bookmarkStart w:id="512" w:name="_Toc477723562_WPSOffice_Level1"/>
      <w:r>
        <w:rPr>
          <w:rFonts w:ascii="宋体" w:hAnsi="宋体"/>
          <w:szCs w:val="21"/>
        </w:rPr>
        <w:t>第五条　付款方式</w:t>
      </w:r>
      <w:bookmarkEnd w:id="510"/>
      <w:bookmarkEnd w:id="511"/>
      <w:bookmarkEnd w:id="512"/>
    </w:p>
    <w:p>
      <w:pPr>
        <w:snapToGrid w:val="0"/>
        <w:spacing w:line="360" w:lineRule="auto"/>
        <w:ind w:firstLine="420" w:firstLineChars="200"/>
        <w:rPr>
          <w:rFonts w:ascii="宋体" w:hAnsi="宋体"/>
          <w:szCs w:val="21"/>
        </w:rPr>
      </w:pPr>
      <w:r>
        <w:rPr>
          <w:rFonts w:ascii="宋体" w:hAnsi="宋体"/>
          <w:szCs w:val="21"/>
        </w:rPr>
        <w:t>1</w:t>
      </w:r>
      <w:r>
        <w:rPr>
          <w:rFonts w:ascii="宋体" w:hAnsi="宋体"/>
          <w:szCs w:val="21"/>
          <w:lang w:val="en"/>
        </w:rPr>
        <w:t>.</w:t>
      </w:r>
      <w:r>
        <w:rPr>
          <w:rFonts w:ascii="宋体" w:hAnsi="宋体"/>
          <w:szCs w:val="21"/>
        </w:rPr>
        <w:t>资金性质： 财政性资金 。</w:t>
      </w:r>
    </w:p>
    <w:p>
      <w:pPr>
        <w:snapToGrid w:val="0"/>
        <w:spacing w:line="360" w:lineRule="auto"/>
        <w:ind w:firstLine="420" w:firstLineChars="200"/>
        <w:rPr>
          <w:rFonts w:ascii="宋体" w:hAnsi="宋体"/>
          <w:szCs w:val="21"/>
        </w:rPr>
      </w:pPr>
      <w:r>
        <w:rPr>
          <w:rFonts w:ascii="宋体" w:hAnsi="宋体"/>
          <w:szCs w:val="21"/>
        </w:rPr>
        <w:t>2</w:t>
      </w:r>
      <w:r>
        <w:rPr>
          <w:rFonts w:ascii="宋体" w:hAnsi="宋体"/>
          <w:szCs w:val="21"/>
          <w:lang w:val="en"/>
        </w:rPr>
        <w:t>.</w:t>
      </w:r>
      <w:r>
        <w:rPr>
          <w:rFonts w:ascii="宋体" w:hAnsi="宋体"/>
          <w:szCs w:val="21"/>
        </w:rPr>
        <w:t>付款方式</w:t>
      </w:r>
    </w:p>
    <w:p>
      <w:pPr>
        <w:snapToGrid w:val="0"/>
        <w:spacing w:line="360" w:lineRule="auto"/>
        <w:ind w:firstLine="420" w:firstLineChars="200"/>
        <w:rPr>
          <w:rFonts w:ascii="宋体" w:hAnsi="宋体"/>
          <w:szCs w:val="21"/>
        </w:rPr>
      </w:pPr>
      <w:r>
        <w:rPr>
          <w:rFonts w:ascii="宋体" w:hAnsi="宋体"/>
          <w:szCs w:val="21"/>
        </w:rPr>
        <w:t>甲乙双方同意按以下方式支付合同合计金额：</w:t>
      </w:r>
    </w:p>
    <w:p>
      <w:pPr>
        <w:snapToGrid w:val="0"/>
        <w:spacing w:line="360" w:lineRule="auto"/>
        <w:ind w:firstLine="420" w:firstLineChars="200"/>
        <w:rPr>
          <w:rFonts w:ascii="宋体" w:hAnsi="宋体"/>
          <w:szCs w:val="21"/>
        </w:rPr>
      </w:pPr>
      <w:r>
        <w:rPr>
          <w:rFonts w:ascii="宋体" w:hAnsi="宋体"/>
          <w:szCs w:val="21"/>
        </w:rPr>
        <w:t>本合同生效后十个工作日内，甲方向乙方支付合同总金额的4</w:t>
      </w:r>
      <w:r>
        <w:rPr>
          <w:rFonts w:hint="eastAsia" w:ascii="宋体" w:hAnsi="宋体"/>
          <w:szCs w:val="21"/>
        </w:rPr>
        <w:t>5</w:t>
      </w:r>
      <w:r>
        <w:rPr>
          <w:rFonts w:ascii="宋体" w:hAnsi="宋体"/>
          <w:szCs w:val="21"/>
        </w:rPr>
        <w:t>%做为第一笔合同款；乙方连续两个季度通过运维服务考核并向甲方递交请款申请后十个工作日内，甲方向乙方支付合同费用总金额的50%做为第二笔合同款；项目验收通过且经甲方签署项目合同验收书后十个工作日内，甲方向乙方支付合同费用总金额的</w:t>
      </w:r>
      <w:r>
        <w:rPr>
          <w:rFonts w:hint="eastAsia" w:ascii="宋体" w:hAnsi="宋体"/>
          <w:szCs w:val="21"/>
        </w:rPr>
        <w:t>5</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乙方应在甲方付款前向甲方提供</w:t>
      </w:r>
      <w:r>
        <w:rPr>
          <w:szCs w:val="21"/>
        </w:rPr>
        <w:t>等额的、符合国家财税规定的合法发票</w:t>
      </w:r>
      <w:r>
        <w:rPr>
          <w:rFonts w:ascii="宋体" w:hAnsi="宋体"/>
          <w:szCs w:val="21"/>
        </w:rPr>
        <w:t>，甲方在收到发票十个工作日内支付相应金额。乙方未及时向甲方开具发票的，甲方有权顺延付款时间，且不承担任何逾期付款违约责任。</w:t>
      </w:r>
    </w:p>
    <w:p>
      <w:pPr>
        <w:snapToGrid w:val="0"/>
        <w:spacing w:line="360" w:lineRule="auto"/>
        <w:ind w:firstLine="420" w:firstLineChars="200"/>
        <w:rPr>
          <w:rFonts w:ascii="宋体" w:hAnsi="宋体"/>
          <w:szCs w:val="21"/>
        </w:rPr>
      </w:pPr>
      <w:r>
        <w:rPr>
          <w:rFonts w:ascii="宋体" w:hAnsi="宋体"/>
          <w:szCs w:val="21"/>
        </w:rPr>
        <w:t>甲方开票信息如下：</w:t>
      </w:r>
    </w:p>
    <w:p>
      <w:pPr>
        <w:snapToGrid w:val="0"/>
        <w:spacing w:line="360" w:lineRule="auto"/>
        <w:ind w:firstLine="420" w:firstLineChars="200"/>
        <w:rPr>
          <w:rFonts w:ascii="宋体" w:hAnsi="宋体"/>
          <w:szCs w:val="21"/>
        </w:rPr>
      </w:pPr>
      <w:r>
        <w:rPr>
          <w:rFonts w:ascii="宋体" w:hAnsi="宋体"/>
          <w:szCs w:val="21"/>
        </w:rPr>
        <w:t>单位名称：广西壮族自治区环境信息中心</w:t>
      </w:r>
    </w:p>
    <w:p>
      <w:pPr>
        <w:snapToGrid w:val="0"/>
        <w:spacing w:line="360" w:lineRule="auto"/>
        <w:ind w:firstLine="420" w:firstLineChars="200"/>
        <w:rPr>
          <w:rFonts w:ascii="宋体" w:hAnsi="宋体"/>
          <w:szCs w:val="21"/>
        </w:rPr>
      </w:pPr>
      <w:r>
        <w:rPr>
          <w:rFonts w:ascii="宋体" w:hAnsi="宋体"/>
          <w:szCs w:val="21"/>
        </w:rPr>
        <w:t>统一社会信用代码：124500000997060101</w:t>
      </w:r>
    </w:p>
    <w:p>
      <w:pPr>
        <w:snapToGrid w:val="0"/>
        <w:spacing w:line="360" w:lineRule="auto"/>
        <w:ind w:firstLine="420" w:firstLineChars="200"/>
        <w:rPr>
          <w:rFonts w:ascii="宋体" w:hAnsi="宋体"/>
          <w:szCs w:val="21"/>
        </w:rPr>
      </w:pPr>
      <w:r>
        <w:rPr>
          <w:rFonts w:ascii="宋体" w:hAnsi="宋体"/>
          <w:szCs w:val="21"/>
        </w:rPr>
        <w:t>纳税人识别号：124500000997060101</w:t>
      </w:r>
    </w:p>
    <w:p>
      <w:pPr>
        <w:snapToGrid w:val="0"/>
        <w:spacing w:line="360" w:lineRule="auto"/>
        <w:ind w:firstLine="420" w:firstLineChars="200"/>
        <w:rPr>
          <w:rFonts w:ascii="宋体" w:hAnsi="宋体"/>
          <w:szCs w:val="21"/>
        </w:rPr>
      </w:pPr>
      <w:r>
        <w:rPr>
          <w:rFonts w:ascii="宋体" w:hAnsi="宋体"/>
          <w:szCs w:val="21"/>
        </w:rPr>
        <w:t>地址：南宁市青秀区佛子岭路16号</w:t>
      </w:r>
    </w:p>
    <w:p>
      <w:pPr>
        <w:snapToGrid w:val="0"/>
        <w:spacing w:line="360" w:lineRule="auto"/>
        <w:ind w:firstLine="420" w:firstLineChars="200"/>
        <w:rPr>
          <w:rFonts w:ascii="宋体" w:hAnsi="宋体"/>
          <w:szCs w:val="21"/>
        </w:rPr>
      </w:pPr>
      <w:r>
        <w:rPr>
          <w:rFonts w:ascii="宋体" w:hAnsi="宋体"/>
          <w:szCs w:val="21"/>
        </w:rPr>
        <w:t>银行账户：451060310018010039711</w:t>
      </w:r>
    </w:p>
    <w:p>
      <w:pPr>
        <w:snapToGrid w:val="0"/>
        <w:spacing w:line="360" w:lineRule="auto"/>
        <w:ind w:firstLine="420" w:firstLineChars="200"/>
        <w:rPr>
          <w:rFonts w:ascii="宋体" w:hAnsi="宋体"/>
          <w:szCs w:val="21"/>
        </w:rPr>
      </w:pPr>
      <w:r>
        <w:rPr>
          <w:rFonts w:ascii="宋体" w:hAnsi="宋体"/>
          <w:szCs w:val="21"/>
        </w:rPr>
        <w:t>开户行：交通银行凤翔支行</w:t>
      </w:r>
    </w:p>
    <w:p>
      <w:pPr>
        <w:snapToGrid w:val="0"/>
        <w:spacing w:line="360" w:lineRule="auto"/>
        <w:ind w:firstLine="420" w:firstLineChars="200"/>
        <w:rPr>
          <w:rFonts w:ascii="宋体" w:hAnsi="宋体"/>
          <w:szCs w:val="21"/>
        </w:rPr>
      </w:pPr>
      <w:r>
        <w:rPr>
          <w:rFonts w:ascii="宋体" w:hAnsi="宋体"/>
          <w:szCs w:val="21"/>
        </w:rPr>
        <w:t>3</w:t>
      </w:r>
      <w:r>
        <w:rPr>
          <w:rFonts w:ascii="宋体" w:hAnsi="宋体"/>
          <w:szCs w:val="21"/>
          <w:lang w:val="en"/>
        </w:rPr>
        <w:t>.</w:t>
      </w:r>
      <w:r>
        <w:rPr>
          <w:rFonts w:ascii="宋体" w:hAnsi="宋体"/>
          <w:szCs w:val="21"/>
        </w:rPr>
        <w:t>乙方指定以下账户为接受本合同价款的账户，并对其指定的下列账户信息真实性、安全性、准确性负责。</w:t>
      </w:r>
    </w:p>
    <w:p>
      <w:pPr>
        <w:snapToGrid w:val="0"/>
        <w:spacing w:line="360" w:lineRule="auto"/>
        <w:ind w:firstLine="420" w:firstLineChars="200"/>
        <w:rPr>
          <w:rFonts w:ascii="宋体" w:hAnsi="宋体"/>
          <w:szCs w:val="21"/>
        </w:rPr>
      </w:pPr>
      <w:r>
        <w:rPr>
          <w:rFonts w:ascii="宋体" w:hAnsi="宋体"/>
          <w:szCs w:val="21"/>
        </w:rPr>
        <w:t>账户名称：</w:t>
      </w:r>
      <w:r>
        <w:rPr>
          <w:rFonts w:ascii="宋体" w:hAnsi="宋体"/>
          <w:szCs w:val="21"/>
          <w:u w:val="single"/>
        </w:rPr>
        <w:t xml:space="preserve">　                                 </w:t>
      </w:r>
      <w:r>
        <w:rPr>
          <w:rFonts w:ascii="宋体" w:hAnsi="宋体"/>
          <w:szCs w:val="21"/>
        </w:rPr>
        <w:t>　</w:t>
      </w:r>
    </w:p>
    <w:p>
      <w:pPr>
        <w:snapToGrid w:val="0"/>
        <w:spacing w:line="360" w:lineRule="auto"/>
        <w:ind w:firstLine="420" w:firstLineChars="200"/>
        <w:rPr>
          <w:rFonts w:ascii="宋体" w:hAnsi="宋体"/>
          <w:szCs w:val="21"/>
        </w:rPr>
      </w:pPr>
      <w:r>
        <w:rPr>
          <w:rFonts w:ascii="宋体" w:hAnsi="宋体"/>
          <w:szCs w:val="21"/>
        </w:rPr>
        <w:t>开户银行：</w:t>
      </w:r>
      <w:r>
        <w:rPr>
          <w:rFonts w:ascii="宋体" w:hAnsi="宋体"/>
          <w:szCs w:val="21"/>
          <w:u w:val="single"/>
        </w:rPr>
        <w:t xml:space="preserve">　                                   </w:t>
      </w:r>
      <w:r>
        <w:rPr>
          <w:rFonts w:ascii="宋体" w:hAnsi="宋体"/>
          <w:szCs w:val="21"/>
        </w:rPr>
        <w:t xml:space="preserve"> 　</w:t>
      </w:r>
    </w:p>
    <w:p>
      <w:pPr>
        <w:snapToGrid w:val="0"/>
        <w:spacing w:line="360" w:lineRule="auto"/>
        <w:ind w:firstLine="420" w:firstLineChars="200"/>
        <w:rPr>
          <w:rFonts w:ascii="宋体" w:hAnsi="宋体"/>
          <w:szCs w:val="21"/>
        </w:rPr>
      </w:pPr>
      <w:r>
        <w:rPr>
          <w:rFonts w:ascii="宋体" w:hAnsi="宋体"/>
          <w:szCs w:val="21"/>
        </w:rPr>
        <w:t>银行账号：</w:t>
      </w:r>
      <w:r>
        <w:rPr>
          <w:rFonts w:ascii="宋体" w:hAnsi="宋体"/>
          <w:szCs w:val="21"/>
          <w:u w:val="single"/>
        </w:rPr>
        <w:t xml:space="preserve">　                               </w:t>
      </w:r>
      <w:r>
        <w:rPr>
          <w:rFonts w:ascii="宋体" w:hAnsi="宋体"/>
          <w:szCs w:val="21"/>
        </w:rPr>
        <w:t>　</w:t>
      </w:r>
    </w:p>
    <w:p>
      <w:pPr>
        <w:snapToGrid w:val="0"/>
        <w:spacing w:line="360" w:lineRule="auto"/>
        <w:ind w:firstLine="420" w:firstLineChars="200"/>
        <w:rPr>
          <w:rFonts w:ascii="宋体" w:hAnsi="宋体"/>
          <w:szCs w:val="21"/>
        </w:rPr>
      </w:pPr>
      <w:r>
        <w:rPr>
          <w:rFonts w:ascii="宋体" w:hAnsi="宋体"/>
          <w:szCs w:val="21"/>
        </w:rPr>
        <w:t>联系人：　</w:t>
      </w:r>
      <w:r>
        <w:rPr>
          <w:rFonts w:ascii="宋体" w:hAnsi="宋体"/>
          <w:szCs w:val="21"/>
          <w:u w:val="single"/>
        </w:rPr>
        <w:t xml:space="preserve">                                  </w:t>
      </w:r>
      <w:r>
        <w:rPr>
          <w:rFonts w:ascii="宋体" w:hAnsi="宋体"/>
          <w:szCs w:val="21"/>
        </w:rPr>
        <w:t xml:space="preserve">         </w:t>
      </w:r>
    </w:p>
    <w:p>
      <w:pPr>
        <w:snapToGrid w:val="0"/>
        <w:spacing w:line="360" w:lineRule="auto"/>
        <w:ind w:firstLine="420" w:firstLineChars="200"/>
        <w:rPr>
          <w:rFonts w:ascii="宋体" w:hAnsi="宋体"/>
          <w:szCs w:val="21"/>
        </w:rPr>
      </w:pPr>
      <w:r>
        <w:rPr>
          <w:rFonts w:ascii="宋体" w:hAnsi="宋体"/>
          <w:szCs w:val="21"/>
        </w:rPr>
        <w:t>联系电话：</w:t>
      </w:r>
      <w:r>
        <w:rPr>
          <w:rFonts w:ascii="宋体" w:hAnsi="宋体"/>
          <w:szCs w:val="21"/>
          <w:u w:val="single"/>
        </w:rPr>
        <w:t xml:space="preserve">　　                            </w:t>
      </w:r>
      <w:r>
        <w:rPr>
          <w:rFonts w:ascii="宋体" w:hAnsi="宋体"/>
          <w:szCs w:val="21"/>
        </w:rPr>
        <w:t xml:space="preserve">　　　  </w:t>
      </w:r>
    </w:p>
    <w:p>
      <w:pPr>
        <w:snapToGrid w:val="0"/>
        <w:spacing w:line="360" w:lineRule="auto"/>
        <w:ind w:firstLine="420" w:firstLineChars="200"/>
        <w:rPr>
          <w:rFonts w:ascii="宋体" w:hAnsi="宋体"/>
          <w:szCs w:val="21"/>
        </w:rPr>
      </w:pPr>
      <w:r>
        <w:rPr>
          <w:rFonts w:ascii="宋体" w:hAnsi="宋体"/>
          <w:szCs w:val="21"/>
        </w:rPr>
        <w:t xml:space="preserve">传  真： </w:t>
      </w:r>
      <w:r>
        <w:rPr>
          <w:rFonts w:ascii="宋体" w:hAnsi="宋体"/>
          <w:szCs w:val="21"/>
          <w:u w:val="single"/>
        </w:rPr>
        <w:t xml:space="preserve">                                </w:t>
      </w:r>
      <w:r>
        <w:rPr>
          <w:rFonts w:ascii="宋体" w:hAnsi="宋体"/>
          <w:szCs w:val="21"/>
        </w:rPr>
        <w:t xml:space="preserve">       </w:t>
      </w:r>
    </w:p>
    <w:p>
      <w:pPr>
        <w:snapToGrid w:val="0"/>
        <w:spacing w:line="360" w:lineRule="auto"/>
        <w:ind w:firstLine="420" w:firstLineChars="200"/>
        <w:rPr>
          <w:rFonts w:ascii="宋体" w:hAnsi="宋体"/>
          <w:szCs w:val="21"/>
        </w:rPr>
      </w:pPr>
      <w:r>
        <w:rPr>
          <w:rFonts w:ascii="宋体" w:hAnsi="宋体"/>
          <w:szCs w:val="21"/>
        </w:rPr>
        <w:t>如乙方上述账户信息发生变更，乙方应提前十日向甲方发送书面通知，未能提前书面通知而产生的不利后果由乙方自行承担。</w:t>
      </w:r>
    </w:p>
    <w:p>
      <w:pPr>
        <w:snapToGrid w:val="0"/>
        <w:spacing w:line="360" w:lineRule="auto"/>
        <w:ind w:firstLine="420" w:firstLineChars="200"/>
        <w:rPr>
          <w:rFonts w:ascii="宋体" w:hAnsi="宋体"/>
          <w:szCs w:val="21"/>
        </w:rPr>
      </w:pPr>
      <w:r>
        <w:rPr>
          <w:rFonts w:ascii="宋体" w:hAnsi="宋体"/>
          <w:szCs w:val="21"/>
        </w:rPr>
        <w:t>4</w:t>
      </w:r>
      <w:r>
        <w:rPr>
          <w:rFonts w:ascii="宋体" w:hAnsi="宋体"/>
          <w:szCs w:val="21"/>
          <w:lang w:val="en"/>
        </w:rPr>
        <w:t>.</w:t>
      </w:r>
      <w:r>
        <w:rPr>
          <w:rFonts w:ascii="宋体" w:hAnsi="宋体"/>
          <w:szCs w:val="21"/>
        </w:rPr>
        <w:t>甲方在支付每笔款项前，乙方应当提供可供政府审计并且符合税务规定的正式发票，否则甲方有权拒付相应款项直至乙方能提供符合规定的发票为止。</w:t>
      </w:r>
    </w:p>
    <w:p>
      <w:pPr>
        <w:snapToGrid w:val="0"/>
        <w:spacing w:line="360" w:lineRule="auto"/>
        <w:ind w:firstLine="420" w:firstLineChars="200"/>
        <w:rPr>
          <w:rFonts w:ascii="宋体" w:hAnsi="宋体"/>
          <w:szCs w:val="21"/>
        </w:rPr>
      </w:pPr>
      <w:bookmarkStart w:id="513" w:name="_Toc1745376888_WPSOffice_Level1"/>
      <w:bookmarkStart w:id="514" w:name="_Toc372317787_WPSOffice_Level1"/>
      <w:bookmarkStart w:id="515" w:name="_Toc1504947670_WPSOffice_Level1"/>
      <w:r>
        <w:rPr>
          <w:rFonts w:ascii="宋体" w:hAnsi="宋体"/>
          <w:szCs w:val="21"/>
        </w:rPr>
        <w:t>第六条　履约保证金</w:t>
      </w:r>
      <w:bookmarkEnd w:id="513"/>
      <w:bookmarkEnd w:id="514"/>
      <w:bookmarkEnd w:id="515"/>
    </w:p>
    <w:p>
      <w:pPr>
        <w:snapToGrid w:val="0"/>
        <w:spacing w:line="360" w:lineRule="auto"/>
        <w:ind w:firstLine="420" w:firstLineChars="200"/>
        <w:rPr>
          <w:rFonts w:ascii="宋体" w:hAnsi="宋体"/>
          <w:szCs w:val="21"/>
        </w:rPr>
      </w:pPr>
      <w:r>
        <w:rPr>
          <w:rFonts w:hint="eastAsia" w:ascii="宋体" w:hAnsi="宋体"/>
          <w:szCs w:val="21"/>
        </w:rPr>
        <w:t>1.本项目收取履约保证金，成交价5%收取，如该项目</w:t>
      </w:r>
      <w:r>
        <w:rPr>
          <w:rFonts w:ascii="宋体" w:hAnsi="宋体"/>
          <w:szCs w:val="21"/>
        </w:rPr>
        <w:t>由</w:t>
      </w:r>
      <w:r>
        <w:rPr>
          <w:rFonts w:hint="eastAsia" w:ascii="宋体" w:hAnsi="宋体"/>
          <w:szCs w:val="21"/>
        </w:rPr>
        <w:t>中小</w:t>
      </w:r>
      <w:r>
        <w:rPr>
          <w:rFonts w:ascii="宋体" w:hAnsi="宋体"/>
          <w:szCs w:val="21"/>
        </w:rPr>
        <w:t>企业承接</w:t>
      </w:r>
      <w:r>
        <w:rPr>
          <w:rFonts w:hint="eastAsia" w:ascii="宋体" w:hAnsi="宋体"/>
          <w:szCs w:val="21"/>
        </w:rPr>
        <w:t>，则按2%收取</w:t>
      </w:r>
      <w:r>
        <w:rPr>
          <w:rFonts w:ascii="宋体" w:hAnsi="宋体"/>
          <w:szCs w:val="21"/>
        </w:rPr>
        <w:t>。</w:t>
      </w:r>
    </w:p>
    <w:p>
      <w:pPr>
        <w:snapToGrid w:val="0"/>
        <w:spacing w:line="360" w:lineRule="auto"/>
        <w:ind w:firstLine="420" w:firstLineChars="200"/>
        <w:rPr>
          <w:rFonts w:ascii="宋体" w:hAnsi="宋体"/>
          <w:szCs w:val="21"/>
        </w:rPr>
      </w:pPr>
      <w:r>
        <w:rPr>
          <w:rFonts w:hint="eastAsia" w:ascii="宋体" w:hAnsi="宋体"/>
          <w:szCs w:val="21"/>
        </w:rPr>
        <w:t>2.履约保证金递交方式：银行转账、支票、汇票、本票或者金融、担保机构出具的保函等非现金方式（参照投标保证金）。</w:t>
      </w:r>
    </w:p>
    <w:p>
      <w:pPr>
        <w:snapToGrid w:val="0"/>
        <w:spacing w:line="360" w:lineRule="auto"/>
        <w:ind w:firstLine="420" w:firstLineChars="200"/>
        <w:rPr>
          <w:rFonts w:ascii="宋体" w:hAnsi="宋体"/>
          <w:szCs w:val="21"/>
        </w:rPr>
      </w:pPr>
      <w:r>
        <w:rPr>
          <w:rFonts w:hint="eastAsia" w:ascii="宋体" w:hAnsi="宋体"/>
          <w:szCs w:val="21"/>
        </w:rPr>
        <w:t>3.履约保证金退付方式、时间及条件：服务验收合格后且服务过程中乙方无违约情形的，由乙方向甲方提供《广西壮族自治区政府采购项目合同验收书》及《政府采购项目履约保证金退付意见书》，甲方在收到合格材料后15个工作日内办理退还手续（不计利息）。</w:t>
      </w:r>
    </w:p>
    <w:p>
      <w:pPr>
        <w:snapToGrid w:val="0"/>
        <w:spacing w:line="360" w:lineRule="auto"/>
        <w:ind w:firstLine="420" w:firstLineChars="200"/>
        <w:rPr>
          <w:rFonts w:ascii="宋体" w:hAnsi="宋体"/>
          <w:szCs w:val="21"/>
        </w:rPr>
      </w:pPr>
      <w:r>
        <w:rPr>
          <w:rFonts w:hint="eastAsia" w:ascii="宋体" w:hAnsi="宋体"/>
          <w:szCs w:val="21"/>
        </w:rPr>
        <w:t>履约保证金指定账户：</w:t>
      </w:r>
    </w:p>
    <w:p>
      <w:pPr>
        <w:snapToGrid w:val="0"/>
        <w:spacing w:line="360" w:lineRule="auto"/>
        <w:ind w:firstLine="420" w:firstLineChars="200"/>
        <w:rPr>
          <w:rFonts w:ascii="宋体" w:hAnsi="宋体"/>
          <w:szCs w:val="21"/>
        </w:rPr>
      </w:pPr>
      <w:r>
        <w:rPr>
          <w:rFonts w:hint="eastAsia" w:ascii="宋体" w:hAnsi="宋体"/>
          <w:szCs w:val="21"/>
        </w:rPr>
        <w:t>开户名称：广西壮族自治区环境信息中心</w:t>
      </w:r>
    </w:p>
    <w:p>
      <w:pPr>
        <w:snapToGrid w:val="0"/>
        <w:spacing w:line="360" w:lineRule="auto"/>
        <w:ind w:firstLine="420" w:firstLineChars="200"/>
        <w:rPr>
          <w:rFonts w:ascii="宋体" w:hAnsi="宋体"/>
          <w:szCs w:val="21"/>
        </w:rPr>
      </w:pPr>
      <w:r>
        <w:rPr>
          <w:rFonts w:hint="eastAsia" w:ascii="宋体" w:hAnsi="宋体"/>
          <w:szCs w:val="21"/>
        </w:rPr>
        <w:t>开户银行：交通银行凤翔支行</w:t>
      </w:r>
    </w:p>
    <w:p>
      <w:pPr>
        <w:snapToGrid w:val="0"/>
        <w:spacing w:line="360" w:lineRule="auto"/>
        <w:ind w:firstLine="420" w:firstLineChars="200"/>
        <w:rPr>
          <w:rFonts w:ascii="宋体" w:hAnsi="宋体"/>
          <w:szCs w:val="21"/>
        </w:rPr>
      </w:pPr>
      <w:r>
        <w:rPr>
          <w:rFonts w:hint="eastAsia" w:ascii="宋体" w:hAnsi="宋体"/>
          <w:szCs w:val="21"/>
        </w:rPr>
        <w:t>银行账号：451060310018010039711</w:t>
      </w:r>
    </w:p>
    <w:p>
      <w:pPr>
        <w:snapToGrid w:val="0"/>
        <w:spacing w:line="360" w:lineRule="auto"/>
        <w:ind w:firstLine="420" w:firstLineChars="200"/>
        <w:rPr>
          <w:rFonts w:ascii="宋体" w:hAnsi="宋体"/>
          <w:szCs w:val="21"/>
        </w:rPr>
      </w:pPr>
      <w:r>
        <w:rPr>
          <w:rFonts w:hint="eastAsia" w:ascii="宋体" w:hAnsi="宋体"/>
          <w:szCs w:val="21"/>
        </w:rPr>
        <w:t>4.乙方在服务期内有违约行为的，甲方可直接在履约保证金中对乙方任何应付未付款项或违约金进行扣减，乙方应在履约保证金被扣减后的七日内将保证金数额恢复至原有数额。</w:t>
      </w:r>
    </w:p>
    <w:p>
      <w:pPr>
        <w:snapToGrid w:val="0"/>
        <w:spacing w:line="360" w:lineRule="auto"/>
        <w:ind w:firstLine="420" w:firstLineChars="200"/>
        <w:rPr>
          <w:rFonts w:ascii="宋体" w:hAnsi="宋体"/>
          <w:szCs w:val="21"/>
        </w:rPr>
      </w:pPr>
      <w:bookmarkStart w:id="516" w:name="_Toc1601812320_WPSOffice_Level1"/>
      <w:bookmarkStart w:id="517" w:name="_Toc759873884_WPSOffice_Level1"/>
      <w:bookmarkStart w:id="518" w:name="_Toc1698537398_WPSOffice_Level1"/>
      <w:r>
        <w:rPr>
          <w:rFonts w:ascii="宋体" w:hAnsi="宋体"/>
          <w:szCs w:val="21"/>
        </w:rPr>
        <w:t>第七条　税费</w:t>
      </w:r>
      <w:bookmarkEnd w:id="516"/>
      <w:bookmarkEnd w:id="517"/>
      <w:bookmarkEnd w:id="518"/>
    </w:p>
    <w:p>
      <w:pPr>
        <w:snapToGrid w:val="0"/>
        <w:spacing w:line="360" w:lineRule="auto"/>
        <w:ind w:firstLine="420" w:firstLineChars="200"/>
        <w:rPr>
          <w:rFonts w:ascii="宋体" w:hAnsi="宋体"/>
          <w:szCs w:val="21"/>
        </w:rPr>
      </w:pPr>
      <w:r>
        <w:rPr>
          <w:rFonts w:ascii="宋体" w:hAnsi="宋体"/>
          <w:szCs w:val="21"/>
        </w:rPr>
        <w:t>合同执行中相关的一切税费均由乙方负担。</w:t>
      </w:r>
    </w:p>
    <w:p>
      <w:pPr>
        <w:snapToGrid w:val="0"/>
        <w:spacing w:line="360" w:lineRule="auto"/>
        <w:ind w:firstLine="420" w:firstLineChars="200"/>
        <w:rPr>
          <w:rFonts w:ascii="宋体" w:hAnsi="宋体"/>
          <w:szCs w:val="21"/>
        </w:rPr>
      </w:pPr>
      <w:bookmarkStart w:id="519" w:name="_Toc525777176_WPSOffice_Level1"/>
      <w:bookmarkStart w:id="520" w:name="_Toc394925557_WPSOffice_Level1"/>
      <w:bookmarkStart w:id="521" w:name="_Toc580884878_WPSOffice_Level1"/>
      <w:r>
        <w:rPr>
          <w:rFonts w:ascii="宋体" w:hAnsi="宋体"/>
          <w:szCs w:val="21"/>
        </w:rPr>
        <w:t>第八条　违约责任</w:t>
      </w:r>
      <w:bookmarkEnd w:id="519"/>
      <w:bookmarkEnd w:id="520"/>
      <w:bookmarkEnd w:id="521"/>
    </w:p>
    <w:p>
      <w:pPr>
        <w:snapToGrid w:val="0"/>
        <w:spacing w:line="360" w:lineRule="auto"/>
        <w:ind w:firstLine="420" w:firstLineChars="200"/>
        <w:rPr>
          <w:rFonts w:ascii="宋体" w:hAnsi="宋体"/>
          <w:szCs w:val="21"/>
        </w:rPr>
      </w:pPr>
      <w:r>
        <w:rPr>
          <w:rFonts w:ascii="宋体" w:hAnsi="宋体"/>
          <w:szCs w:val="21"/>
        </w:rPr>
        <w:t>1</w:t>
      </w:r>
      <w:r>
        <w:rPr>
          <w:rFonts w:ascii="宋体" w:hAnsi="宋体"/>
          <w:szCs w:val="21"/>
          <w:lang w:val="en"/>
        </w:rPr>
        <w:t>.</w:t>
      </w:r>
      <w:r>
        <w:rPr>
          <w:rFonts w:ascii="宋体" w:hAnsi="宋体"/>
          <w:szCs w:val="21"/>
        </w:rPr>
        <w:t>乙方没有按照本合同、投标文件、响应文件规定的时间或期限提供服务、交付服务成果的，每逾期一日，应按合同合计金额的3‰向甲方支付逾期提供服务的违约金；逾期超过十日的，甲方有权单方解除本合同，并要求乙方退还已收取的款项，同时乙方应按照本合同合计金额的10%向甲方支付违约金并承担因此给甲方造成的经济损失。</w:t>
      </w:r>
    </w:p>
    <w:p>
      <w:pPr>
        <w:snapToGrid w:val="0"/>
        <w:spacing w:line="360" w:lineRule="auto"/>
        <w:ind w:firstLine="420" w:firstLineChars="200"/>
        <w:rPr>
          <w:rFonts w:ascii="宋体" w:hAnsi="宋体"/>
          <w:szCs w:val="21"/>
        </w:rPr>
      </w:pPr>
      <w:r>
        <w:rPr>
          <w:rFonts w:ascii="宋体" w:hAnsi="宋体"/>
          <w:szCs w:val="21"/>
        </w:rPr>
        <w:t>2</w:t>
      </w:r>
      <w:r>
        <w:rPr>
          <w:rFonts w:ascii="宋体" w:hAnsi="宋体"/>
          <w:szCs w:val="21"/>
          <w:lang w:val="en"/>
        </w:rPr>
        <w:t>.</w:t>
      </w:r>
      <w:r>
        <w:rPr>
          <w:rFonts w:ascii="宋体" w:hAnsi="宋体"/>
          <w:szCs w:val="21"/>
        </w:rPr>
        <w:t>乙方所提供的服务、服务质量、服务内容等不符合本合同、投标文件、响应文件规定的要求的，应按甲方的要求售后、在甲方指定的期限内予以更换或改进，未在甲方指定的期限内更换或改进的，按乙方逾期提供服务承担违约责任。</w:t>
      </w:r>
    </w:p>
    <w:p>
      <w:pPr>
        <w:snapToGrid w:val="0"/>
        <w:spacing w:line="360" w:lineRule="auto"/>
        <w:ind w:firstLine="420" w:firstLineChars="200"/>
        <w:rPr>
          <w:rFonts w:ascii="宋体" w:hAnsi="宋体"/>
          <w:szCs w:val="21"/>
        </w:rPr>
      </w:pPr>
      <w:r>
        <w:rPr>
          <w:rFonts w:ascii="宋体" w:hAnsi="宋体"/>
          <w:szCs w:val="21"/>
        </w:rPr>
        <w:t>3.乙方未按本合同和响应文件及承诺提供服务的，每违约一次乙方应按本合同合计金额的5%向甲方支付违约金。</w:t>
      </w:r>
    </w:p>
    <w:p>
      <w:pPr>
        <w:snapToGrid w:val="0"/>
        <w:spacing w:line="360" w:lineRule="auto"/>
        <w:ind w:firstLine="420" w:firstLineChars="200"/>
        <w:rPr>
          <w:rFonts w:ascii="宋体" w:hAnsi="宋体"/>
          <w:szCs w:val="21"/>
        </w:rPr>
      </w:pPr>
      <w:r>
        <w:rPr>
          <w:rFonts w:ascii="宋体" w:hAnsi="宋体"/>
          <w:szCs w:val="21"/>
        </w:rPr>
        <w:t>4</w:t>
      </w:r>
      <w:r>
        <w:rPr>
          <w:rFonts w:ascii="宋体" w:hAnsi="宋体"/>
          <w:szCs w:val="21"/>
          <w:lang w:val="en"/>
        </w:rPr>
        <w:t>.</w:t>
      </w:r>
      <w:r>
        <w:rPr>
          <w:rFonts w:ascii="宋体" w:hAnsi="宋体"/>
          <w:szCs w:val="21"/>
        </w:rPr>
        <w:t>乙方提供的服务如侵犯了第三方合法权益而引发的任何纠纷或者诉讼，均由乙方负责交涉并承担全部责任，如甲方为解决纠纷矛盾先期支付了费用的，乙方应当自收到甲方要求偿还费用的函之日起五日内向甲方偿还完毕。</w:t>
      </w:r>
    </w:p>
    <w:p>
      <w:pPr>
        <w:snapToGrid w:val="0"/>
        <w:spacing w:line="360" w:lineRule="auto"/>
        <w:ind w:firstLine="420" w:firstLineChars="200"/>
        <w:rPr>
          <w:rFonts w:ascii="宋体" w:hAnsi="宋体"/>
          <w:szCs w:val="21"/>
        </w:rPr>
      </w:pPr>
      <w:r>
        <w:rPr>
          <w:rFonts w:ascii="宋体" w:hAnsi="宋体"/>
          <w:szCs w:val="21"/>
        </w:rPr>
        <w:t>5</w:t>
      </w:r>
      <w:r>
        <w:rPr>
          <w:rFonts w:ascii="宋体" w:hAnsi="宋体"/>
          <w:szCs w:val="21"/>
          <w:lang w:val="en"/>
        </w:rPr>
        <w:t>.</w:t>
      </w:r>
      <w:r>
        <w:rPr>
          <w:rFonts w:ascii="宋体" w:hAnsi="宋体"/>
          <w:szCs w:val="21"/>
        </w:rPr>
        <w:t>乙方因履行本合同所发生的其他违约行为，每违约一次，应按本合同合计金额的5%向甲方支付违约金，并赔偿甲方因此所造成全部损失。</w:t>
      </w:r>
    </w:p>
    <w:p>
      <w:pPr>
        <w:snapToGrid w:val="0"/>
        <w:spacing w:line="360" w:lineRule="auto"/>
        <w:ind w:firstLine="420" w:firstLineChars="200"/>
        <w:rPr>
          <w:rFonts w:ascii="宋体" w:hAnsi="宋体"/>
          <w:szCs w:val="21"/>
        </w:rPr>
      </w:pPr>
      <w:r>
        <w:rPr>
          <w:rFonts w:ascii="宋体" w:hAnsi="宋体"/>
          <w:szCs w:val="21"/>
        </w:rPr>
        <w:t>6</w:t>
      </w:r>
      <w:r>
        <w:rPr>
          <w:rFonts w:ascii="宋体" w:hAnsi="宋体"/>
          <w:szCs w:val="21"/>
          <w:lang w:val="en"/>
        </w:rPr>
        <w:t>.</w:t>
      </w:r>
      <w:r>
        <w:rPr>
          <w:rFonts w:ascii="宋体" w:hAnsi="宋体"/>
          <w:szCs w:val="21"/>
        </w:rPr>
        <w:t>乙方支付的违约金不足以弥补甲方损失的，应承担赔偿责任，甲方有权继续向乙方追偿。乙方应支付给甲方的任何款项，甲方有权从任何应支付未支付给乙方的款项中直接抵扣。</w:t>
      </w:r>
    </w:p>
    <w:p>
      <w:pPr>
        <w:snapToGrid w:val="0"/>
        <w:spacing w:line="360" w:lineRule="auto"/>
        <w:ind w:firstLine="420" w:firstLineChars="200"/>
        <w:rPr>
          <w:rFonts w:ascii="宋体" w:hAnsi="宋体"/>
          <w:szCs w:val="21"/>
        </w:rPr>
      </w:pPr>
      <w:r>
        <w:rPr>
          <w:rFonts w:ascii="宋体" w:hAnsi="宋体"/>
          <w:szCs w:val="21"/>
        </w:rPr>
        <w:t>7</w:t>
      </w:r>
      <w:r>
        <w:rPr>
          <w:rFonts w:ascii="宋体" w:hAnsi="宋体"/>
          <w:szCs w:val="21"/>
          <w:lang w:val="en"/>
        </w:rPr>
        <w:t>.</w:t>
      </w:r>
      <w:r>
        <w:rPr>
          <w:rFonts w:ascii="宋体" w:hAnsi="宋体"/>
          <w:szCs w:val="21"/>
        </w:rPr>
        <w:t>本合同所称的“甲方经济损失”或者“甲方损失”，包括甲方遭受的全部直接经济损失、间接经济损失及为追索前述费用而支出的合理费用（包括但不限于调查费、诉讼费、保全费、保全保险费、律师费、差旅费等）。</w:t>
      </w:r>
    </w:p>
    <w:p>
      <w:pPr>
        <w:snapToGrid w:val="0"/>
        <w:spacing w:line="360" w:lineRule="auto"/>
        <w:ind w:firstLine="420" w:firstLineChars="200"/>
        <w:rPr>
          <w:rFonts w:ascii="宋体" w:hAnsi="宋体"/>
          <w:szCs w:val="21"/>
        </w:rPr>
      </w:pPr>
      <w:bookmarkStart w:id="522" w:name="_Toc1090801410_WPSOffice_Level1"/>
      <w:bookmarkStart w:id="523" w:name="_Toc1294793556_WPSOffice_Level1"/>
      <w:bookmarkStart w:id="524" w:name="_Toc1691081338_WPSOffice_Level1"/>
      <w:r>
        <w:rPr>
          <w:rFonts w:ascii="宋体" w:hAnsi="宋体"/>
          <w:szCs w:val="21"/>
        </w:rPr>
        <w:t>第九条　知识产权归属</w:t>
      </w:r>
      <w:bookmarkEnd w:id="522"/>
      <w:bookmarkEnd w:id="523"/>
      <w:bookmarkEnd w:id="524"/>
    </w:p>
    <w:p>
      <w:pPr>
        <w:snapToGrid w:val="0"/>
        <w:spacing w:line="360" w:lineRule="auto"/>
        <w:ind w:firstLine="420" w:firstLineChars="200"/>
        <w:rPr>
          <w:rFonts w:ascii="宋体" w:hAnsi="宋体"/>
          <w:szCs w:val="21"/>
        </w:rPr>
      </w:pPr>
      <w:r>
        <w:rPr>
          <w:rFonts w:ascii="宋体" w:hAnsi="宋体"/>
          <w:szCs w:val="21"/>
        </w:rPr>
        <w:t>乙方保证，双方在本合同执行中形成的任何成果或知识产权的所有权，归甲方所有，而且乙方应当完成甲方知识产权所有权确认所必需的全部行为、证书和文件等，并提供相应的支持和协助。</w:t>
      </w:r>
    </w:p>
    <w:p>
      <w:pPr>
        <w:snapToGrid w:val="0"/>
        <w:spacing w:line="360" w:lineRule="auto"/>
        <w:ind w:firstLine="420" w:firstLineChars="200"/>
        <w:rPr>
          <w:rFonts w:ascii="宋体" w:hAnsi="宋体"/>
          <w:szCs w:val="21"/>
        </w:rPr>
      </w:pPr>
      <w:bookmarkStart w:id="525" w:name="_Toc117337906_WPSOffice_Level1"/>
      <w:bookmarkStart w:id="526" w:name="_Toc789842320_WPSOffice_Level1"/>
      <w:bookmarkStart w:id="527" w:name="_Toc1671723013_WPSOffice_Level1"/>
      <w:r>
        <w:rPr>
          <w:rFonts w:ascii="宋体" w:hAnsi="宋体"/>
          <w:szCs w:val="21"/>
        </w:rPr>
        <w:t>第十条　保密条款</w:t>
      </w:r>
      <w:bookmarkEnd w:id="525"/>
      <w:bookmarkEnd w:id="526"/>
      <w:bookmarkEnd w:id="527"/>
    </w:p>
    <w:p>
      <w:pPr>
        <w:snapToGrid w:val="0"/>
        <w:spacing w:line="360" w:lineRule="auto"/>
        <w:ind w:firstLine="420" w:firstLineChars="200"/>
        <w:rPr>
          <w:rFonts w:ascii="宋体" w:hAnsi="宋体"/>
          <w:szCs w:val="21"/>
          <w:lang w:val="en"/>
        </w:rPr>
      </w:pPr>
      <w:r>
        <w:rPr>
          <w:rFonts w:ascii="宋体" w:hAnsi="宋体"/>
          <w:szCs w:val="21"/>
        </w:rPr>
        <w:t>1</w:t>
      </w:r>
      <w:r>
        <w:rPr>
          <w:rFonts w:ascii="宋体" w:hAnsi="宋体"/>
          <w:szCs w:val="21"/>
          <w:lang w:val="en"/>
        </w:rPr>
        <w:t>.甲乙双方</w:t>
      </w:r>
      <w:r>
        <w:rPr>
          <w:rFonts w:ascii="宋体" w:hAnsi="宋体"/>
          <w:szCs w:val="21"/>
        </w:rPr>
        <w:t>另行</w:t>
      </w:r>
      <w:r>
        <w:rPr>
          <w:rFonts w:ascii="宋体" w:hAnsi="宋体"/>
          <w:szCs w:val="21"/>
          <w:lang w:val="en"/>
        </w:rPr>
        <w:t>签订保密协议（</w:t>
      </w:r>
      <w:r>
        <w:rPr>
          <w:rFonts w:ascii="宋体" w:hAnsi="宋体"/>
          <w:szCs w:val="21"/>
        </w:rPr>
        <w:t>详见本合同附件5</w:t>
      </w:r>
      <w:r>
        <w:rPr>
          <w:rFonts w:ascii="宋体" w:hAnsi="宋体"/>
          <w:szCs w:val="21"/>
          <w:lang w:val="en"/>
        </w:rPr>
        <w:t>）。</w:t>
      </w:r>
    </w:p>
    <w:p>
      <w:pPr>
        <w:snapToGrid w:val="0"/>
        <w:spacing w:line="360" w:lineRule="auto"/>
        <w:ind w:firstLine="420" w:firstLineChars="200"/>
        <w:rPr>
          <w:rFonts w:ascii="宋体" w:hAnsi="宋体"/>
          <w:szCs w:val="21"/>
        </w:rPr>
      </w:pPr>
      <w:r>
        <w:rPr>
          <w:rFonts w:ascii="宋体" w:hAnsi="宋体"/>
          <w:szCs w:val="21"/>
        </w:rPr>
        <w:t>2.甲乙双方都负有保守对方的单位机密或商业秘密的义务，保密范围包括但不限于技术情报、数据资料及其他公开后对对方造成影响或损失的秘密。</w:t>
      </w:r>
    </w:p>
    <w:p>
      <w:pPr>
        <w:snapToGrid w:val="0"/>
        <w:spacing w:line="360" w:lineRule="auto"/>
        <w:ind w:firstLine="420" w:firstLineChars="200"/>
        <w:rPr>
          <w:rFonts w:ascii="宋体" w:hAnsi="宋体"/>
          <w:szCs w:val="21"/>
        </w:rPr>
      </w:pPr>
      <w:r>
        <w:rPr>
          <w:rFonts w:ascii="宋体" w:hAnsi="宋体"/>
          <w:szCs w:val="21"/>
        </w:rPr>
        <w:t>3</w:t>
      </w:r>
      <w:r>
        <w:rPr>
          <w:rFonts w:ascii="宋体" w:hAnsi="宋体"/>
          <w:szCs w:val="21"/>
          <w:lang w:val="en"/>
        </w:rPr>
        <w:t>.</w:t>
      </w:r>
      <w:r>
        <w:rPr>
          <w:rFonts w:ascii="宋体" w:hAnsi="宋体"/>
          <w:szCs w:val="21"/>
        </w:rPr>
        <w:t>任何一方违反保密条款，给对方造成损失，应按对方的实际损失承担赔偿责任。</w:t>
      </w:r>
    </w:p>
    <w:p>
      <w:pPr>
        <w:snapToGrid w:val="0"/>
        <w:spacing w:line="360" w:lineRule="auto"/>
        <w:ind w:firstLine="420" w:firstLineChars="200"/>
        <w:rPr>
          <w:rFonts w:ascii="宋体" w:hAnsi="宋体"/>
          <w:szCs w:val="21"/>
        </w:rPr>
      </w:pPr>
      <w:r>
        <w:rPr>
          <w:rFonts w:ascii="宋体" w:hAnsi="宋体"/>
          <w:szCs w:val="21"/>
        </w:rPr>
        <w:t>4</w:t>
      </w:r>
      <w:r>
        <w:rPr>
          <w:rFonts w:ascii="宋体" w:hAnsi="宋体"/>
          <w:szCs w:val="21"/>
          <w:lang w:val="en"/>
        </w:rPr>
        <w:t>.</w:t>
      </w:r>
      <w:r>
        <w:rPr>
          <w:rFonts w:ascii="宋体" w:hAnsi="宋体"/>
          <w:szCs w:val="21"/>
        </w:rPr>
        <w:t>本条款不因合同的变更、解除和终止而失效。</w:t>
      </w:r>
    </w:p>
    <w:p>
      <w:pPr>
        <w:snapToGrid w:val="0"/>
        <w:spacing w:line="360" w:lineRule="auto"/>
        <w:ind w:firstLine="420" w:firstLineChars="200"/>
        <w:rPr>
          <w:rFonts w:ascii="宋体" w:hAnsi="宋体"/>
          <w:szCs w:val="21"/>
        </w:rPr>
      </w:pPr>
      <w:bookmarkStart w:id="528" w:name="_Toc81719134_WPSOffice_Level1"/>
      <w:bookmarkStart w:id="529" w:name="_Toc1521897876_WPSOffice_Level1"/>
      <w:bookmarkStart w:id="530" w:name="_Toc1996737877_WPSOffice_Level1"/>
      <w:r>
        <w:rPr>
          <w:rFonts w:ascii="宋体" w:hAnsi="宋体"/>
          <w:szCs w:val="21"/>
        </w:rPr>
        <w:t>第十一条　不可抗力事件处理</w:t>
      </w:r>
      <w:bookmarkEnd w:id="528"/>
      <w:bookmarkEnd w:id="529"/>
      <w:bookmarkEnd w:id="530"/>
    </w:p>
    <w:p>
      <w:pPr>
        <w:snapToGrid w:val="0"/>
        <w:spacing w:line="360" w:lineRule="auto"/>
        <w:ind w:firstLine="420" w:firstLineChars="200"/>
        <w:rPr>
          <w:rFonts w:ascii="宋体" w:hAnsi="宋体"/>
          <w:szCs w:val="21"/>
        </w:rPr>
      </w:pPr>
      <w:r>
        <w:rPr>
          <w:rFonts w:ascii="宋体" w:hAnsi="宋体"/>
          <w:szCs w:val="21"/>
        </w:rPr>
        <w:t>1</w:t>
      </w:r>
      <w:r>
        <w:rPr>
          <w:rFonts w:ascii="宋体" w:hAnsi="宋体"/>
          <w:szCs w:val="21"/>
          <w:lang w:val="en"/>
        </w:rPr>
        <w:t>.</w:t>
      </w:r>
      <w:r>
        <w:rPr>
          <w:rFonts w:ascii="宋体" w:hAnsi="宋体"/>
          <w:szCs w:val="21"/>
        </w:rPr>
        <w:t>在合同有效期内，任何一方因不可抗力事件导致不能履行合同，则合同履行期可延长，其延长期与不可抗力影响期相同。</w:t>
      </w:r>
    </w:p>
    <w:p>
      <w:pPr>
        <w:snapToGrid w:val="0"/>
        <w:spacing w:line="360" w:lineRule="auto"/>
        <w:ind w:firstLine="420" w:firstLineChars="200"/>
        <w:rPr>
          <w:rFonts w:ascii="宋体" w:hAnsi="宋体"/>
          <w:szCs w:val="21"/>
        </w:rPr>
      </w:pPr>
      <w:r>
        <w:rPr>
          <w:rFonts w:ascii="宋体" w:hAnsi="宋体"/>
          <w:szCs w:val="21"/>
        </w:rPr>
        <w:t>2</w:t>
      </w:r>
      <w:r>
        <w:rPr>
          <w:rFonts w:ascii="宋体" w:hAnsi="宋体"/>
          <w:szCs w:val="21"/>
          <w:lang w:val="en"/>
        </w:rPr>
        <w:t>.</w:t>
      </w:r>
      <w:r>
        <w:rPr>
          <w:rFonts w:ascii="宋体" w:hAnsi="宋体"/>
          <w:szCs w:val="21"/>
        </w:rPr>
        <w:t>不可抗力事件发生后，应立即通知对方、采取措施防止损失扩大，并寄送有关权威机构出具的证明。</w:t>
      </w:r>
    </w:p>
    <w:p>
      <w:pPr>
        <w:snapToGrid w:val="0"/>
        <w:spacing w:line="360" w:lineRule="auto"/>
        <w:ind w:firstLine="420" w:firstLineChars="200"/>
        <w:rPr>
          <w:rFonts w:ascii="宋体" w:hAnsi="宋体"/>
          <w:szCs w:val="21"/>
        </w:rPr>
      </w:pPr>
      <w:r>
        <w:rPr>
          <w:rFonts w:ascii="宋体" w:hAnsi="宋体"/>
          <w:szCs w:val="21"/>
        </w:rPr>
        <w:t>3</w:t>
      </w:r>
      <w:r>
        <w:rPr>
          <w:rFonts w:ascii="宋体" w:hAnsi="宋体"/>
          <w:szCs w:val="21"/>
          <w:lang w:val="en"/>
        </w:rPr>
        <w:t>.</w:t>
      </w:r>
      <w:r>
        <w:rPr>
          <w:rFonts w:ascii="宋体" w:hAnsi="宋体"/>
          <w:szCs w:val="21"/>
        </w:rPr>
        <w:t>不可抗力事件延续一百二十天以上，双方应通过友好协商，确定是否继续履行合同。</w:t>
      </w:r>
    </w:p>
    <w:p>
      <w:pPr>
        <w:snapToGrid w:val="0"/>
        <w:spacing w:line="360" w:lineRule="auto"/>
        <w:ind w:firstLine="420" w:firstLineChars="200"/>
        <w:rPr>
          <w:rFonts w:ascii="宋体" w:hAnsi="宋体"/>
          <w:szCs w:val="21"/>
        </w:rPr>
      </w:pPr>
      <w:r>
        <w:rPr>
          <w:rFonts w:ascii="宋体" w:hAnsi="宋体"/>
          <w:szCs w:val="21"/>
        </w:rPr>
        <w:t>4</w:t>
      </w:r>
      <w:r>
        <w:rPr>
          <w:rFonts w:ascii="宋体" w:hAnsi="宋体"/>
          <w:szCs w:val="21"/>
          <w:lang w:val="en"/>
        </w:rPr>
        <w:t>.</w:t>
      </w:r>
      <w:r>
        <w:rPr>
          <w:rFonts w:ascii="宋体" w:hAnsi="宋体"/>
          <w:szCs w:val="21"/>
        </w:rPr>
        <w:t>合同履行过程中，因接受政府行政指令而无法履行的，接受政府行政指令的一方可以免除责任。</w:t>
      </w:r>
    </w:p>
    <w:p>
      <w:pPr>
        <w:snapToGrid w:val="0"/>
        <w:spacing w:line="360" w:lineRule="auto"/>
        <w:ind w:firstLine="420" w:firstLineChars="200"/>
        <w:rPr>
          <w:rFonts w:ascii="宋体" w:hAnsi="宋体"/>
          <w:szCs w:val="21"/>
        </w:rPr>
      </w:pPr>
      <w:bookmarkStart w:id="531" w:name="_Toc1875678435_WPSOffice_Level1"/>
      <w:bookmarkStart w:id="532" w:name="_Toc1776364136_WPSOffice_Level1"/>
      <w:bookmarkStart w:id="533" w:name="_Toc975591209_WPSOffice_Level1"/>
      <w:r>
        <w:rPr>
          <w:rFonts w:ascii="宋体" w:hAnsi="宋体"/>
          <w:szCs w:val="21"/>
        </w:rPr>
        <w:t>第十二条　合同争议解决</w:t>
      </w:r>
      <w:bookmarkEnd w:id="531"/>
      <w:bookmarkEnd w:id="532"/>
      <w:bookmarkEnd w:id="533"/>
    </w:p>
    <w:p>
      <w:pPr>
        <w:snapToGrid w:val="0"/>
        <w:spacing w:line="360" w:lineRule="auto"/>
        <w:ind w:firstLine="420" w:firstLineChars="200"/>
        <w:rPr>
          <w:rFonts w:ascii="宋体" w:hAnsi="宋体"/>
          <w:szCs w:val="21"/>
        </w:rPr>
      </w:pPr>
      <w:r>
        <w:rPr>
          <w:rFonts w:ascii="宋体" w:hAnsi="宋体"/>
          <w:szCs w:val="21"/>
        </w:rPr>
        <w:t>1</w:t>
      </w:r>
      <w:r>
        <w:rPr>
          <w:rFonts w:ascii="宋体" w:hAnsi="宋体"/>
          <w:szCs w:val="21"/>
          <w:lang w:val="en"/>
        </w:rPr>
        <w:t>.</w:t>
      </w:r>
      <w:r>
        <w:rPr>
          <w:rFonts w:ascii="宋体" w:hAnsi="宋体"/>
          <w:szCs w:val="21"/>
        </w:rPr>
        <w:t>因服务质量问题发生争议的，应邀请国家认可的质量检测机构进行鉴定。服务符合标准的，鉴定费由甲方承担；服务不符合标准的，鉴定费由乙方承担。</w:t>
      </w:r>
    </w:p>
    <w:p>
      <w:pPr>
        <w:snapToGrid w:val="0"/>
        <w:spacing w:line="360" w:lineRule="auto"/>
        <w:ind w:firstLine="420" w:firstLineChars="200"/>
        <w:rPr>
          <w:rFonts w:ascii="宋体" w:hAnsi="宋体"/>
          <w:szCs w:val="21"/>
        </w:rPr>
      </w:pPr>
      <w:r>
        <w:rPr>
          <w:rFonts w:ascii="宋体" w:hAnsi="宋体"/>
          <w:szCs w:val="21"/>
        </w:rPr>
        <w:t>2</w:t>
      </w:r>
      <w:r>
        <w:rPr>
          <w:rFonts w:ascii="宋体" w:hAnsi="宋体"/>
          <w:szCs w:val="21"/>
          <w:lang w:val="en"/>
        </w:rPr>
        <w:t>.</w:t>
      </w:r>
      <w:r>
        <w:rPr>
          <w:rFonts w:ascii="宋体" w:hAnsi="宋体"/>
          <w:szCs w:val="21"/>
        </w:rPr>
        <w:t>因履行本合同引起的或者与本合同有关的争议，甲乙双方应首先通过友好协商解决，如果协商不能解决，可向甲方住所地有管辖权人民法院提起诉讼。</w:t>
      </w:r>
    </w:p>
    <w:p>
      <w:pPr>
        <w:snapToGrid w:val="0"/>
        <w:spacing w:line="360" w:lineRule="auto"/>
        <w:ind w:firstLine="420" w:firstLineChars="200"/>
        <w:rPr>
          <w:rFonts w:ascii="宋体" w:hAnsi="宋体"/>
          <w:szCs w:val="21"/>
        </w:rPr>
      </w:pPr>
      <w:bookmarkStart w:id="534" w:name="_Toc1208139316_WPSOffice_Level1"/>
      <w:bookmarkStart w:id="535" w:name="_Toc2098207317_WPSOffice_Level1"/>
      <w:bookmarkStart w:id="536" w:name="_Toc196613174_WPSOffice_Level1"/>
      <w:r>
        <w:rPr>
          <w:rFonts w:ascii="宋体" w:hAnsi="宋体"/>
          <w:szCs w:val="21"/>
        </w:rPr>
        <w:t>第十三条　合同生效及其他</w:t>
      </w:r>
      <w:bookmarkEnd w:id="534"/>
      <w:bookmarkEnd w:id="535"/>
      <w:bookmarkEnd w:id="536"/>
    </w:p>
    <w:p>
      <w:pPr>
        <w:snapToGrid w:val="0"/>
        <w:spacing w:line="360" w:lineRule="auto"/>
        <w:ind w:firstLine="420" w:firstLineChars="200"/>
        <w:rPr>
          <w:rFonts w:ascii="宋体" w:hAnsi="宋体"/>
          <w:szCs w:val="21"/>
        </w:rPr>
      </w:pPr>
      <w:r>
        <w:rPr>
          <w:rFonts w:ascii="宋体" w:hAnsi="宋体"/>
          <w:szCs w:val="21"/>
        </w:rPr>
        <w:t>1</w:t>
      </w:r>
      <w:r>
        <w:rPr>
          <w:rFonts w:ascii="宋体" w:hAnsi="宋体"/>
          <w:szCs w:val="21"/>
          <w:lang w:val="en"/>
        </w:rPr>
        <w:t>.</w:t>
      </w:r>
      <w:r>
        <w:rPr>
          <w:rFonts w:ascii="宋体" w:hAnsi="宋体"/>
          <w:szCs w:val="21"/>
        </w:rPr>
        <w:t>本合同经甲乙双方法定代表人（负责人）或者授权代表签字并加盖单位公章后生效。</w:t>
      </w:r>
    </w:p>
    <w:p>
      <w:pPr>
        <w:snapToGrid w:val="0"/>
        <w:spacing w:line="360" w:lineRule="auto"/>
        <w:ind w:firstLine="420" w:firstLineChars="200"/>
        <w:rPr>
          <w:rFonts w:ascii="宋体" w:hAnsi="宋体"/>
          <w:szCs w:val="21"/>
        </w:rPr>
      </w:pPr>
      <w:r>
        <w:rPr>
          <w:rFonts w:ascii="宋体" w:hAnsi="宋体"/>
          <w:szCs w:val="21"/>
        </w:rPr>
        <w:t>2.本合同一式柒份，均具有同等法律效力，采购代理机构壹份，甲乙双方各执叁份。</w:t>
      </w:r>
    </w:p>
    <w:p>
      <w:pPr>
        <w:snapToGrid w:val="0"/>
        <w:spacing w:line="360" w:lineRule="auto"/>
        <w:ind w:firstLine="420" w:firstLineChars="200"/>
        <w:rPr>
          <w:rFonts w:ascii="宋体" w:hAnsi="宋体"/>
          <w:szCs w:val="21"/>
        </w:rPr>
      </w:pPr>
      <w:r>
        <w:rPr>
          <w:rFonts w:ascii="宋体" w:hAnsi="宋体"/>
          <w:szCs w:val="21"/>
        </w:rPr>
        <w:t>3</w:t>
      </w:r>
      <w:r>
        <w:rPr>
          <w:rFonts w:ascii="宋体" w:hAnsi="宋体"/>
          <w:szCs w:val="21"/>
          <w:lang w:val="en"/>
        </w:rPr>
        <w:t>.</w:t>
      </w:r>
      <w:r>
        <w:rPr>
          <w:rFonts w:ascii="宋体" w:hAnsi="宋体"/>
          <w:szCs w:val="21"/>
        </w:rPr>
        <w:t>本合同执行中涉及采购资金和采购内容修改或者补充的，须经政府采购监管部门审批，并签订书面补充协议报政府采购监管部门备案后，方可作为主合同不可分割的一部分。</w:t>
      </w:r>
    </w:p>
    <w:p>
      <w:pPr>
        <w:snapToGrid w:val="0"/>
        <w:spacing w:line="360" w:lineRule="auto"/>
        <w:ind w:firstLine="420" w:firstLineChars="200"/>
        <w:rPr>
          <w:rFonts w:ascii="宋体" w:hAnsi="宋体"/>
          <w:szCs w:val="21"/>
        </w:rPr>
      </w:pPr>
      <w:r>
        <w:rPr>
          <w:rFonts w:ascii="宋体" w:hAnsi="宋体"/>
          <w:szCs w:val="21"/>
        </w:rPr>
        <w:t>4</w:t>
      </w:r>
      <w:r>
        <w:rPr>
          <w:rFonts w:ascii="宋体" w:hAnsi="宋体"/>
          <w:szCs w:val="21"/>
          <w:lang w:val="en"/>
        </w:rPr>
        <w:t>.</w:t>
      </w:r>
      <w:r>
        <w:rPr>
          <w:rFonts w:ascii="宋体" w:hAnsi="宋体"/>
          <w:szCs w:val="21"/>
        </w:rPr>
        <w:t>本合同未尽事宜，甲乙双方可以另行协商并签订补充协议，补充协议是本合同不可分割的一部分，与本合同具有同等法律效力，其他未尽事宜遵照《中华人民共和国民法典》有关条文执行。</w:t>
      </w:r>
    </w:p>
    <w:p>
      <w:pPr>
        <w:snapToGrid w:val="0"/>
        <w:spacing w:line="360" w:lineRule="auto"/>
        <w:ind w:firstLine="420" w:firstLineChars="200"/>
        <w:rPr>
          <w:rFonts w:ascii="宋体" w:hAnsi="宋体"/>
          <w:szCs w:val="21"/>
        </w:rPr>
      </w:pPr>
      <w:bookmarkStart w:id="537" w:name="_Toc639096549_WPSOffice_Level1"/>
      <w:bookmarkStart w:id="538" w:name="_Toc1943861169_WPSOffice_Level1"/>
      <w:bookmarkStart w:id="539" w:name="_Toc376027929_WPSOffice_Level1"/>
      <w:r>
        <w:rPr>
          <w:rFonts w:ascii="宋体" w:hAnsi="宋体"/>
          <w:szCs w:val="21"/>
        </w:rPr>
        <w:t>第十四条　合同的变更、终止与转让</w:t>
      </w:r>
      <w:bookmarkEnd w:id="537"/>
      <w:bookmarkEnd w:id="538"/>
      <w:bookmarkEnd w:id="539"/>
    </w:p>
    <w:p>
      <w:pPr>
        <w:snapToGrid w:val="0"/>
        <w:spacing w:line="360" w:lineRule="auto"/>
        <w:ind w:firstLine="420" w:firstLineChars="200"/>
        <w:rPr>
          <w:rFonts w:ascii="宋体" w:hAnsi="宋体"/>
          <w:szCs w:val="21"/>
        </w:rPr>
      </w:pPr>
      <w:r>
        <w:rPr>
          <w:rFonts w:ascii="宋体" w:hAnsi="宋体"/>
          <w:szCs w:val="21"/>
        </w:rPr>
        <w:t>1</w:t>
      </w:r>
      <w:r>
        <w:rPr>
          <w:rFonts w:ascii="宋体" w:hAnsi="宋体"/>
          <w:szCs w:val="21"/>
          <w:lang w:val="en"/>
        </w:rPr>
        <w:t>.</w:t>
      </w:r>
      <w:r>
        <w:rPr>
          <w:rFonts w:ascii="宋体" w:hAnsi="宋体"/>
          <w:szCs w:val="21"/>
        </w:rPr>
        <w:t>除《中华人民共和国政府采购法》第五十条规定的情形外，本合同一经签订，甲乙双方不得擅自变更、中止或者终止。</w:t>
      </w:r>
    </w:p>
    <w:p>
      <w:pPr>
        <w:snapToGrid w:val="0"/>
        <w:spacing w:line="360" w:lineRule="auto"/>
        <w:ind w:firstLine="420" w:firstLineChars="200"/>
        <w:rPr>
          <w:rFonts w:ascii="宋体" w:hAnsi="宋体"/>
          <w:szCs w:val="21"/>
        </w:rPr>
      </w:pPr>
      <w:r>
        <w:rPr>
          <w:rFonts w:ascii="宋体" w:hAnsi="宋体"/>
          <w:szCs w:val="21"/>
        </w:rPr>
        <w:t>2</w:t>
      </w:r>
      <w:r>
        <w:rPr>
          <w:rFonts w:ascii="宋体" w:hAnsi="宋体"/>
          <w:szCs w:val="21"/>
          <w:lang w:val="en"/>
        </w:rPr>
        <w:t>.</w:t>
      </w:r>
      <w:r>
        <w:rPr>
          <w:rFonts w:ascii="宋体" w:hAnsi="宋体"/>
          <w:szCs w:val="21"/>
        </w:rPr>
        <w:t>未经甲方书面同意，乙方不得擅自将其本合同的权利及义务全部或部分转让给第三人。</w:t>
      </w:r>
    </w:p>
    <w:p>
      <w:pPr>
        <w:snapToGrid w:val="0"/>
        <w:spacing w:line="360" w:lineRule="auto"/>
        <w:ind w:firstLine="420" w:firstLineChars="200"/>
        <w:rPr>
          <w:rFonts w:ascii="宋体" w:hAnsi="宋体"/>
          <w:szCs w:val="21"/>
        </w:rPr>
      </w:pPr>
      <w:bookmarkStart w:id="540" w:name="_Toc1082345773_WPSOffice_Level1"/>
      <w:bookmarkStart w:id="541" w:name="_Toc1925005635_WPSOffice_Level1"/>
      <w:bookmarkStart w:id="542" w:name="_Toc1957397569_WPSOffice_Level1"/>
      <w:r>
        <w:rPr>
          <w:rFonts w:ascii="宋体" w:hAnsi="宋体"/>
          <w:szCs w:val="21"/>
        </w:rPr>
        <w:t>第十五条　本合同与下列文件一起构成合同文件：</w:t>
      </w:r>
      <w:bookmarkEnd w:id="540"/>
      <w:bookmarkEnd w:id="541"/>
      <w:bookmarkEnd w:id="542"/>
    </w:p>
    <w:p>
      <w:pPr>
        <w:snapToGrid w:val="0"/>
        <w:spacing w:line="360" w:lineRule="auto"/>
        <w:ind w:firstLine="420" w:firstLineChars="200"/>
        <w:rPr>
          <w:rFonts w:ascii="宋体" w:hAnsi="宋体"/>
          <w:szCs w:val="21"/>
        </w:rPr>
      </w:pPr>
      <w:bookmarkStart w:id="543" w:name="_Toc837019805_WPSOffice_Level2"/>
      <w:bookmarkStart w:id="544" w:name="_Toc1806730107_WPSOffice_Level2"/>
      <w:r>
        <w:rPr>
          <w:rFonts w:ascii="宋体" w:hAnsi="宋体"/>
          <w:szCs w:val="21"/>
        </w:rPr>
        <w:t>1</w:t>
      </w:r>
      <w:r>
        <w:rPr>
          <w:rFonts w:ascii="宋体" w:hAnsi="宋体"/>
          <w:szCs w:val="21"/>
          <w:lang w:val="en"/>
        </w:rPr>
        <w:t>.</w:t>
      </w:r>
      <w:r>
        <w:rPr>
          <w:rFonts w:ascii="宋体" w:hAnsi="宋体"/>
          <w:szCs w:val="21"/>
        </w:rPr>
        <w:t>成交通知书；</w:t>
      </w:r>
      <w:bookmarkEnd w:id="543"/>
      <w:bookmarkEnd w:id="544"/>
    </w:p>
    <w:p>
      <w:pPr>
        <w:snapToGrid w:val="0"/>
        <w:spacing w:line="360" w:lineRule="auto"/>
        <w:ind w:firstLine="420" w:firstLineChars="200"/>
        <w:rPr>
          <w:rFonts w:ascii="宋体" w:hAnsi="宋体"/>
          <w:szCs w:val="21"/>
        </w:rPr>
      </w:pPr>
      <w:bookmarkStart w:id="545" w:name="_Toc589820218_WPSOffice_Level2"/>
      <w:bookmarkStart w:id="546" w:name="_Toc1697509855_WPSOffice_Level2"/>
      <w:r>
        <w:rPr>
          <w:rFonts w:ascii="宋体" w:hAnsi="宋体"/>
          <w:szCs w:val="21"/>
        </w:rPr>
        <w:t>2</w:t>
      </w:r>
      <w:r>
        <w:rPr>
          <w:rFonts w:ascii="宋体" w:hAnsi="宋体"/>
          <w:szCs w:val="21"/>
          <w:lang w:val="en"/>
        </w:rPr>
        <w:t>.</w:t>
      </w:r>
      <w:r>
        <w:rPr>
          <w:rFonts w:ascii="宋体" w:hAnsi="宋体"/>
          <w:szCs w:val="21"/>
        </w:rPr>
        <w:t>评审报告；</w:t>
      </w:r>
      <w:bookmarkEnd w:id="545"/>
      <w:bookmarkEnd w:id="546"/>
    </w:p>
    <w:p>
      <w:pPr>
        <w:snapToGrid w:val="0"/>
        <w:spacing w:line="360" w:lineRule="auto"/>
        <w:ind w:firstLine="420" w:firstLineChars="200"/>
        <w:rPr>
          <w:rFonts w:ascii="宋体" w:hAnsi="宋体"/>
          <w:szCs w:val="21"/>
        </w:rPr>
      </w:pPr>
      <w:bookmarkStart w:id="547" w:name="_Toc2084420288_WPSOffice_Level2"/>
      <w:bookmarkStart w:id="548" w:name="_Toc185941850_WPSOffice_Level2"/>
      <w:r>
        <w:rPr>
          <w:rFonts w:ascii="宋体" w:hAnsi="宋体"/>
          <w:szCs w:val="21"/>
        </w:rPr>
        <w:t>3</w:t>
      </w:r>
      <w:r>
        <w:rPr>
          <w:rFonts w:ascii="宋体" w:hAnsi="宋体"/>
          <w:szCs w:val="21"/>
          <w:lang w:val="en"/>
        </w:rPr>
        <w:t>.投标</w:t>
      </w:r>
      <w:r>
        <w:rPr>
          <w:rFonts w:ascii="宋体" w:hAnsi="宋体"/>
          <w:szCs w:val="21"/>
        </w:rPr>
        <w:t>声明；</w:t>
      </w:r>
      <w:bookmarkEnd w:id="547"/>
      <w:bookmarkEnd w:id="548"/>
    </w:p>
    <w:p>
      <w:pPr>
        <w:snapToGrid w:val="0"/>
        <w:spacing w:line="360" w:lineRule="auto"/>
        <w:ind w:firstLine="420" w:firstLineChars="200"/>
        <w:rPr>
          <w:rFonts w:ascii="宋体" w:hAnsi="宋体"/>
          <w:szCs w:val="21"/>
        </w:rPr>
      </w:pPr>
      <w:bookmarkStart w:id="549" w:name="_Toc1996427615_WPSOffice_Level2"/>
      <w:bookmarkStart w:id="550" w:name="_Toc1919365578_WPSOffice_Level2"/>
      <w:r>
        <w:rPr>
          <w:rFonts w:ascii="宋体" w:hAnsi="宋体"/>
          <w:szCs w:val="21"/>
        </w:rPr>
        <w:t>4</w:t>
      </w:r>
      <w:r>
        <w:rPr>
          <w:rFonts w:ascii="宋体" w:hAnsi="宋体"/>
          <w:szCs w:val="21"/>
          <w:lang w:val="en"/>
        </w:rPr>
        <w:t>.</w:t>
      </w:r>
      <w:r>
        <w:rPr>
          <w:rFonts w:ascii="宋体" w:hAnsi="宋体"/>
          <w:szCs w:val="21"/>
        </w:rPr>
        <w:t>商务条款偏离表和服务需求偏离表；</w:t>
      </w:r>
      <w:bookmarkEnd w:id="549"/>
      <w:bookmarkEnd w:id="550"/>
    </w:p>
    <w:p>
      <w:pPr>
        <w:snapToGrid w:val="0"/>
        <w:spacing w:line="360" w:lineRule="auto"/>
        <w:ind w:firstLine="420" w:firstLineChars="200"/>
        <w:rPr>
          <w:rFonts w:ascii="宋体" w:hAnsi="宋体"/>
          <w:szCs w:val="21"/>
        </w:rPr>
      </w:pPr>
      <w:bookmarkStart w:id="551" w:name="_Toc2047673910_WPSOffice_Level2"/>
      <w:bookmarkStart w:id="552" w:name="_Toc1564883810_WPSOffice_Level2"/>
      <w:r>
        <w:rPr>
          <w:rFonts w:ascii="宋体" w:hAnsi="宋体"/>
          <w:szCs w:val="21"/>
        </w:rPr>
        <w:t>5</w:t>
      </w:r>
      <w:r>
        <w:rPr>
          <w:rFonts w:ascii="宋体" w:hAnsi="宋体"/>
          <w:szCs w:val="21"/>
          <w:lang w:val="en"/>
        </w:rPr>
        <w:t>.</w:t>
      </w:r>
      <w:r>
        <w:rPr>
          <w:rFonts w:ascii="宋体" w:hAnsi="宋体"/>
          <w:szCs w:val="21"/>
        </w:rPr>
        <w:t>保密协议；</w:t>
      </w:r>
      <w:bookmarkEnd w:id="551"/>
      <w:bookmarkEnd w:id="552"/>
    </w:p>
    <w:p>
      <w:pPr>
        <w:snapToGrid w:val="0"/>
        <w:spacing w:line="360" w:lineRule="auto"/>
        <w:ind w:firstLine="420" w:firstLineChars="200"/>
        <w:rPr>
          <w:rFonts w:ascii="宋体" w:hAnsi="宋体"/>
          <w:szCs w:val="21"/>
        </w:rPr>
      </w:pPr>
      <w:bookmarkStart w:id="553" w:name="_Toc422088509_WPSOffice_Level2"/>
      <w:bookmarkStart w:id="554" w:name="_Toc2010080771_WPSOffice_Level2"/>
      <w:r>
        <w:rPr>
          <w:rFonts w:ascii="宋体" w:hAnsi="宋体"/>
          <w:szCs w:val="21"/>
        </w:rPr>
        <w:t>6.信息安全承诺书；</w:t>
      </w:r>
      <w:bookmarkEnd w:id="553"/>
      <w:bookmarkEnd w:id="554"/>
    </w:p>
    <w:p>
      <w:pPr>
        <w:snapToGrid w:val="0"/>
        <w:spacing w:line="360" w:lineRule="auto"/>
        <w:ind w:firstLine="420" w:firstLineChars="200"/>
        <w:rPr>
          <w:rFonts w:ascii="宋体" w:hAnsi="宋体"/>
          <w:szCs w:val="21"/>
        </w:rPr>
      </w:pPr>
      <w:bookmarkStart w:id="555" w:name="_Toc1878949267_WPSOffice_Level2"/>
      <w:bookmarkStart w:id="556" w:name="_Toc824245883_WPSOffice_Level2"/>
      <w:r>
        <w:rPr>
          <w:rFonts w:ascii="宋体" w:hAnsi="宋体"/>
          <w:szCs w:val="21"/>
        </w:rPr>
        <w:t>7</w:t>
      </w:r>
      <w:r>
        <w:rPr>
          <w:rFonts w:ascii="宋体" w:hAnsi="宋体"/>
          <w:szCs w:val="21"/>
          <w:lang w:val="en"/>
        </w:rPr>
        <w:t>.</w:t>
      </w:r>
      <w:r>
        <w:rPr>
          <w:rFonts w:ascii="宋体" w:hAnsi="宋体"/>
          <w:szCs w:val="21"/>
        </w:rPr>
        <w:t>响应文件中的其他相关文件。</w:t>
      </w:r>
      <w:bookmarkEnd w:id="555"/>
      <w:bookmarkEnd w:id="556"/>
    </w:p>
    <w:p>
      <w:pPr>
        <w:snapToGrid w:val="0"/>
        <w:spacing w:line="360" w:lineRule="auto"/>
        <w:ind w:firstLine="420" w:firstLineChars="200"/>
        <w:rPr>
          <w:rFonts w:ascii="宋体" w:hAnsi="宋体"/>
          <w:szCs w:val="21"/>
        </w:rPr>
      </w:pPr>
      <w:r>
        <w:rPr>
          <w:rFonts w:ascii="宋体" w:hAnsi="宋体"/>
          <w:szCs w:val="21"/>
        </w:rPr>
        <w:t>上述合同文件互相补充和解释。如果合同文件之间存在矛盾或者不一致之处，以本合同、上述文件的排列顺序在先者为准。</w:t>
      </w:r>
    </w:p>
    <w:p>
      <w:pPr>
        <w:snapToGrid w:val="0"/>
        <w:spacing w:line="360" w:lineRule="auto"/>
        <w:ind w:firstLine="420" w:firstLineChars="200"/>
        <w:rPr>
          <w:rFonts w:ascii="宋体" w:hAnsi="宋体"/>
          <w:szCs w:val="21"/>
        </w:rPr>
      </w:pPr>
      <w:bookmarkStart w:id="557" w:name="_Toc1203030563_WPSOffice_Level1"/>
      <w:bookmarkStart w:id="558" w:name="_Toc1457853692_WPSOffice_Level1"/>
      <w:bookmarkStart w:id="559" w:name="_Toc996642292_WPSOffice_Level1"/>
      <w:r>
        <w:rPr>
          <w:rFonts w:ascii="宋体" w:hAnsi="宋体"/>
          <w:szCs w:val="21"/>
        </w:rPr>
        <w:t>第十七条　其他约定事项</w:t>
      </w:r>
      <w:bookmarkEnd w:id="557"/>
      <w:bookmarkEnd w:id="558"/>
      <w:bookmarkEnd w:id="559"/>
    </w:p>
    <w:p>
      <w:pPr>
        <w:snapToGrid w:val="0"/>
        <w:spacing w:line="360" w:lineRule="auto"/>
        <w:ind w:firstLine="420" w:firstLineChars="200"/>
        <w:rPr>
          <w:rFonts w:ascii="宋体" w:hAnsi="宋体"/>
          <w:szCs w:val="21"/>
        </w:rPr>
      </w:pPr>
      <w:r>
        <w:rPr>
          <w:rFonts w:ascii="宋体" w:hAnsi="宋体"/>
          <w:szCs w:val="21"/>
        </w:rPr>
        <w:t>1</w:t>
      </w:r>
      <w:r>
        <w:rPr>
          <w:rFonts w:ascii="宋体" w:hAnsi="宋体"/>
          <w:szCs w:val="21"/>
          <w:lang w:val="en"/>
        </w:rPr>
        <w:t>.</w:t>
      </w:r>
      <w:r>
        <w:rPr>
          <w:rFonts w:ascii="宋体" w:hAnsi="宋体"/>
          <w:szCs w:val="21"/>
        </w:rPr>
        <w:t>本合同所有附件及相关文件均为本合同的有效组成部分，与本合同具有同等法律效力。若合同附件及相关文件与本合同存在不一致的，则以本合同为准。</w:t>
      </w:r>
    </w:p>
    <w:p>
      <w:pPr>
        <w:snapToGrid w:val="0"/>
        <w:spacing w:line="360" w:lineRule="auto"/>
        <w:ind w:firstLine="420" w:firstLineChars="200"/>
        <w:rPr>
          <w:rFonts w:ascii="宋体" w:hAnsi="宋体"/>
          <w:szCs w:val="21"/>
        </w:rPr>
      </w:pPr>
      <w:r>
        <w:rPr>
          <w:rFonts w:ascii="宋体" w:hAnsi="宋体"/>
          <w:szCs w:val="21"/>
        </w:rPr>
        <w:t>2</w:t>
      </w:r>
      <w:r>
        <w:rPr>
          <w:rFonts w:ascii="宋体" w:hAnsi="宋体"/>
          <w:szCs w:val="21"/>
          <w:lang w:val="en"/>
        </w:rPr>
        <w:t>.</w:t>
      </w:r>
      <w:r>
        <w:rPr>
          <w:rFonts w:ascii="宋体" w:hAnsi="宋体"/>
          <w:szCs w:val="21"/>
        </w:rPr>
        <w:t>在履行本合同过程中，所有经甲乙双方签署确认的文件（包括会议纪要、补充协议、往来信函、电子邮件等）即成为本合同的有效组成部分。</w:t>
      </w:r>
    </w:p>
    <w:p>
      <w:pPr>
        <w:snapToGrid w:val="0"/>
        <w:spacing w:line="360" w:lineRule="auto"/>
        <w:ind w:firstLine="420" w:firstLineChars="200"/>
        <w:rPr>
          <w:rFonts w:ascii="宋体" w:hAnsi="宋体"/>
          <w:szCs w:val="21"/>
        </w:rPr>
      </w:pPr>
      <w:r>
        <w:rPr>
          <w:rFonts w:ascii="宋体" w:hAnsi="宋体"/>
          <w:szCs w:val="21"/>
        </w:rPr>
        <w:t>3</w:t>
      </w:r>
      <w:r>
        <w:rPr>
          <w:rFonts w:ascii="宋体" w:hAnsi="宋体"/>
          <w:szCs w:val="21"/>
          <w:lang w:val="en"/>
        </w:rPr>
        <w:t>.甲乙</w:t>
      </w:r>
      <w:r>
        <w:rPr>
          <w:rFonts w:ascii="宋体" w:hAnsi="宋体"/>
          <w:szCs w:val="21"/>
        </w:rPr>
        <w:t>双方确认，以下为各方真实有效通讯地址：</w:t>
      </w:r>
    </w:p>
    <w:p>
      <w:pPr>
        <w:snapToGrid w:val="0"/>
        <w:spacing w:line="360" w:lineRule="auto"/>
        <w:ind w:firstLine="420" w:firstLineChars="200"/>
        <w:rPr>
          <w:rFonts w:ascii="宋体" w:hAnsi="宋体"/>
          <w:szCs w:val="21"/>
        </w:rPr>
      </w:pPr>
      <w:r>
        <w:rPr>
          <w:rFonts w:ascii="宋体" w:hAnsi="宋体"/>
          <w:szCs w:val="21"/>
        </w:rPr>
        <w:t>甲方：　广西壮族自治区环境信息中心　，地址：　南宁市青秀区佛子岭路16号　，收件人：　龙工　，联系电话：　0771-5773606　，电子邮箱：longyuemei@sthjt.gxzf.gov.cn。</w:t>
      </w:r>
    </w:p>
    <w:p>
      <w:pPr>
        <w:snapToGrid w:val="0"/>
        <w:spacing w:line="360" w:lineRule="auto"/>
        <w:ind w:firstLine="420" w:firstLineChars="200"/>
        <w:rPr>
          <w:rFonts w:ascii="宋体" w:hAnsi="宋体"/>
          <w:szCs w:val="21"/>
        </w:rPr>
      </w:pPr>
      <w:r>
        <w:rPr>
          <w:rFonts w:ascii="宋体" w:hAnsi="宋体"/>
          <w:szCs w:val="21"/>
        </w:rPr>
        <w:t>乙方：　</w:t>
      </w:r>
      <w:r>
        <w:rPr>
          <w:rFonts w:hint="eastAsia" w:ascii="宋体" w:hAnsi="宋体"/>
          <w:szCs w:val="21"/>
        </w:rPr>
        <w:t xml:space="preserve">         </w:t>
      </w:r>
      <w:r>
        <w:rPr>
          <w:rFonts w:ascii="宋体" w:hAnsi="宋体"/>
          <w:szCs w:val="21"/>
        </w:rPr>
        <w:t>　，地址：　</w:t>
      </w:r>
      <w:r>
        <w:rPr>
          <w:rFonts w:hint="eastAsia" w:ascii="宋体" w:hAnsi="宋体"/>
          <w:szCs w:val="21"/>
        </w:rPr>
        <w:t xml:space="preserve">         </w:t>
      </w:r>
      <w:r>
        <w:rPr>
          <w:rFonts w:ascii="宋体" w:hAnsi="宋体"/>
          <w:szCs w:val="21"/>
        </w:rPr>
        <w:t>，收件人：</w:t>
      </w:r>
      <w:r>
        <w:rPr>
          <w:rFonts w:hint="eastAsia" w:ascii="宋体" w:hAnsi="宋体"/>
          <w:szCs w:val="21"/>
        </w:rPr>
        <w:t xml:space="preserve">      </w:t>
      </w:r>
      <w:r>
        <w:rPr>
          <w:rFonts w:ascii="宋体" w:hAnsi="宋体"/>
          <w:szCs w:val="21"/>
        </w:rPr>
        <w:t>　，联系电话：</w:t>
      </w:r>
      <w:r>
        <w:rPr>
          <w:rFonts w:hint="eastAsia" w:ascii="宋体" w:hAnsi="宋体"/>
          <w:szCs w:val="21"/>
        </w:rPr>
        <w:t xml:space="preserve">     </w:t>
      </w:r>
      <w:r>
        <w:rPr>
          <w:rFonts w:ascii="宋体" w:hAnsi="宋体"/>
          <w:szCs w:val="21"/>
        </w:rPr>
        <w:t>　，电子邮箱：</w:t>
      </w:r>
      <w:r>
        <w:rPr>
          <w:rFonts w:hint="eastAsia" w:ascii="宋体" w:hAnsi="宋体"/>
          <w:szCs w:val="21"/>
        </w:rPr>
        <w:t xml:space="preserve">          </w:t>
      </w:r>
      <w:r>
        <w:rPr>
          <w:rFonts w:ascii="宋体" w:hAnsi="宋体"/>
          <w:szCs w:val="21"/>
        </w:rPr>
        <w:t>。</w:t>
      </w:r>
    </w:p>
    <w:p>
      <w:pPr>
        <w:snapToGrid w:val="0"/>
        <w:spacing w:line="360" w:lineRule="auto"/>
        <w:ind w:firstLine="420" w:firstLineChars="200"/>
        <w:rPr>
          <w:rFonts w:ascii="宋体" w:hAnsi="宋体"/>
          <w:szCs w:val="21"/>
        </w:rPr>
      </w:pPr>
      <w:r>
        <w:rPr>
          <w:rFonts w:ascii="宋体" w:hAnsi="宋体"/>
          <w:szCs w:val="21"/>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应在变更前十日及时书面通知对方，否则上述地址仍为真实有效通讯地址。</w:t>
      </w:r>
    </w:p>
    <w:p>
      <w:pPr>
        <w:snapToGrid w:val="0"/>
        <w:spacing w:line="360" w:lineRule="auto"/>
        <w:ind w:firstLine="420" w:firstLineChars="200"/>
        <w:rPr>
          <w:rFonts w:ascii="宋体" w:hAnsi="宋体"/>
          <w:szCs w:val="21"/>
        </w:rPr>
      </w:pPr>
      <w:r>
        <w:rPr>
          <w:rFonts w:ascii="宋体" w:hAnsi="宋体"/>
          <w:szCs w:val="21"/>
        </w:rPr>
        <w:t xml:space="preserve">涉及仲裁或法院诉讼（一审、二审、再审、执行），仲裁委或法院按本合同主文送达条款所约定地址、电话、联系人等送达法律文书，法院邮寄法律文书后第三日，视为各方收到法律文书（无论是否签收，是否由他人代收，是否拒收，是否因地址/电话错误而被退回） 法院无须进行公告送达。 </w:t>
      </w:r>
    </w:p>
    <w:p>
      <w:pPr>
        <w:snapToGrid w:val="0"/>
        <w:spacing w:line="360" w:lineRule="auto"/>
        <w:ind w:firstLine="420" w:firstLineChars="200"/>
        <w:rPr>
          <w:rFonts w:ascii="宋体" w:hAnsi="宋体"/>
          <w:szCs w:val="21"/>
        </w:rPr>
      </w:pPr>
      <w:r>
        <w:rPr>
          <w:rFonts w:ascii="宋体" w:hAnsi="宋体"/>
          <w:szCs w:val="21"/>
        </w:rPr>
        <w:t>本条款不因合同的变更、解除和终止而失效。</w:t>
      </w:r>
    </w:p>
    <w:p>
      <w:pPr>
        <w:snapToGrid w:val="0"/>
        <w:spacing w:line="360" w:lineRule="auto"/>
        <w:ind w:firstLine="420" w:firstLineChars="200"/>
        <w:rPr>
          <w:rFonts w:ascii="宋体" w:hAnsi="宋体"/>
          <w:szCs w:val="21"/>
        </w:rPr>
      </w:pPr>
      <w:r>
        <w:rPr>
          <w:rFonts w:ascii="宋体" w:hAnsi="宋体"/>
          <w:szCs w:val="21"/>
        </w:rPr>
        <w:t>（以下无正文）</w:t>
      </w:r>
    </w:p>
    <w:tbl>
      <w:tblPr>
        <w:tblStyle w:val="48"/>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516" w:type="dxa"/>
            <w:vAlign w:val="center"/>
          </w:tcPr>
          <w:p>
            <w:pPr>
              <w:snapToGrid w:val="0"/>
              <w:spacing w:line="360" w:lineRule="auto"/>
              <w:ind w:right="-538" w:rightChars="-256"/>
              <w:rPr>
                <w:rFonts w:ascii="宋体" w:hAnsi="宋体"/>
                <w:szCs w:val="21"/>
              </w:rPr>
            </w:pPr>
            <w:r>
              <w:rPr>
                <w:rFonts w:ascii="宋体" w:hAnsi="宋体"/>
                <w:szCs w:val="21"/>
              </w:rPr>
              <w:t xml:space="preserve">甲方（章）           </w:t>
            </w:r>
          </w:p>
          <w:p>
            <w:pPr>
              <w:snapToGrid w:val="0"/>
              <w:spacing w:line="360" w:lineRule="auto"/>
              <w:ind w:right="-538" w:rightChars="-256"/>
              <w:rPr>
                <w:rFonts w:ascii="宋体" w:hAnsi="宋体"/>
                <w:szCs w:val="21"/>
              </w:rPr>
            </w:pPr>
          </w:p>
          <w:p>
            <w:pPr>
              <w:snapToGrid w:val="0"/>
              <w:spacing w:line="360" w:lineRule="auto"/>
              <w:ind w:right="-538" w:rightChars="-256" w:firstLine="945" w:firstLineChars="450"/>
              <w:jc w:val="center"/>
              <w:rPr>
                <w:rFonts w:ascii="宋体" w:hAnsi="宋体"/>
                <w:szCs w:val="21"/>
              </w:rPr>
            </w:pPr>
            <w:r>
              <w:rPr>
                <w:rFonts w:ascii="宋体" w:hAnsi="宋体"/>
                <w:szCs w:val="21"/>
              </w:rPr>
              <w:t xml:space="preserve">           年  月  日</w:t>
            </w:r>
          </w:p>
        </w:tc>
        <w:tc>
          <w:tcPr>
            <w:tcW w:w="4517" w:type="dxa"/>
            <w:vAlign w:val="center"/>
          </w:tcPr>
          <w:p>
            <w:pPr>
              <w:snapToGrid w:val="0"/>
              <w:spacing w:line="360" w:lineRule="auto"/>
              <w:ind w:right="-538" w:rightChars="-256"/>
              <w:rPr>
                <w:rFonts w:ascii="宋体" w:hAnsi="宋体"/>
                <w:szCs w:val="21"/>
              </w:rPr>
            </w:pPr>
            <w:r>
              <w:rPr>
                <w:rFonts w:ascii="宋体" w:hAnsi="宋体"/>
                <w:szCs w:val="21"/>
              </w:rPr>
              <w:t xml:space="preserve">乙方（章）              </w:t>
            </w:r>
          </w:p>
          <w:p>
            <w:pPr>
              <w:snapToGrid w:val="0"/>
              <w:spacing w:line="360" w:lineRule="auto"/>
              <w:ind w:right="-538" w:rightChars="-256"/>
              <w:rPr>
                <w:rFonts w:ascii="宋体" w:hAnsi="宋体"/>
                <w:szCs w:val="21"/>
              </w:rPr>
            </w:pPr>
          </w:p>
          <w:p>
            <w:pPr>
              <w:snapToGrid w:val="0"/>
              <w:spacing w:line="360" w:lineRule="auto"/>
              <w:ind w:right="-538" w:rightChars="-256"/>
              <w:jc w:val="center"/>
              <w:rPr>
                <w:rFonts w:ascii="宋体" w:hAnsi="宋体"/>
                <w:szCs w:val="21"/>
              </w:rPr>
            </w:pPr>
            <w:r>
              <w:rPr>
                <w:rFonts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16" w:type="dxa"/>
            <w:vAlign w:val="center"/>
          </w:tcPr>
          <w:p>
            <w:pPr>
              <w:snapToGrid w:val="0"/>
              <w:spacing w:line="360" w:lineRule="auto"/>
              <w:ind w:right="-538" w:rightChars="-256"/>
              <w:rPr>
                <w:rFonts w:ascii="宋体" w:hAnsi="宋体"/>
                <w:szCs w:val="21"/>
              </w:rPr>
            </w:pPr>
            <w:r>
              <w:rPr>
                <w:rFonts w:ascii="宋体" w:hAnsi="宋体"/>
                <w:szCs w:val="21"/>
              </w:rPr>
              <w:t>单位地址：</w:t>
            </w:r>
          </w:p>
        </w:tc>
        <w:tc>
          <w:tcPr>
            <w:tcW w:w="4517" w:type="dxa"/>
            <w:vAlign w:val="center"/>
          </w:tcPr>
          <w:p>
            <w:pPr>
              <w:snapToGrid w:val="0"/>
              <w:spacing w:line="360" w:lineRule="auto"/>
              <w:ind w:right="-538" w:rightChars="-256"/>
              <w:rPr>
                <w:rFonts w:ascii="宋体" w:hAnsi="宋体"/>
                <w:szCs w:val="21"/>
              </w:rPr>
            </w:pPr>
            <w:r>
              <w:rPr>
                <w:rFonts w:ascii="宋体" w:hAnsi="宋体"/>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4516" w:type="dxa"/>
            <w:vAlign w:val="center"/>
          </w:tcPr>
          <w:p>
            <w:pPr>
              <w:snapToGrid w:val="0"/>
              <w:spacing w:line="360" w:lineRule="auto"/>
              <w:ind w:right="-538" w:rightChars="-256"/>
              <w:rPr>
                <w:rFonts w:ascii="宋体" w:hAnsi="宋体"/>
                <w:szCs w:val="21"/>
              </w:rPr>
            </w:pPr>
            <w:r>
              <w:rPr>
                <w:rFonts w:ascii="宋体" w:hAnsi="宋体"/>
                <w:szCs w:val="21"/>
              </w:rPr>
              <w:t>法定代表人：</w:t>
            </w:r>
          </w:p>
        </w:tc>
        <w:tc>
          <w:tcPr>
            <w:tcW w:w="4517" w:type="dxa"/>
            <w:vAlign w:val="center"/>
          </w:tcPr>
          <w:p>
            <w:pPr>
              <w:snapToGrid w:val="0"/>
              <w:spacing w:line="360" w:lineRule="auto"/>
              <w:ind w:right="-538" w:rightChars="-256"/>
              <w:rPr>
                <w:rFonts w:ascii="宋体" w:hAnsi="宋体"/>
                <w:szCs w:val="21"/>
              </w:rPr>
            </w:pPr>
            <w:r>
              <w:rPr>
                <w:rFonts w:ascii="宋体" w:hAnsi="宋体"/>
                <w:szCs w:val="21"/>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4516" w:type="dxa"/>
            <w:vAlign w:val="center"/>
          </w:tcPr>
          <w:p>
            <w:pPr>
              <w:snapToGrid w:val="0"/>
              <w:spacing w:line="360" w:lineRule="auto"/>
              <w:ind w:right="-538" w:rightChars="-256"/>
              <w:rPr>
                <w:rFonts w:ascii="宋体" w:hAnsi="宋体"/>
                <w:szCs w:val="21"/>
              </w:rPr>
            </w:pPr>
            <w:r>
              <w:rPr>
                <w:rFonts w:ascii="宋体" w:hAnsi="宋体"/>
                <w:szCs w:val="21"/>
              </w:rPr>
              <w:t>委托代理人：</w:t>
            </w:r>
          </w:p>
        </w:tc>
        <w:tc>
          <w:tcPr>
            <w:tcW w:w="4517" w:type="dxa"/>
            <w:vAlign w:val="center"/>
          </w:tcPr>
          <w:p>
            <w:pPr>
              <w:snapToGrid w:val="0"/>
              <w:spacing w:line="360" w:lineRule="auto"/>
              <w:ind w:right="-538" w:rightChars="-256"/>
              <w:rPr>
                <w:rFonts w:ascii="宋体" w:hAnsi="宋体"/>
                <w:szCs w:val="21"/>
              </w:rPr>
            </w:pPr>
            <w:r>
              <w:rPr>
                <w:rFonts w:ascii="宋体" w:hAnsi="宋体"/>
                <w:szCs w:val="21"/>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16" w:type="dxa"/>
            <w:vAlign w:val="center"/>
          </w:tcPr>
          <w:p>
            <w:pPr>
              <w:snapToGrid w:val="0"/>
              <w:spacing w:line="360" w:lineRule="auto"/>
              <w:ind w:right="-538" w:rightChars="-256"/>
              <w:rPr>
                <w:rFonts w:ascii="宋体" w:hAnsi="宋体"/>
                <w:szCs w:val="21"/>
              </w:rPr>
            </w:pPr>
            <w:r>
              <w:rPr>
                <w:rFonts w:ascii="宋体" w:hAnsi="宋体"/>
                <w:szCs w:val="21"/>
              </w:rPr>
              <w:t>电话：</w:t>
            </w:r>
          </w:p>
        </w:tc>
        <w:tc>
          <w:tcPr>
            <w:tcW w:w="4517" w:type="dxa"/>
            <w:vAlign w:val="center"/>
          </w:tcPr>
          <w:p>
            <w:pPr>
              <w:snapToGrid w:val="0"/>
              <w:spacing w:line="360" w:lineRule="auto"/>
              <w:ind w:right="-538" w:rightChars="-256"/>
              <w:rPr>
                <w:rFonts w:ascii="宋体" w:hAnsi="宋体"/>
                <w:szCs w:val="21"/>
              </w:rPr>
            </w:pPr>
            <w:r>
              <w:rPr>
                <w:rFonts w:ascii="宋体" w:hAnsi="宋体"/>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16" w:type="dxa"/>
            <w:vAlign w:val="center"/>
          </w:tcPr>
          <w:p>
            <w:pPr>
              <w:snapToGrid w:val="0"/>
              <w:spacing w:line="360" w:lineRule="auto"/>
              <w:rPr>
                <w:rFonts w:ascii="宋体" w:hAnsi="宋体"/>
                <w:szCs w:val="21"/>
              </w:rPr>
            </w:pPr>
            <w:r>
              <w:rPr>
                <w:rFonts w:ascii="宋体" w:hAnsi="宋体"/>
                <w:szCs w:val="21"/>
              </w:rPr>
              <w:t>电子邮箱：</w:t>
            </w:r>
          </w:p>
        </w:tc>
        <w:tc>
          <w:tcPr>
            <w:tcW w:w="4517" w:type="dxa"/>
            <w:vAlign w:val="center"/>
          </w:tcPr>
          <w:p>
            <w:pPr>
              <w:snapToGrid w:val="0"/>
              <w:spacing w:line="360" w:lineRule="auto"/>
              <w:rPr>
                <w:rFonts w:ascii="宋体" w:hAnsi="宋体"/>
                <w:szCs w:val="21"/>
              </w:rPr>
            </w:pPr>
            <w:r>
              <w:rPr>
                <w:rFonts w:ascii="宋体" w:hAnsi="宋体"/>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16" w:type="dxa"/>
            <w:vAlign w:val="center"/>
          </w:tcPr>
          <w:p>
            <w:pPr>
              <w:snapToGrid w:val="0"/>
              <w:spacing w:line="360" w:lineRule="auto"/>
              <w:rPr>
                <w:rFonts w:ascii="宋体" w:hAnsi="宋体"/>
                <w:szCs w:val="21"/>
              </w:rPr>
            </w:pPr>
            <w:r>
              <w:rPr>
                <w:rFonts w:ascii="宋体" w:hAnsi="宋体"/>
                <w:szCs w:val="21"/>
              </w:rPr>
              <w:t>开户银行：</w:t>
            </w:r>
          </w:p>
        </w:tc>
        <w:tc>
          <w:tcPr>
            <w:tcW w:w="4517" w:type="dxa"/>
            <w:vAlign w:val="center"/>
          </w:tcPr>
          <w:p>
            <w:pPr>
              <w:snapToGrid w:val="0"/>
              <w:spacing w:line="360" w:lineRule="auto"/>
              <w:rPr>
                <w:rFonts w:ascii="宋体" w:hAnsi="宋体"/>
                <w:szCs w:val="21"/>
              </w:rPr>
            </w:pPr>
            <w:r>
              <w:rPr>
                <w:rFonts w:ascii="宋体" w:hAnsi="宋体"/>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16" w:type="dxa"/>
            <w:vAlign w:val="center"/>
          </w:tcPr>
          <w:p>
            <w:pPr>
              <w:snapToGrid w:val="0"/>
              <w:spacing w:line="360" w:lineRule="auto"/>
              <w:rPr>
                <w:rFonts w:ascii="宋体" w:hAnsi="宋体"/>
                <w:szCs w:val="21"/>
              </w:rPr>
            </w:pPr>
            <w:r>
              <w:rPr>
                <w:rFonts w:ascii="宋体" w:hAnsi="宋体"/>
                <w:szCs w:val="21"/>
              </w:rPr>
              <w:t>账号：</w:t>
            </w:r>
          </w:p>
        </w:tc>
        <w:tc>
          <w:tcPr>
            <w:tcW w:w="4517" w:type="dxa"/>
            <w:vAlign w:val="center"/>
          </w:tcPr>
          <w:p>
            <w:pPr>
              <w:spacing w:line="360" w:lineRule="auto"/>
              <w:rPr>
                <w:rFonts w:ascii="宋体" w:hAnsi="宋体"/>
                <w:kern w:val="0"/>
                <w:szCs w:val="21"/>
              </w:rPr>
            </w:pPr>
            <w:r>
              <w:rPr>
                <w:rFonts w:ascii="宋体" w:hAnsi="宋体"/>
                <w:kern w:val="0"/>
                <w:szCs w:val="21"/>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16" w:type="dxa"/>
            <w:vAlign w:val="center"/>
          </w:tcPr>
          <w:p>
            <w:pPr>
              <w:snapToGrid w:val="0"/>
              <w:spacing w:line="360" w:lineRule="auto"/>
              <w:rPr>
                <w:rFonts w:ascii="宋体" w:hAnsi="宋体"/>
                <w:szCs w:val="21"/>
              </w:rPr>
            </w:pPr>
            <w:r>
              <w:rPr>
                <w:rFonts w:ascii="宋体" w:hAnsi="宋体"/>
                <w:szCs w:val="21"/>
              </w:rPr>
              <w:t>邮政编码：</w:t>
            </w:r>
          </w:p>
        </w:tc>
        <w:tc>
          <w:tcPr>
            <w:tcW w:w="4517" w:type="dxa"/>
            <w:vAlign w:val="center"/>
          </w:tcPr>
          <w:p>
            <w:pPr>
              <w:snapToGrid w:val="0"/>
              <w:spacing w:line="360" w:lineRule="auto"/>
              <w:rPr>
                <w:rFonts w:ascii="宋体" w:hAnsi="宋体"/>
                <w:szCs w:val="21"/>
              </w:rPr>
            </w:pPr>
            <w:r>
              <w:rPr>
                <w:rFonts w:ascii="宋体" w:hAnsi="宋体"/>
                <w:szCs w:val="21"/>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9033" w:type="dxa"/>
            <w:gridSpan w:val="2"/>
          </w:tcPr>
          <w:p>
            <w:pPr>
              <w:snapToGrid w:val="0"/>
              <w:spacing w:line="360" w:lineRule="auto"/>
              <w:rPr>
                <w:rFonts w:ascii="宋体" w:hAnsi="宋体"/>
                <w:szCs w:val="21"/>
              </w:rPr>
            </w:pPr>
            <w:r>
              <w:rPr>
                <w:rFonts w:ascii="宋体" w:hAnsi="宋体"/>
                <w:szCs w:val="21"/>
              </w:rPr>
              <w:t>经办人：</w:t>
            </w:r>
          </w:p>
          <w:p>
            <w:pPr>
              <w:snapToGrid w:val="0"/>
              <w:spacing w:line="360" w:lineRule="auto"/>
              <w:ind w:firstLine="630" w:firstLineChars="300"/>
              <w:jc w:val="right"/>
              <w:rPr>
                <w:rFonts w:ascii="宋体" w:hAnsi="宋体"/>
                <w:szCs w:val="21"/>
              </w:rPr>
            </w:pPr>
            <w:r>
              <w:rPr>
                <w:rFonts w:ascii="宋体" w:hAnsi="宋体"/>
                <w:szCs w:val="21"/>
              </w:rPr>
              <w:t xml:space="preserve"> 年     月     日</w:t>
            </w:r>
          </w:p>
        </w:tc>
      </w:tr>
    </w:tbl>
    <w:p>
      <w:pPr>
        <w:snapToGrid w:val="0"/>
        <w:spacing w:line="360" w:lineRule="auto"/>
        <w:jc w:val="left"/>
        <w:rPr>
          <w:rFonts w:ascii="宋体" w:hAnsi="宋体"/>
          <w:szCs w:val="21"/>
        </w:rPr>
      </w:pPr>
      <w:r>
        <w:rPr>
          <w:rFonts w:hint="eastAsia" w:ascii="宋体" w:hAnsi="宋体"/>
          <w:szCs w:val="21"/>
        </w:rPr>
        <w:t xml:space="preserve"> 注：售后服务事项填不下时可另加附页</w:t>
      </w:r>
    </w:p>
    <w:p>
      <w:pPr>
        <w:snapToGrid w:val="0"/>
        <w:spacing w:line="360" w:lineRule="auto"/>
        <w:jc w:val="left"/>
        <w:rPr>
          <w:rFonts w:ascii="宋体" w:hAnsi="宋体"/>
          <w:szCs w:val="21"/>
        </w:rPr>
      </w:pPr>
    </w:p>
    <w:p>
      <w:pPr>
        <w:snapToGrid w:val="0"/>
        <w:jc w:val="center"/>
        <w:rPr>
          <w:rFonts w:ascii="宋体" w:hAnsi="宋体"/>
          <w:bCs/>
          <w:sz w:val="32"/>
          <w:szCs w:val="32"/>
        </w:rPr>
      </w:pPr>
      <w:r>
        <w:rPr>
          <w:rFonts w:ascii="宋体" w:hAnsi="宋体"/>
          <w:b/>
          <w:sz w:val="32"/>
          <w:szCs w:val="32"/>
        </w:rPr>
        <w:br w:type="page"/>
      </w: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pStyle w:val="3"/>
        <w:keepNext w:val="0"/>
        <w:keepLines w:val="0"/>
        <w:jc w:val="center"/>
      </w:pPr>
      <w:bookmarkStart w:id="560" w:name="_Toc19686834"/>
      <w:r>
        <w:rPr>
          <w:rFonts w:hint="eastAsia"/>
        </w:rPr>
        <w:t>第六章　投标文件格式</w:t>
      </w:r>
      <w:bookmarkEnd w:id="560"/>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jc w:val="center"/>
        <w:rPr>
          <w:rFonts w:ascii="宋体" w:hAnsi="宋体"/>
          <w:bCs/>
          <w:sz w:val="32"/>
          <w:szCs w:val="32"/>
        </w:rPr>
      </w:pPr>
    </w:p>
    <w:p>
      <w:pPr>
        <w:snapToGrid w:val="0"/>
        <w:spacing w:before="120" w:beforeLines="50" w:after="50" w:line="360" w:lineRule="auto"/>
        <w:outlineLvl w:val="1"/>
        <w:rPr>
          <w:rFonts w:ascii="宋体" w:hAnsi="宋体"/>
          <w:b/>
          <w:bCs/>
          <w:sz w:val="28"/>
          <w:szCs w:val="28"/>
        </w:rPr>
      </w:pPr>
      <w:r>
        <w:rPr>
          <w:rFonts w:ascii="宋体" w:hAnsi="宋体"/>
          <w:bCs/>
          <w:sz w:val="32"/>
          <w:szCs w:val="32"/>
        </w:rPr>
        <w:br w:type="page"/>
      </w:r>
      <w:bookmarkStart w:id="561" w:name="_Toc254970556"/>
      <w:bookmarkStart w:id="562" w:name="_Toc254970697"/>
      <w:bookmarkStart w:id="563" w:name="_Toc19686835"/>
      <w:r>
        <w:rPr>
          <w:rFonts w:hint="eastAsia" w:ascii="宋体" w:hAnsi="宋体"/>
          <w:b/>
          <w:bCs/>
          <w:sz w:val="28"/>
          <w:szCs w:val="28"/>
        </w:rPr>
        <w:t>一、投标文件外层包装封面格式</w:t>
      </w:r>
      <w:bookmarkEnd w:id="561"/>
      <w:bookmarkEnd w:id="562"/>
      <w:bookmarkEnd w:id="563"/>
      <w:r>
        <w:rPr>
          <w:rFonts w:hint="eastAsia" w:ascii="宋体" w:hAnsi="宋体"/>
          <w:b/>
          <w:bCs/>
          <w:sz w:val="28"/>
          <w:szCs w:val="28"/>
        </w:rPr>
        <w:t xml:space="preserve"> </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Cs/>
          <w:sz w:val="24"/>
          <w:szCs w:val="20"/>
        </w:rPr>
      </w:pPr>
    </w:p>
    <w:p>
      <w:pPr>
        <w:snapToGrid w:val="0"/>
        <w:spacing w:before="120" w:beforeLines="50" w:after="50"/>
        <w:jc w:val="center"/>
        <w:rPr>
          <w:rFonts w:ascii="宋体" w:hAnsi="宋体"/>
          <w:b/>
          <w:sz w:val="32"/>
          <w:szCs w:val="32"/>
        </w:rPr>
      </w:pPr>
      <w:r>
        <w:rPr>
          <w:rFonts w:hint="eastAsia" w:ascii="宋体" w:hAnsi="宋体"/>
          <w:b/>
          <w:sz w:val="32"/>
          <w:szCs w:val="32"/>
        </w:rPr>
        <w:t>投 标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360" w:firstLineChars="150"/>
        <w:rPr>
          <w:rFonts w:ascii="宋体" w:hAnsi="宋体"/>
          <w:bCs/>
          <w:sz w:val="24"/>
        </w:rPr>
      </w:pPr>
      <w:r>
        <w:rPr>
          <w:rFonts w:hint="eastAsia" w:ascii="宋体" w:hAnsi="宋体"/>
          <w:bCs/>
          <w:sz w:val="24"/>
        </w:rPr>
        <w:t>项目名称：</w:t>
      </w:r>
    </w:p>
    <w:p>
      <w:pPr>
        <w:snapToGrid w:val="0"/>
        <w:spacing w:before="120" w:beforeLines="50" w:after="50"/>
        <w:ind w:firstLine="360" w:firstLineChars="150"/>
        <w:rPr>
          <w:rFonts w:ascii="宋体" w:hAnsi="宋体"/>
          <w:bCs/>
          <w:sz w:val="24"/>
          <w:szCs w:val="20"/>
        </w:rPr>
      </w:pPr>
    </w:p>
    <w:p>
      <w:pPr>
        <w:snapToGrid w:val="0"/>
        <w:spacing w:before="120" w:beforeLines="50" w:after="50"/>
        <w:ind w:firstLine="360" w:firstLineChars="150"/>
        <w:rPr>
          <w:rFonts w:ascii="宋体" w:hAnsi="宋体"/>
          <w:bCs/>
          <w:sz w:val="24"/>
        </w:rPr>
      </w:pPr>
      <w:r>
        <w:rPr>
          <w:rFonts w:hint="eastAsia" w:ascii="宋体" w:hAnsi="宋体"/>
          <w:bCs/>
          <w:sz w:val="24"/>
        </w:rPr>
        <w:t>项目编号：</w:t>
      </w:r>
    </w:p>
    <w:p>
      <w:pPr>
        <w:snapToGrid w:val="0"/>
        <w:spacing w:before="120" w:beforeLines="50" w:after="50"/>
        <w:ind w:firstLine="360" w:firstLineChars="150"/>
        <w:rPr>
          <w:rFonts w:ascii="宋体" w:hAnsi="宋体"/>
          <w:bCs/>
          <w:sz w:val="24"/>
          <w:szCs w:val="20"/>
        </w:rPr>
      </w:pPr>
    </w:p>
    <w:p>
      <w:pPr>
        <w:snapToGrid w:val="0"/>
        <w:spacing w:before="120" w:beforeLines="50" w:after="50"/>
        <w:ind w:firstLine="360" w:firstLineChars="150"/>
        <w:rPr>
          <w:rFonts w:ascii="宋体" w:hAnsi="宋体"/>
          <w:bCs/>
          <w:sz w:val="24"/>
        </w:rPr>
      </w:pPr>
      <w:r>
        <w:rPr>
          <w:rFonts w:hint="eastAsia" w:ascii="宋体" w:hAnsi="宋体"/>
          <w:bCs/>
          <w:sz w:val="24"/>
        </w:rPr>
        <w:t>所投分标：</w:t>
      </w:r>
    </w:p>
    <w:p>
      <w:pPr>
        <w:snapToGrid w:val="0"/>
        <w:spacing w:before="120" w:beforeLines="50" w:after="50"/>
        <w:rPr>
          <w:rFonts w:ascii="宋体" w:hAnsi="宋体"/>
          <w:bCs/>
          <w:sz w:val="24"/>
          <w:szCs w:val="20"/>
        </w:rPr>
      </w:pPr>
    </w:p>
    <w:p>
      <w:pPr>
        <w:snapToGrid w:val="0"/>
        <w:spacing w:before="120" w:beforeLines="50" w:after="50"/>
        <w:ind w:firstLine="360" w:firstLineChars="150"/>
        <w:rPr>
          <w:rFonts w:ascii="宋体" w:hAnsi="宋体"/>
          <w:bCs/>
          <w:sz w:val="24"/>
          <w:szCs w:val="20"/>
        </w:rPr>
      </w:pPr>
      <w:r>
        <w:rPr>
          <w:rFonts w:hint="eastAsia" w:ascii="宋体" w:hAnsi="宋体"/>
          <w:bCs/>
          <w:sz w:val="24"/>
          <w:szCs w:val="20"/>
        </w:rPr>
        <w:t>投标人名称：</w:t>
      </w:r>
    </w:p>
    <w:p>
      <w:pPr>
        <w:snapToGrid w:val="0"/>
        <w:spacing w:before="120" w:beforeLines="50" w:after="50"/>
        <w:ind w:firstLine="360" w:firstLineChars="150"/>
        <w:rPr>
          <w:rFonts w:ascii="宋体" w:hAnsi="宋体"/>
          <w:bCs/>
          <w:sz w:val="24"/>
          <w:szCs w:val="20"/>
        </w:rPr>
      </w:pPr>
    </w:p>
    <w:p>
      <w:pPr>
        <w:snapToGrid w:val="0"/>
        <w:spacing w:before="120" w:beforeLines="50" w:after="50"/>
        <w:ind w:firstLine="360" w:firstLineChars="150"/>
        <w:rPr>
          <w:rFonts w:ascii="宋体" w:hAnsi="宋体"/>
          <w:bCs/>
          <w:sz w:val="24"/>
          <w:szCs w:val="20"/>
        </w:rPr>
      </w:pPr>
      <w:r>
        <w:rPr>
          <w:rFonts w:hint="eastAsia" w:ascii="宋体" w:hAnsi="宋体"/>
          <w:bCs/>
          <w:sz w:val="24"/>
          <w:szCs w:val="20"/>
        </w:rPr>
        <w:t>投标人地址：</w:t>
      </w:r>
    </w:p>
    <w:p>
      <w:pPr>
        <w:snapToGrid w:val="0"/>
        <w:spacing w:before="120" w:beforeLines="50" w:after="50"/>
        <w:ind w:firstLine="360" w:firstLineChars="150"/>
        <w:rPr>
          <w:rFonts w:ascii="宋体" w:hAnsi="宋体"/>
          <w:bCs/>
          <w:sz w:val="24"/>
          <w:szCs w:val="20"/>
        </w:rPr>
      </w:pPr>
    </w:p>
    <w:p>
      <w:pPr>
        <w:snapToGrid w:val="0"/>
        <w:spacing w:before="120" w:beforeLines="50" w:after="50"/>
        <w:ind w:firstLine="360" w:firstLineChars="150"/>
        <w:jc w:val="center"/>
        <w:rPr>
          <w:rFonts w:ascii="宋体" w:hAnsi="宋体"/>
          <w:bCs/>
          <w:sz w:val="24"/>
          <w:szCs w:val="20"/>
        </w:rPr>
      </w:pPr>
    </w:p>
    <w:p>
      <w:pPr>
        <w:snapToGrid w:val="0"/>
        <w:spacing w:before="120" w:beforeLines="50" w:after="50"/>
        <w:ind w:firstLine="360" w:firstLineChars="150"/>
        <w:jc w:val="center"/>
        <w:rPr>
          <w:rFonts w:ascii="宋体" w:hAnsi="宋体"/>
          <w:bCs/>
          <w:sz w:val="24"/>
          <w:szCs w:val="20"/>
        </w:rPr>
      </w:pPr>
    </w:p>
    <w:p>
      <w:pPr>
        <w:snapToGrid w:val="0"/>
        <w:spacing w:before="120" w:beforeLines="50" w:after="50"/>
        <w:ind w:firstLine="360" w:firstLineChars="150"/>
        <w:jc w:val="center"/>
        <w:rPr>
          <w:rFonts w:ascii="宋体" w:hAnsi="宋体"/>
          <w:bCs/>
          <w:sz w:val="24"/>
        </w:rPr>
      </w:pPr>
      <w:r>
        <w:rPr>
          <w:rFonts w:hint="eastAsia" w:ascii="宋体" w:hAnsi="宋体"/>
          <w:bCs/>
          <w:sz w:val="24"/>
          <w:szCs w:val="20"/>
        </w:rPr>
        <w:t>投标截止时间前不得启封</w:t>
      </w:r>
    </w:p>
    <w:p>
      <w:pPr>
        <w:snapToGrid w:val="0"/>
        <w:spacing w:before="120" w:beforeLines="50" w:after="50"/>
        <w:ind w:firstLine="4080" w:firstLineChars="1700"/>
        <w:rPr>
          <w:rFonts w:ascii="宋体" w:hAnsi="宋体"/>
          <w:bCs/>
          <w:sz w:val="24"/>
          <w:szCs w:val="20"/>
        </w:rPr>
      </w:pPr>
    </w:p>
    <w:p>
      <w:pPr>
        <w:snapToGrid w:val="0"/>
        <w:spacing w:before="120" w:beforeLines="50" w:after="50"/>
        <w:ind w:firstLine="645"/>
        <w:jc w:val="left"/>
        <w:rPr>
          <w:rFonts w:ascii="宋体" w:hAnsi="宋体"/>
          <w:bCs/>
          <w:sz w:val="24"/>
          <w:szCs w:val="20"/>
        </w:rPr>
      </w:pPr>
      <w:r>
        <w:rPr>
          <w:rFonts w:hint="eastAsia" w:ascii="宋体" w:hAnsi="宋体"/>
          <w:bCs/>
          <w:sz w:val="24"/>
        </w:rPr>
        <w:t xml:space="preserve">                        年    月    日</w:t>
      </w:r>
    </w:p>
    <w:p>
      <w:pPr>
        <w:snapToGrid w:val="0"/>
        <w:spacing w:before="120" w:beforeLines="50" w:after="50"/>
        <w:ind w:firstLine="4080" w:firstLineChars="1700"/>
        <w:rPr>
          <w:rFonts w:ascii="宋体" w:hAnsi="宋体"/>
          <w:bCs/>
          <w:sz w:val="24"/>
          <w:szCs w:val="20"/>
        </w:rPr>
      </w:pPr>
    </w:p>
    <w:p>
      <w:pPr>
        <w:snapToGrid w:val="0"/>
        <w:spacing w:before="120" w:beforeLines="50" w:after="50"/>
        <w:ind w:firstLine="4080" w:firstLineChars="1700"/>
        <w:rPr>
          <w:rFonts w:ascii="宋体" w:hAnsi="宋体"/>
          <w:bCs/>
          <w:sz w:val="24"/>
          <w:szCs w:val="20"/>
        </w:rPr>
      </w:pPr>
    </w:p>
    <w:p>
      <w:pPr>
        <w:snapToGrid w:val="0"/>
        <w:spacing w:before="120" w:beforeLines="50" w:after="50"/>
        <w:ind w:firstLine="4080" w:firstLineChars="1700"/>
        <w:rPr>
          <w:rFonts w:ascii="宋体" w:hAnsi="宋体"/>
          <w:bCs/>
          <w:sz w:val="24"/>
          <w:szCs w:val="20"/>
        </w:rPr>
      </w:pPr>
    </w:p>
    <w:p>
      <w:pPr>
        <w:snapToGrid w:val="0"/>
        <w:spacing w:before="120" w:beforeLines="50" w:after="50"/>
        <w:ind w:firstLine="4080" w:firstLineChars="1700"/>
        <w:rPr>
          <w:rFonts w:ascii="宋体" w:hAnsi="宋体"/>
          <w:bCs/>
          <w:sz w:val="24"/>
          <w:szCs w:val="20"/>
        </w:rPr>
      </w:pPr>
      <w:r>
        <w:rPr>
          <w:rFonts w:ascii="宋体" w:hAnsi="宋体"/>
          <w:bCs/>
          <w:sz w:val="24"/>
          <w:szCs w:val="20"/>
        </w:rPr>
        <w:br w:type="page"/>
      </w:r>
    </w:p>
    <w:p>
      <w:pPr>
        <w:snapToGrid w:val="0"/>
        <w:spacing w:before="120" w:beforeLines="50" w:after="50" w:line="360" w:lineRule="auto"/>
        <w:outlineLvl w:val="1"/>
        <w:rPr>
          <w:rFonts w:ascii="宋体" w:hAnsi="宋体"/>
          <w:b/>
          <w:bCs/>
          <w:sz w:val="28"/>
          <w:szCs w:val="28"/>
        </w:rPr>
      </w:pPr>
      <w:bookmarkStart w:id="564" w:name="_Toc19686836"/>
      <w:bookmarkStart w:id="565" w:name="_Toc254970557"/>
      <w:bookmarkStart w:id="566" w:name="_Toc254970698"/>
      <w:r>
        <w:rPr>
          <w:rFonts w:hint="eastAsia" w:ascii="宋体" w:hAnsi="宋体"/>
          <w:b/>
          <w:bCs/>
          <w:sz w:val="28"/>
          <w:szCs w:val="28"/>
        </w:rPr>
        <w:t>二、报价文件格式</w:t>
      </w:r>
      <w:bookmarkEnd w:id="564"/>
    </w:p>
    <w:p>
      <w:pPr>
        <w:snapToGrid w:val="0"/>
        <w:spacing w:before="120" w:beforeLines="50" w:after="50" w:line="360" w:lineRule="auto"/>
        <w:ind w:left="142"/>
        <w:jc w:val="left"/>
        <w:rPr>
          <w:rFonts w:ascii="宋体" w:hAnsi="宋体"/>
          <w:sz w:val="24"/>
          <w:szCs w:val="20"/>
        </w:rPr>
      </w:pPr>
      <w:r>
        <w:rPr>
          <w:rFonts w:hint="eastAsia" w:ascii="宋体" w:hAnsi="宋体"/>
          <w:b/>
          <w:sz w:val="24"/>
        </w:rPr>
        <w:t xml:space="preserve">1. 报价文件封面格式： </w:t>
      </w:r>
    </w:p>
    <w:p>
      <w:pPr>
        <w:snapToGrid w:val="0"/>
        <w:spacing w:before="120" w:beforeLines="50" w:after="50" w:line="400" w:lineRule="exact"/>
        <w:rPr>
          <w:rFonts w:ascii="宋体" w:hAnsi="宋体"/>
          <w:bCs/>
          <w:sz w:val="32"/>
          <w:szCs w:val="20"/>
        </w:rPr>
      </w:pPr>
      <w:r>
        <w:rPr>
          <w:rFonts w:hint="eastAsia" w:ascii="宋体" w:hAnsi="宋体"/>
          <w:sz w:val="24"/>
        </w:rPr>
        <w:t xml:space="preserve">                                                    </w:t>
      </w:r>
      <w:r>
        <w:rPr>
          <w:rFonts w:ascii="宋体" w:hAnsi="宋体" w:cs="宋体"/>
          <w:spacing w:val="-2"/>
          <w:szCs w:val="21"/>
        </w:rPr>
        <w:t>全流程电子文件</w:t>
      </w:r>
    </w:p>
    <w:p>
      <w:pPr>
        <w:snapToGrid w:val="0"/>
        <w:spacing w:before="120" w:beforeLines="50" w:after="50" w:line="400" w:lineRule="exact"/>
        <w:jc w:val="center"/>
        <w:rPr>
          <w:rFonts w:ascii="宋体" w:hAnsi="宋体"/>
          <w:bCs/>
          <w:sz w:val="24"/>
          <w:szCs w:val="20"/>
        </w:rPr>
      </w:pPr>
    </w:p>
    <w:p>
      <w:pPr>
        <w:snapToGrid w:val="0"/>
        <w:spacing w:before="120" w:beforeLines="50" w:after="50" w:line="400" w:lineRule="exact"/>
        <w:jc w:val="center"/>
        <w:rPr>
          <w:rFonts w:ascii="宋体" w:hAnsi="宋体"/>
          <w:b/>
          <w:bCs/>
          <w:sz w:val="32"/>
          <w:szCs w:val="32"/>
        </w:rPr>
      </w:pPr>
      <w:r>
        <w:rPr>
          <w:rFonts w:hint="eastAsia" w:ascii="宋体" w:hAnsi="宋体"/>
          <w:b/>
          <w:bCs/>
          <w:sz w:val="32"/>
          <w:szCs w:val="32"/>
        </w:rPr>
        <w:t>报价文件</w:t>
      </w:r>
    </w:p>
    <w:p>
      <w:pPr>
        <w:snapToGrid w:val="0"/>
        <w:spacing w:before="120" w:beforeLines="50" w:after="50" w:line="400" w:lineRule="exact"/>
        <w:rPr>
          <w:rFonts w:ascii="宋体" w:hAnsi="宋体"/>
          <w:bCs/>
          <w:sz w:val="24"/>
          <w:szCs w:val="20"/>
        </w:rPr>
      </w:pPr>
    </w:p>
    <w:p>
      <w:pPr>
        <w:snapToGrid w:val="0"/>
        <w:spacing w:before="120" w:beforeLines="50" w:after="50" w:line="400" w:lineRule="exact"/>
        <w:rPr>
          <w:rFonts w:ascii="宋体" w:hAnsi="宋体"/>
          <w:bCs/>
          <w:sz w:val="24"/>
          <w:szCs w:val="20"/>
        </w:rPr>
      </w:pPr>
    </w:p>
    <w:p>
      <w:pPr>
        <w:snapToGrid w:val="0"/>
        <w:spacing w:before="120" w:beforeLines="50" w:after="50" w:line="400" w:lineRule="exact"/>
        <w:rPr>
          <w:rFonts w:ascii="宋体" w:hAnsi="宋体"/>
          <w:bCs/>
          <w:sz w:val="24"/>
          <w:szCs w:val="20"/>
        </w:rPr>
      </w:pPr>
    </w:p>
    <w:p>
      <w:pPr>
        <w:snapToGrid w:val="0"/>
        <w:spacing w:before="120" w:beforeLines="50" w:after="50" w:line="400" w:lineRule="exact"/>
        <w:rPr>
          <w:rFonts w:ascii="宋体" w:hAnsi="宋体"/>
          <w:bCs/>
          <w:sz w:val="24"/>
          <w:szCs w:val="20"/>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 xml:space="preserve">项目名称： </w:t>
      </w:r>
    </w:p>
    <w:p>
      <w:pPr>
        <w:snapToGrid w:val="0"/>
        <w:spacing w:before="120" w:beforeLines="50" w:after="50" w:line="400" w:lineRule="exact"/>
        <w:ind w:firstLine="360" w:firstLineChars="150"/>
        <w:rPr>
          <w:rFonts w:ascii="宋体" w:hAnsi="宋体"/>
          <w:bCs/>
          <w:sz w:val="24"/>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 xml:space="preserve">项目编号： </w:t>
      </w:r>
    </w:p>
    <w:p>
      <w:pPr>
        <w:snapToGrid w:val="0"/>
        <w:spacing w:before="120" w:beforeLines="50" w:after="50" w:line="400" w:lineRule="exact"/>
        <w:ind w:firstLine="360" w:firstLineChars="150"/>
        <w:rPr>
          <w:rFonts w:ascii="宋体" w:hAnsi="宋体"/>
          <w:bCs/>
          <w:sz w:val="24"/>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所投分标：</w:t>
      </w:r>
    </w:p>
    <w:p>
      <w:pPr>
        <w:snapToGrid w:val="0"/>
        <w:spacing w:before="120" w:beforeLines="50" w:after="50" w:line="400" w:lineRule="exact"/>
        <w:ind w:firstLine="360" w:firstLineChars="150"/>
        <w:rPr>
          <w:rFonts w:ascii="宋体" w:hAnsi="宋体"/>
          <w:bCs/>
          <w:sz w:val="24"/>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投标人名称：</w:t>
      </w:r>
    </w:p>
    <w:p>
      <w:pPr>
        <w:snapToGrid w:val="0"/>
        <w:spacing w:before="120" w:beforeLines="50" w:after="50" w:line="400" w:lineRule="exact"/>
        <w:ind w:firstLine="360" w:firstLineChars="150"/>
        <w:rPr>
          <w:rFonts w:ascii="宋体" w:hAnsi="宋体"/>
          <w:bCs/>
          <w:sz w:val="24"/>
        </w:rPr>
      </w:pP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投标人地址：</w:t>
      </w:r>
    </w:p>
    <w:p>
      <w:pPr>
        <w:pStyle w:val="7"/>
        <w:snapToGrid w:val="0"/>
        <w:spacing w:before="50" w:after="50" w:line="400" w:lineRule="exact"/>
        <w:ind w:firstLine="960" w:firstLineChars="400"/>
        <w:rPr>
          <w:rFonts w:ascii="宋体" w:hAnsi="宋体"/>
          <w:bCs/>
          <w:sz w:val="24"/>
          <w:szCs w:val="24"/>
        </w:rPr>
      </w:pPr>
    </w:p>
    <w:p>
      <w:pPr>
        <w:snapToGrid w:val="0"/>
        <w:spacing w:before="120" w:beforeLines="50" w:after="50" w:line="400" w:lineRule="exact"/>
        <w:rPr>
          <w:rFonts w:ascii="宋体" w:hAnsi="宋体"/>
          <w:sz w:val="30"/>
          <w:szCs w:val="20"/>
        </w:rPr>
      </w:pPr>
      <w:r>
        <w:rPr>
          <w:rFonts w:hint="eastAsia" w:ascii="宋体" w:hAnsi="宋体"/>
          <w:sz w:val="24"/>
        </w:rPr>
        <w:t xml:space="preserve">                                   年  月  日</w:t>
      </w:r>
    </w:p>
    <w:p>
      <w:pPr>
        <w:snapToGrid w:val="0"/>
        <w:spacing w:before="120" w:beforeLines="50" w:after="50" w:line="360" w:lineRule="auto"/>
        <w:jc w:val="left"/>
        <w:rPr>
          <w:rFonts w:ascii="宋体" w:hAnsi="宋体"/>
          <w:sz w:val="24"/>
          <w:szCs w:val="20"/>
        </w:rPr>
      </w:pPr>
      <w:r>
        <w:rPr>
          <w:rFonts w:ascii="宋体" w:hAnsi="宋体"/>
          <w:b/>
          <w:sz w:val="24"/>
        </w:rPr>
        <w:br w:type="page"/>
      </w:r>
      <w:r>
        <w:rPr>
          <w:rFonts w:hint="eastAsia" w:ascii="宋体" w:hAnsi="宋体"/>
          <w:b/>
          <w:sz w:val="24"/>
        </w:rPr>
        <w:t>2.</w:t>
      </w:r>
      <w:r>
        <w:rPr>
          <w:rFonts w:hint="eastAsia" w:ascii="宋体" w:hAnsi="宋体"/>
          <w:b/>
          <w:bCs/>
          <w:sz w:val="24"/>
        </w:rPr>
        <w:t>报价文件目录</w:t>
      </w:r>
    </w:p>
    <w:p>
      <w:pPr>
        <w:snapToGrid w:val="0"/>
        <w:spacing w:before="50" w:after="120" w:afterLines="50" w:line="360" w:lineRule="auto"/>
        <w:jc w:val="left"/>
        <w:rPr>
          <w:rFonts w:ascii="宋体" w:hAnsi="宋体"/>
          <w:b/>
          <w:sz w:val="24"/>
        </w:rPr>
      </w:pPr>
      <w:r>
        <w:rPr>
          <w:rFonts w:hint="eastAsia" w:ascii="宋体" w:hAnsi="宋体"/>
          <w:szCs w:val="21"/>
        </w:rPr>
        <w:t>根据招标文件规定及投标人提供的材料自行编写目录。</w:t>
      </w:r>
    </w:p>
    <w:p>
      <w:pPr>
        <w:snapToGrid w:val="0"/>
        <w:spacing w:before="120" w:beforeLines="50" w:after="50"/>
        <w:rPr>
          <w:rFonts w:ascii="宋体" w:hAnsi="宋体"/>
          <w:b/>
          <w:sz w:val="24"/>
        </w:rPr>
      </w:pPr>
    </w:p>
    <w:p>
      <w:pPr>
        <w:snapToGrid w:val="0"/>
        <w:spacing w:before="120" w:beforeLines="50" w:after="50"/>
        <w:rPr>
          <w:rFonts w:ascii="宋体" w:hAnsi="宋体"/>
          <w:b/>
          <w:sz w:val="24"/>
        </w:rPr>
      </w:pPr>
    </w:p>
    <w:p>
      <w:pPr>
        <w:snapToGrid w:val="0"/>
        <w:spacing w:before="120" w:beforeLines="50" w:after="50"/>
        <w:rPr>
          <w:rFonts w:ascii="宋体" w:hAnsi="宋体"/>
          <w:b/>
          <w:sz w:val="24"/>
        </w:rPr>
      </w:pPr>
    </w:p>
    <w:p>
      <w:pPr>
        <w:snapToGrid w:val="0"/>
        <w:spacing w:before="120" w:beforeLines="50" w:after="50"/>
        <w:ind w:left="142"/>
        <w:jc w:val="left"/>
        <w:rPr>
          <w:rFonts w:ascii="宋体" w:hAnsi="宋体"/>
          <w:b/>
          <w:sz w:val="24"/>
        </w:rPr>
      </w:pPr>
      <w:r>
        <w:rPr>
          <w:rFonts w:ascii="宋体" w:hAnsi="宋体"/>
          <w:b/>
          <w:sz w:val="24"/>
        </w:rPr>
        <w:br w:type="page"/>
      </w:r>
      <w:r>
        <w:rPr>
          <w:rFonts w:hint="eastAsia" w:ascii="宋体" w:hAnsi="宋体"/>
          <w:b/>
          <w:sz w:val="24"/>
        </w:rPr>
        <w:t>3. 投标函格式：</w:t>
      </w:r>
    </w:p>
    <w:p>
      <w:pPr>
        <w:snapToGrid w:val="0"/>
        <w:spacing w:before="120" w:beforeLines="50" w:after="50" w:line="336" w:lineRule="auto"/>
        <w:jc w:val="center"/>
        <w:rPr>
          <w:rFonts w:ascii="宋体" w:hAnsi="宋体"/>
          <w:b/>
          <w:sz w:val="32"/>
          <w:szCs w:val="32"/>
        </w:rPr>
      </w:pPr>
      <w:r>
        <w:rPr>
          <w:rFonts w:hint="eastAsia" w:ascii="宋体" w:hAnsi="宋体"/>
          <w:b/>
          <w:sz w:val="32"/>
          <w:szCs w:val="32"/>
        </w:rPr>
        <w:t>投 标 函</w:t>
      </w:r>
    </w:p>
    <w:p>
      <w:pPr>
        <w:snapToGrid w:val="0"/>
        <w:spacing w:line="336" w:lineRule="auto"/>
        <w:rPr>
          <w:rFonts w:ascii="宋体" w:hAnsi="宋体"/>
          <w:sz w:val="24"/>
        </w:rPr>
      </w:pPr>
      <w:r>
        <w:rPr>
          <w:rFonts w:hint="eastAsia" w:ascii="宋体" w:hAnsi="宋体"/>
          <w:sz w:val="24"/>
        </w:rPr>
        <w:t>致：</w:t>
      </w:r>
      <w:r>
        <w:rPr>
          <w:rFonts w:hint="eastAsia" w:ascii="宋体" w:hAnsi="宋体"/>
          <w:sz w:val="24"/>
          <w:u w:val="single"/>
        </w:rPr>
        <w:t>采购人名称</w:t>
      </w:r>
      <w:r>
        <w:rPr>
          <w:rFonts w:hint="eastAsia" w:ascii="宋体" w:hAnsi="宋体"/>
          <w:sz w:val="24"/>
        </w:rPr>
        <w:t>：</w:t>
      </w:r>
    </w:p>
    <w:p>
      <w:pPr>
        <w:snapToGrid w:val="0"/>
        <w:spacing w:line="336" w:lineRule="auto"/>
        <w:ind w:firstLine="480"/>
        <w:rPr>
          <w:rFonts w:ascii="宋体" w:hAnsi="宋体"/>
          <w:sz w:val="24"/>
        </w:rPr>
      </w:pPr>
      <w:r>
        <w:rPr>
          <w:rFonts w:hint="eastAsia" w:ascii="宋体" w:hAnsi="宋体"/>
          <w:sz w:val="24"/>
        </w:rPr>
        <w:t>根据贵方</w:t>
      </w:r>
      <w:r>
        <w:rPr>
          <w:rFonts w:hint="eastAsia" w:ascii="宋体" w:hAnsi="宋体"/>
          <w:sz w:val="24"/>
          <w:u w:val="single"/>
        </w:rPr>
        <w:t xml:space="preserve"> 项目名称</w:t>
      </w:r>
      <w:r>
        <w:rPr>
          <w:rFonts w:hint="eastAsia" w:ascii="宋体" w:hAnsi="宋体"/>
          <w:sz w:val="24"/>
        </w:rPr>
        <w:t>（项目编号：</w:t>
      </w:r>
      <w:r>
        <w:rPr>
          <w:rFonts w:hint="eastAsia" w:ascii="宋体" w:hAnsi="宋体"/>
          <w:sz w:val="24"/>
          <w:u w:val="single"/>
        </w:rPr>
        <w:t xml:space="preserve">             </w:t>
      </w:r>
      <w:r>
        <w:rPr>
          <w:rFonts w:hint="eastAsia" w:ascii="宋体" w:hAnsi="宋体"/>
          <w:sz w:val="24"/>
        </w:rPr>
        <w:t>）的招标公告，签字代表______</w:t>
      </w:r>
      <w:r>
        <w:rPr>
          <w:rFonts w:hint="eastAsia" w:ascii="宋体" w:hAnsi="宋体"/>
          <w:sz w:val="24"/>
          <w:u w:val="single"/>
        </w:rPr>
        <w:t xml:space="preserve">     </w:t>
      </w:r>
      <w:r>
        <w:rPr>
          <w:rFonts w:hint="eastAsia" w:ascii="宋体" w:hAnsi="宋体"/>
          <w:sz w:val="24"/>
        </w:rPr>
        <w:t>（姓名）经正式授权并代表投标人</w:t>
      </w:r>
      <w:r>
        <w:rPr>
          <w:rFonts w:hint="eastAsia" w:ascii="宋体" w:hAnsi="宋体"/>
          <w:sz w:val="24"/>
          <w:u w:val="single"/>
        </w:rPr>
        <w:t xml:space="preserve">              </w:t>
      </w:r>
      <w:r>
        <w:rPr>
          <w:rFonts w:hint="eastAsia" w:ascii="宋体" w:hAnsi="宋体"/>
          <w:sz w:val="24"/>
        </w:rPr>
        <w:t>（投标人名称）提交投标文件。</w:t>
      </w:r>
    </w:p>
    <w:p>
      <w:pPr>
        <w:snapToGrid w:val="0"/>
        <w:spacing w:line="336" w:lineRule="auto"/>
        <w:ind w:firstLine="480" w:firstLineChars="200"/>
        <w:rPr>
          <w:rFonts w:ascii="宋体" w:hAnsi="宋体"/>
          <w:sz w:val="24"/>
        </w:rPr>
      </w:pPr>
      <w:r>
        <w:rPr>
          <w:rFonts w:hint="eastAsia" w:ascii="宋体" w:hAnsi="宋体"/>
          <w:sz w:val="24"/>
        </w:rPr>
        <w:t>据此函，我方宣布同意如下：</w:t>
      </w:r>
    </w:p>
    <w:p>
      <w:pPr>
        <w:snapToGrid w:val="0"/>
        <w:spacing w:line="336" w:lineRule="auto"/>
        <w:ind w:firstLine="480" w:firstLineChars="200"/>
        <w:rPr>
          <w:rFonts w:ascii="宋体" w:hAnsi="宋体"/>
          <w:sz w:val="24"/>
        </w:rPr>
      </w:pPr>
      <w:r>
        <w:rPr>
          <w:rFonts w:hint="eastAsia" w:ascii="宋体" w:hAnsi="宋体"/>
          <w:sz w:val="24"/>
        </w:rPr>
        <w:t>1.我方已详细审查全部“招标文件”，包括修改文件（如有的话）以及全部参考资料和有关附件，已经了解我方对于招标文件、采购过程、采购结果有依法进行询问、质疑、投诉的权利及相关渠道和要求。</w:t>
      </w:r>
    </w:p>
    <w:p>
      <w:pPr>
        <w:snapToGrid w:val="0"/>
        <w:spacing w:line="336" w:lineRule="auto"/>
        <w:ind w:firstLine="480" w:firstLineChars="200"/>
        <w:rPr>
          <w:rFonts w:ascii="宋体" w:hAnsi="宋体"/>
          <w:sz w:val="24"/>
        </w:rPr>
      </w:pPr>
      <w:r>
        <w:rPr>
          <w:rFonts w:hint="eastAsia" w:ascii="宋体" w:hAnsi="宋体"/>
          <w:sz w:val="24"/>
        </w:rPr>
        <w:t>2.我方在投标之前已经完全理解并接受招标文件的各项规定和要求，对招标文件的合理性、合法性不再有异议。</w:t>
      </w:r>
    </w:p>
    <w:p>
      <w:pPr>
        <w:snapToGrid w:val="0"/>
        <w:spacing w:line="336" w:lineRule="auto"/>
        <w:ind w:firstLine="480" w:firstLineChars="200"/>
        <w:rPr>
          <w:rFonts w:ascii="宋体" w:hAnsi="宋体"/>
          <w:sz w:val="24"/>
        </w:rPr>
      </w:pPr>
      <w:r>
        <w:rPr>
          <w:rFonts w:hint="eastAsia" w:ascii="宋体" w:hAnsi="宋体"/>
          <w:sz w:val="24"/>
        </w:rPr>
        <w:t>3.本投标有效期自投标截止之日起</w:t>
      </w:r>
      <w:r>
        <w:rPr>
          <w:rFonts w:ascii="宋体" w:hAnsi="宋体"/>
          <w:sz w:val="24"/>
          <w:u w:val="single"/>
        </w:rPr>
        <w:t xml:space="preserve">    </w:t>
      </w:r>
      <w:r>
        <w:rPr>
          <w:rFonts w:hint="eastAsia" w:ascii="宋体" w:hAnsi="宋体"/>
          <w:sz w:val="24"/>
        </w:rPr>
        <w:t>日。</w:t>
      </w:r>
    </w:p>
    <w:p>
      <w:pPr>
        <w:snapToGrid w:val="0"/>
        <w:spacing w:line="336" w:lineRule="auto"/>
        <w:ind w:firstLine="480" w:firstLineChars="200"/>
        <w:rPr>
          <w:rFonts w:ascii="宋体" w:hAnsi="宋体"/>
          <w:sz w:val="24"/>
        </w:rPr>
      </w:pPr>
      <w:r>
        <w:rPr>
          <w:rFonts w:hint="eastAsia" w:ascii="宋体" w:hAnsi="宋体"/>
          <w:sz w:val="24"/>
        </w:rPr>
        <w:t>4.如中标，本投标文件至本项目合同履行完毕止均保持有效，我方将按“招标文件”及政府采购</w:t>
      </w:r>
      <w:r>
        <w:rPr>
          <w:rFonts w:hint="eastAsia" w:ascii="宋体" w:hAnsi="宋体"/>
          <w:sz w:val="24"/>
          <w:lang w:eastAsia="zh-CN"/>
        </w:rPr>
        <w:t>法律法规</w:t>
      </w:r>
      <w:r>
        <w:rPr>
          <w:rFonts w:hint="eastAsia" w:ascii="宋体" w:hAnsi="宋体"/>
          <w:sz w:val="24"/>
        </w:rPr>
        <w:t>的规定履行合同责任和义务。</w:t>
      </w:r>
    </w:p>
    <w:p>
      <w:pPr>
        <w:snapToGrid w:val="0"/>
        <w:spacing w:line="336" w:lineRule="auto"/>
        <w:ind w:firstLine="480" w:firstLineChars="200"/>
        <w:rPr>
          <w:rFonts w:ascii="宋体" w:hAnsi="宋体"/>
          <w:sz w:val="24"/>
        </w:rPr>
      </w:pPr>
      <w:r>
        <w:rPr>
          <w:rFonts w:hint="eastAsia" w:ascii="宋体" w:hAnsi="宋体"/>
          <w:sz w:val="24"/>
        </w:rPr>
        <w:t>5.我方同意按照贵方要求提供与投标有关的一切数据或者资料。</w:t>
      </w:r>
    </w:p>
    <w:p>
      <w:pPr>
        <w:snapToGrid w:val="0"/>
        <w:spacing w:line="336" w:lineRule="auto"/>
        <w:ind w:firstLine="480" w:firstLineChars="200"/>
        <w:rPr>
          <w:rFonts w:ascii="宋体" w:hAnsi="宋体"/>
          <w:sz w:val="24"/>
        </w:rPr>
      </w:pPr>
      <w:r>
        <w:rPr>
          <w:rFonts w:hint="eastAsia" w:ascii="宋体" w:hAnsi="宋体"/>
          <w:sz w:val="24"/>
        </w:rPr>
        <w:t>6.我方向贵方提交的所有投标文件、资料都是准确的和真实的。</w:t>
      </w:r>
    </w:p>
    <w:p>
      <w:pPr>
        <w:snapToGrid w:val="0"/>
        <w:spacing w:line="336" w:lineRule="auto"/>
        <w:ind w:firstLine="480" w:firstLineChars="200"/>
        <w:rPr>
          <w:rFonts w:ascii="宋体" w:hAnsi="宋体"/>
          <w:sz w:val="24"/>
        </w:rPr>
      </w:pPr>
      <w:r>
        <w:rPr>
          <w:rFonts w:hint="eastAsia" w:ascii="宋体" w:hAnsi="宋体"/>
          <w:sz w:val="24"/>
        </w:rPr>
        <w:t>7.以上事项如有虚假或者隐瞒，我方愿意承担一切后果，并不再寻求任何旨在减轻或者免除法律责任的辩解。</w:t>
      </w:r>
    </w:p>
    <w:p>
      <w:pPr>
        <w:spacing w:line="336" w:lineRule="auto"/>
        <w:ind w:firstLine="480" w:firstLineChars="200"/>
        <w:rPr>
          <w:rFonts w:ascii="宋体" w:hAnsi="宋体"/>
          <w:sz w:val="24"/>
        </w:rPr>
      </w:pPr>
      <w:r>
        <w:rPr>
          <w:rFonts w:hint="eastAsia" w:ascii="宋体" w:hAnsi="宋体"/>
          <w:sz w:val="24"/>
        </w:rPr>
        <w:t>8.根据</w:t>
      </w:r>
      <w:r>
        <w:rPr>
          <w:rFonts w:ascii="宋体" w:hAnsi="宋体"/>
          <w:sz w:val="24"/>
        </w:rPr>
        <w:t>《中华人民共和国政府采购法实施条例》第五十条要求对政府采购合同进行公告</w:t>
      </w:r>
      <w:r>
        <w:rPr>
          <w:rFonts w:hint="eastAsia" w:ascii="宋体" w:hAnsi="宋体"/>
          <w:sz w:val="24"/>
        </w:rPr>
        <w:t>，</w:t>
      </w:r>
      <w:r>
        <w:rPr>
          <w:rFonts w:ascii="宋体" w:hAnsi="宋体"/>
          <w:sz w:val="24"/>
        </w:rPr>
        <w:t>但政府采购合同中涉及国家秘密、商业秘密的内容除外。</w:t>
      </w:r>
      <w:r>
        <w:rPr>
          <w:rFonts w:hint="eastAsia" w:ascii="宋体" w:hAnsi="宋体"/>
          <w:sz w:val="24"/>
        </w:rPr>
        <w:t>我方就对本次投标文件进行注明如下：（两项内容中必须选择一项）</w:t>
      </w:r>
    </w:p>
    <w:p>
      <w:pPr>
        <w:spacing w:line="336" w:lineRule="auto"/>
        <w:ind w:firstLine="480" w:firstLineChars="200"/>
        <w:rPr>
          <w:rFonts w:ascii="宋体" w:hAnsi="宋体"/>
          <w:sz w:val="24"/>
        </w:rPr>
      </w:pPr>
      <w:r>
        <w:rPr>
          <w:rFonts w:hint="eastAsia" w:ascii="宋体" w:hAnsi="宋体"/>
          <w:sz w:val="24"/>
        </w:rPr>
        <w:t>□我方本次投标文件</w:t>
      </w:r>
      <w:r>
        <w:rPr>
          <w:rFonts w:ascii="宋体" w:hAnsi="宋体" w:cs="宋体"/>
          <w:kern w:val="0"/>
          <w:sz w:val="24"/>
        </w:rPr>
        <w:t>内容中</w:t>
      </w:r>
      <w:r>
        <w:rPr>
          <w:rFonts w:hint="eastAsia" w:ascii="宋体" w:hAnsi="宋体"/>
          <w:sz w:val="24"/>
        </w:rPr>
        <w:t>未</w:t>
      </w:r>
      <w:r>
        <w:rPr>
          <w:rFonts w:ascii="宋体" w:hAnsi="宋体" w:cs="宋体"/>
          <w:kern w:val="0"/>
          <w:sz w:val="24"/>
        </w:rPr>
        <w:t>涉及商业秘密</w:t>
      </w:r>
      <w:r>
        <w:rPr>
          <w:rFonts w:hint="eastAsia" w:ascii="宋体" w:hAnsi="宋体" w:cs="宋体"/>
          <w:kern w:val="0"/>
          <w:sz w:val="24"/>
        </w:rPr>
        <w:t>；</w:t>
      </w:r>
    </w:p>
    <w:p>
      <w:pPr>
        <w:snapToGrid w:val="0"/>
        <w:spacing w:line="336" w:lineRule="auto"/>
        <w:ind w:firstLine="480" w:firstLineChars="200"/>
        <w:rPr>
          <w:rFonts w:ascii="宋体" w:hAnsi="宋体"/>
          <w:sz w:val="24"/>
        </w:rPr>
      </w:pPr>
      <w:r>
        <w:rPr>
          <w:rFonts w:hint="eastAsia" w:ascii="宋体" w:hAnsi="宋体"/>
          <w:sz w:val="24"/>
        </w:rPr>
        <w:t>□我方本次投标文件</w:t>
      </w:r>
      <w:r>
        <w:rPr>
          <w:rFonts w:ascii="宋体" w:hAnsi="宋体" w:cs="宋体"/>
          <w:kern w:val="0"/>
          <w:sz w:val="24"/>
        </w:rPr>
        <w:t>涉及商业秘密</w:t>
      </w:r>
      <w:r>
        <w:rPr>
          <w:rFonts w:hint="eastAsia" w:ascii="宋体" w:hAnsi="宋体" w:cs="宋体"/>
          <w:kern w:val="0"/>
          <w:sz w:val="24"/>
        </w:rPr>
        <w:t>的</w:t>
      </w:r>
      <w:r>
        <w:rPr>
          <w:rFonts w:ascii="宋体" w:hAnsi="宋体" w:cs="宋体"/>
          <w:kern w:val="0"/>
          <w:sz w:val="24"/>
        </w:rPr>
        <w:t>内容</w:t>
      </w:r>
      <w:r>
        <w:rPr>
          <w:rFonts w:hint="eastAsia" w:ascii="宋体" w:hAnsi="宋体" w:cs="宋体"/>
          <w:kern w:val="0"/>
          <w:sz w:val="24"/>
        </w:rPr>
        <w:t>有：</w:t>
      </w:r>
      <w:r>
        <w:rPr>
          <w:rFonts w:hint="eastAsia" w:ascii="宋体" w:hAnsi="宋体" w:cs="宋体"/>
          <w:kern w:val="0"/>
          <w:sz w:val="24"/>
          <w:u w:val="single"/>
        </w:rPr>
        <w:t xml:space="preserve">                         </w:t>
      </w:r>
      <w:r>
        <w:rPr>
          <w:rFonts w:hint="eastAsia" w:ascii="宋体" w:hAnsi="宋体" w:cs="宋体"/>
          <w:kern w:val="0"/>
          <w:sz w:val="24"/>
        </w:rPr>
        <w:t>；</w:t>
      </w:r>
    </w:p>
    <w:p>
      <w:pPr>
        <w:snapToGrid w:val="0"/>
        <w:spacing w:line="336" w:lineRule="auto"/>
        <w:ind w:firstLine="480" w:firstLineChars="200"/>
        <w:rPr>
          <w:rFonts w:ascii="宋体" w:hAnsi="宋体"/>
          <w:sz w:val="24"/>
        </w:rPr>
      </w:pPr>
      <w:r>
        <w:rPr>
          <w:rFonts w:hint="eastAsia" w:ascii="宋体" w:hAnsi="宋体"/>
          <w:sz w:val="24"/>
        </w:rPr>
        <w:t>9.与本投标有关的一切正式往来信函请寄：</w:t>
      </w:r>
    </w:p>
    <w:p>
      <w:pPr>
        <w:snapToGrid w:val="0"/>
        <w:spacing w:line="336" w:lineRule="auto"/>
        <w:rPr>
          <w:rFonts w:ascii="宋体" w:hAnsi="宋体"/>
          <w:sz w:val="24"/>
          <w:u w:val="single"/>
        </w:rPr>
      </w:pPr>
      <w:r>
        <w:rPr>
          <w:rFonts w:hint="eastAsia" w:ascii="宋体" w:hAnsi="宋体"/>
          <w:sz w:val="24"/>
        </w:rPr>
        <w:t>地址：</w:t>
      </w:r>
      <w:r>
        <w:rPr>
          <w:rFonts w:hint="eastAsia" w:ascii="宋体" w:hAnsi="宋体"/>
          <w:sz w:val="24"/>
          <w:u w:val="single"/>
        </w:rPr>
        <w:t xml:space="preserve">          </w:t>
      </w:r>
      <w:r>
        <w:rPr>
          <w:rFonts w:hint="eastAsia" w:ascii="宋体" w:hAnsi="宋体"/>
          <w:sz w:val="24"/>
        </w:rPr>
        <w:t>邮编：</w:t>
      </w:r>
      <w:r>
        <w:rPr>
          <w:rFonts w:hint="eastAsia" w:ascii="宋体" w:hAnsi="宋体"/>
          <w:sz w:val="24"/>
          <w:u w:val="single"/>
        </w:rPr>
        <w:t xml:space="preserve">            </w:t>
      </w:r>
    </w:p>
    <w:p>
      <w:pPr>
        <w:snapToGrid w:val="0"/>
        <w:spacing w:line="336" w:lineRule="auto"/>
        <w:rPr>
          <w:rFonts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传真：</w:t>
      </w:r>
      <w:r>
        <w:rPr>
          <w:rFonts w:hint="eastAsia" w:ascii="宋体" w:hAnsi="宋体"/>
          <w:sz w:val="24"/>
          <w:u w:val="single"/>
        </w:rPr>
        <w:t xml:space="preserve">          </w:t>
      </w:r>
    </w:p>
    <w:p>
      <w:pPr>
        <w:snapToGrid w:val="0"/>
        <w:spacing w:line="336" w:lineRule="auto"/>
        <w:rPr>
          <w:rFonts w:ascii="宋体" w:hAnsi="宋体"/>
          <w:sz w:val="24"/>
        </w:rPr>
      </w:pPr>
      <w:r>
        <w:rPr>
          <w:rFonts w:hint="eastAsia" w:ascii="宋体" w:hAnsi="宋体"/>
          <w:sz w:val="24"/>
        </w:rPr>
        <w:t>投标人名称:</w:t>
      </w:r>
      <w:r>
        <w:rPr>
          <w:rFonts w:hint="eastAsia" w:ascii="宋体" w:hAnsi="宋体"/>
          <w:sz w:val="24"/>
          <w:u w:val="single"/>
        </w:rPr>
        <w:t xml:space="preserve">                </w:t>
      </w:r>
    </w:p>
    <w:p>
      <w:pPr>
        <w:snapToGrid w:val="0"/>
        <w:spacing w:line="336" w:lineRule="auto"/>
        <w:jc w:val="left"/>
        <w:rPr>
          <w:rFonts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lang w:eastAsia="zh-CN"/>
        </w:rPr>
        <w:t>银行账号</w:t>
      </w:r>
      <w:r>
        <w:rPr>
          <w:rFonts w:hint="eastAsia" w:ascii="宋体" w:hAnsi="宋体"/>
          <w:sz w:val="24"/>
        </w:rPr>
        <w:t>：</w:t>
      </w:r>
      <w:r>
        <w:rPr>
          <w:rFonts w:hint="eastAsia" w:ascii="宋体" w:hAnsi="宋体"/>
          <w:sz w:val="24"/>
          <w:u w:val="single"/>
        </w:rPr>
        <w:t xml:space="preserve">                    </w:t>
      </w:r>
      <w:r>
        <w:rPr>
          <w:rFonts w:hint="eastAsia" w:ascii="宋体" w:hAnsi="宋体"/>
          <w:sz w:val="24"/>
        </w:rPr>
        <w:t xml:space="preserve"> </w:t>
      </w:r>
    </w:p>
    <w:p>
      <w:pPr>
        <w:snapToGrid w:val="0"/>
        <w:spacing w:line="336" w:lineRule="auto"/>
        <w:jc w:val="right"/>
        <w:rPr>
          <w:rFonts w:ascii="宋体" w:hAnsi="宋体"/>
          <w:sz w:val="24"/>
        </w:rPr>
      </w:pPr>
      <w:r>
        <w:rPr>
          <w:rFonts w:hint="eastAsia" w:ascii="宋体" w:hAnsi="宋体"/>
          <w:sz w:val="24"/>
        </w:rPr>
        <w:t>法定代表人或者委托代理人（签字</w:t>
      </w:r>
      <w:r>
        <w:rPr>
          <w:rFonts w:hint="eastAsia" w:ascii="宋体" w:hAnsi="宋体" w:cs="宋体"/>
          <w:sz w:val="24"/>
        </w:rPr>
        <w:t>或电子签名</w:t>
      </w:r>
      <w:r>
        <w:rPr>
          <w:rFonts w:hint="eastAsia" w:ascii="宋体" w:hAnsi="宋体"/>
          <w:sz w:val="24"/>
        </w:rPr>
        <w:t>）:__</w:t>
      </w:r>
    </w:p>
    <w:p>
      <w:pPr>
        <w:snapToGrid w:val="0"/>
        <w:spacing w:line="336" w:lineRule="auto"/>
        <w:jc w:val="right"/>
        <w:rPr>
          <w:rFonts w:hAnsi="宋体"/>
          <w:sz w:val="24"/>
        </w:rPr>
      </w:pPr>
      <w:r>
        <w:rPr>
          <w:rFonts w:hint="eastAsia" w:hAnsi="宋体"/>
          <w:sz w:val="24"/>
        </w:rPr>
        <w:t>投标人名称（电子签章）：</w:t>
      </w:r>
    </w:p>
    <w:p>
      <w:pPr>
        <w:snapToGrid w:val="0"/>
        <w:spacing w:line="336" w:lineRule="auto"/>
        <w:jc w:val="right"/>
        <w:rPr>
          <w:rFonts w:ascii="宋体" w:hAnsi="宋体"/>
          <w:sz w:val="24"/>
        </w:rPr>
      </w:pPr>
      <w:r>
        <w:rPr>
          <w:rFonts w:hint="eastAsia" w:hAnsi="宋体"/>
          <w:sz w:val="24"/>
        </w:rPr>
        <w:t xml:space="preserve"> </w:t>
      </w: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p>
    <w:p>
      <w:pPr>
        <w:snapToGrid w:val="0"/>
        <w:spacing w:before="120" w:beforeLines="50" w:after="50"/>
        <w:jc w:val="left"/>
        <w:rPr>
          <w:rFonts w:ascii="宋体" w:hAnsi="宋体"/>
          <w:b/>
          <w:sz w:val="24"/>
          <w:szCs w:val="20"/>
        </w:rPr>
      </w:pPr>
      <w:r>
        <w:rPr>
          <w:rFonts w:hAnsi="宋体"/>
          <w:u w:val="single"/>
        </w:rPr>
        <w:br w:type="page"/>
      </w:r>
      <w:r>
        <w:rPr>
          <w:rFonts w:hint="eastAsia" w:ascii="宋体" w:hAnsi="宋体"/>
          <w:b/>
          <w:sz w:val="24"/>
        </w:rPr>
        <w:t>3. 开标一览表（服务类格式）</w:t>
      </w:r>
    </w:p>
    <w:p>
      <w:pPr>
        <w:snapToGrid w:val="0"/>
        <w:spacing w:before="50" w:after="50" w:line="360" w:lineRule="exact"/>
        <w:jc w:val="center"/>
        <w:rPr>
          <w:rFonts w:hAnsi="宋体"/>
          <w:u w:val="single"/>
        </w:rPr>
      </w:pPr>
    </w:p>
    <w:p>
      <w:pPr>
        <w:snapToGrid w:val="0"/>
        <w:spacing w:before="50" w:after="50" w:line="360" w:lineRule="exact"/>
        <w:jc w:val="center"/>
        <w:rPr>
          <w:rFonts w:hAnsi="宋体"/>
          <w:u w:val="single"/>
        </w:rPr>
      </w:pPr>
    </w:p>
    <w:p>
      <w:pPr>
        <w:snapToGrid w:val="0"/>
        <w:spacing w:before="50" w:after="50" w:line="360" w:lineRule="exact"/>
        <w:jc w:val="center"/>
        <w:rPr>
          <w:rFonts w:ascii="仿宋_GB2312" w:eastAsia="仿宋_GB2312"/>
          <w:bCs/>
          <w:color w:val="000000"/>
          <w:sz w:val="24"/>
        </w:rPr>
      </w:pPr>
      <w:r>
        <w:rPr>
          <w:rFonts w:hint="eastAsia" w:ascii="仿宋_GB2312" w:hAnsi="宋体" w:eastAsia="仿宋_GB2312"/>
          <w:b/>
          <w:color w:val="000000"/>
          <w:sz w:val="32"/>
          <w:szCs w:val="32"/>
        </w:rPr>
        <w:t>开标一览表</w:t>
      </w:r>
      <w:bookmarkStart w:id="567" w:name="_Hlk111729075"/>
      <w:r>
        <w:rPr>
          <w:rFonts w:hint="eastAsia" w:ascii="仿宋_GB2312" w:eastAsia="仿宋_GB2312"/>
          <w:bCs/>
          <w:color w:val="000000"/>
          <w:sz w:val="24"/>
        </w:rPr>
        <w:t>（格式）</w:t>
      </w:r>
      <w:bookmarkEnd w:id="567"/>
    </w:p>
    <w:p>
      <w:pPr>
        <w:snapToGrid w:val="0"/>
        <w:spacing w:before="50" w:after="50" w:line="360" w:lineRule="exact"/>
        <w:jc w:val="center"/>
        <w:rPr>
          <w:rFonts w:ascii="仿宋_GB2312" w:hAnsi="宋体" w:eastAsia="仿宋_GB2312"/>
          <w:b/>
          <w:color w:val="000000"/>
          <w:sz w:val="28"/>
          <w:szCs w:val="28"/>
        </w:rPr>
      </w:pPr>
    </w:p>
    <w:p>
      <w:pPr>
        <w:snapToGrid w:val="0"/>
        <w:spacing w:before="50" w:after="50" w:line="400" w:lineRule="exact"/>
        <w:rPr>
          <w:rFonts w:ascii="宋体" w:hAnsi="宋体"/>
          <w:color w:val="000000"/>
          <w:szCs w:val="21"/>
          <w:u w:val="single"/>
        </w:rPr>
      </w:pPr>
      <w:r>
        <w:rPr>
          <w:rFonts w:hint="eastAsia" w:ascii="宋体" w:hAnsi="宋体"/>
          <w:color w:val="000000"/>
          <w:szCs w:val="21"/>
        </w:rPr>
        <w:t>项目名称：</w:t>
      </w:r>
      <w:r>
        <w:rPr>
          <w:rFonts w:hint="eastAsia"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 xml:space="preserve">   项目编号：</w:t>
      </w:r>
      <w:r>
        <w:rPr>
          <w:rFonts w:hint="eastAsia" w:ascii="宋体" w:hAnsi="宋体"/>
          <w:color w:val="000000"/>
          <w:szCs w:val="21"/>
          <w:u w:val="single"/>
        </w:rPr>
        <w:t xml:space="preserve">                          </w:t>
      </w:r>
    </w:p>
    <w:p>
      <w:pPr>
        <w:snapToGrid w:val="0"/>
        <w:spacing w:before="50" w:after="50" w:line="400" w:lineRule="exact"/>
        <w:rPr>
          <w:rFonts w:ascii="宋体" w:hAnsi="宋体"/>
          <w:color w:val="000000"/>
          <w:szCs w:val="21"/>
          <w:u w:val="single"/>
        </w:rPr>
      </w:pPr>
    </w:p>
    <w:tbl>
      <w:tblPr>
        <w:tblStyle w:val="48"/>
        <w:tblW w:w="92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7" w:hRule="atLeast"/>
          <w:jc w:val="center"/>
        </w:trPr>
        <w:tc>
          <w:tcPr>
            <w:tcW w:w="927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jc w:val="center"/>
              <w:rPr>
                <w:rFonts w:ascii="宋体" w:hAnsi="宋体"/>
                <w:b/>
                <w:color w:val="000000"/>
                <w:szCs w:val="21"/>
              </w:rPr>
            </w:pPr>
            <w:r>
              <w:rPr>
                <w:rFonts w:hint="eastAsia" w:ascii="宋体" w:hAnsi="宋体"/>
                <w:b/>
                <w:color w:val="000000"/>
                <w:sz w:val="22"/>
                <w:szCs w:val="21"/>
              </w:rPr>
              <w:t>报价（总价、元）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84" w:hRule="atLeast"/>
          <w:jc w:val="center"/>
        </w:trPr>
        <w:tc>
          <w:tcPr>
            <w:tcW w:w="927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exact"/>
              <w:ind w:firstLine="19" w:firstLineChars="10"/>
              <w:jc w:val="left"/>
              <w:rPr>
                <w:rFonts w:ascii="宋体" w:hAnsi="宋体"/>
                <w:bCs/>
                <w:color w:val="000000"/>
                <w:szCs w:val="21"/>
                <w:u w:val="single"/>
              </w:rPr>
            </w:pPr>
            <w:r>
              <w:rPr>
                <w:rFonts w:hint="eastAsia" w:ascii="宋体" w:hAnsi="宋体" w:cs="Courier New"/>
                <w:color w:val="000000"/>
                <w:spacing w:val="-6"/>
                <w:szCs w:val="21"/>
              </w:rPr>
              <w:t>人民币大写：</w:t>
            </w:r>
            <w:r>
              <w:rPr>
                <w:rFonts w:hint="eastAsia" w:ascii="宋体" w:hAnsi="宋体" w:cs="Courier New"/>
                <w:color w:val="000000"/>
                <w:spacing w:val="-6"/>
                <w:szCs w:val="21"/>
                <w:u w:val="single"/>
              </w:rPr>
              <w:t xml:space="preserve">                  </w:t>
            </w:r>
            <w:r>
              <w:rPr>
                <w:rFonts w:ascii="宋体" w:hAnsi="宋体" w:cs="Courier New"/>
                <w:color w:val="000000"/>
                <w:spacing w:val="-6"/>
                <w:szCs w:val="21"/>
                <w:u w:val="single"/>
              </w:rPr>
              <w:t xml:space="preserve">                             </w:t>
            </w:r>
            <w:r>
              <w:rPr>
                <w:rFonts w:hint="eastAsia" w:ascii="宋体" w:hAnsi="宋体" w:cs="Courier New"/>
                <w:color w:val="000000"/>
                <w:spacing w:val="-6"/>
                <w:szCs w:val="21"/>
                <w:u w:val="single"/>
              </w:rPr>
              <w:t xml:space="preserve">    </w:t>
            </w:r>
            <w:r>
              <w:rPr>
                <w:rFonts w:ascii="宋体" w:hAnsi="宋体" w:cs="Courier New"/>
                <w:color w:val="000000"/>
                <w:spacing w:val="-6"/>
                <w:szCs w:val="21"/>
                <w:u w:val="single"/>
              </w:rPr>
              <w:t xml:space="preserve">   </w:t>
            </w:r>
            <w:r>
              <w:rPr>
                <w:rFonts w:hint="eastAsia" w:ascii="宋体" w:hAnsi="宋体" w:cs="Courier New"/>
                <w:color w:val="000000"/>
                <w:spacing w:val="-6"/>
                <w:szCs w:val="21"/>
              </w:rPr>
              <w:t>（￥</w:t>
            </w:r>
            <w:r>
              <w:rPr>
                <w:rFonts w:hint="eastAsia" w:ascii="宋体" w:hAnsi="宋体" w:cs="Courier New"/>
                <w:color w:val="000000"/>
                <w:spacing w:val="-6"/>
                <w:szCs w:val="21"/>
                <w:u w:val="single"/>
              </w:rPr>
              <w:t xml:space="preserve">                 元</w:t>
            </w:r>
            <w:r>
              <w:rPr>
                <w:rFonts w:hint="eastAsia" w:ascii="宋体" w:hAnsi="宋体" w:cs="Courier New"/>
                <w:color w:val="000000"/>
                <w:spacing w:val="-6"/>
                <w:szCs w:val="21"/>
              </w:rPr>
              <w:t>）</w:t>
            </w:r>
          </w:p>
        </w:tc>
      </w:tr>
    </w:tbl>
    <w:p>
      <w:pPr>
        <w:snapToGrid w:val="0"/>
        <w:spacing w:before="50" w:after="50" w:line="400" w:lineRule="exact"/>
        <w:ind w:left="105" w:leftChars="50" w:firstLine="315" w:firstLineChars="150"/>
        <w:jc w:val="left"/>
        <w:rPr>
          <w:rFonts w:ascii="宋体" w:hAnsi="宋体"/>
          <w:color w:val="000000"/>
          <w:szCs w:val="21"/>
        </w:rPr>
      </w:pPr>
      <w:r>
        <w:rPr>
          <w:rFonts w:hint="eastAsia" w:ascii="宋体" w:hAnsi="宋体"/>
          <w:color w:val="000000"/>
          <w:szCs w:val="21"/>
        </w:rPr>
        <w:t>1.所有价格均用人民币表示，单位为元，精确到个数位。</w:t>
      </w:r>
    </w:p>
    <w:p>
      <w:pPr>
        <w:snapToGrid w:val="0"/>
        <w:spacing w:before="50" w:after="50" w:line="400" w:lineRule="exact"/>
        <w:ind w:left="105" w:leftChars="50" w:firstLine="315" w:firstLineChars="150"/>
        <w:jc w:val="left"/>
        <w:rPr>
          <w:rFonts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报价一经涂改，应在涂改处加盖公章或者由法定代表人或授权委托人签名或盖章，否则视为无效投标文件。</w:t>
      </w:r>
    </w:p>
    <w:p>
      <w:pPr>
        <w:snapToGrid w:val="0"/>
        <w:spacing w:before="50" w:after="50" w:line="400" w:lineRule="exact"/>
        <w:ind w:firstLine="420" w:firstLineChars="200"/>
        <w:rPr>
          <w:rFonts w:ascii="宋体" w:hAnsi="宋体"/>
          <w:color w:val="000000"/>
          <w:szCs w:val="21"/>
        </w:rPr>
      </w:pPr>
      <w:bookmarkStart w:id="568" w:name="_Hlk90908484"/>
      <w:r>
        <w:rPr>
          <w:rFonts w:ascii="宋体" w:hAnsi="宋体"/>
          <w:color w:val="000000"/>
          <w:szCs w:val="21"/>
        </w:rPr>
        <w:t>3</w:t>
      </w:r>
      <w:r>
        <w:rPr>
          <w:rFonts w:hint="eastAsia" w:ascii="宋体" w:hAnsi="宋体"/>
          <w:color w:val="000000"/>
          <w:szCs w:val="21"/>
        </w:rPr>
        <w:t>.总报价为采购人指定地点的现场交货价，必须包括货物、货物标准附件、备品备件、专用工具、设备安装辅材、包装、运输、保险、安装、调试、税金、运维服务、技术培训费等所有成本费用。</w:t>
      </w:r>
    </w:p>
    <w:bookmarkEnd w:id="568"/>
    <w:p>
      <w:pPr>
        <w:snapToGrid w:val="0"/>
        <w:spacing w:before="50" w:after="50" w:line="350" w:lineRule="exact"/>
        <w:ind w:right="-817" w:rightChars="-389"/>
        <w:rPr>
          <w:rFonts w:ascii="宋体" w:hAnsi="宋体"/>
          <w:color w:val="000000"/>
          <w:szCs w:val="21"/>
        </w:rPr>
      </w:pPr>
    </w:p>
    <w:p>
      <w:pPr>
        <w:snapToGrid w:val="0"/>
        <w:spacing w:before="50" w:after="50" w:line="350" w:lineRule="exact"/>
        <w:ind w:right="-817" w:rightChars="-389"/>
        <w:rPr>
          <w:rFonts w:ascii="宋体" w:hAnsi="宋体"/>
          <w:color w:val="000000"/>
          <w:szCs w:val="21"/>
        </w:rPr>
      </w:pPr>
    </w:p>
    <w:p>
      <w:pPr>
        <w:snapToGrid w:val="0"/>
        <w:spacing w:before="50" w:after="50" w:line="288" w:lineRule="auto"/>
        <w:ind w:left="-2" w:leftChars="-1" w:right="-817" w:rightChars="-389" w:firstLine="2730" w:firstLineChars="1300"/>
        <w:rPr>
          <w:rFonts w:ascii="宋体" w:hAnsi="宋体"/>
          <w:color w:val="000000"/>
          <w:szCs w:val="21"/>
          <w:u w:val="single"/>
        </w:rPr>
      </w:pPr>
      <w:r>
        <w:rPr>
          <w:rFonts w:hint="eastAsia" w:ascii="宋体" w:hAnsi="宋体"/>
          <w:color w:val="000000"/>
          <w:szCs w:val="21"/>
        </w:rPr>
        <w:t>法定代表人或者委托代理人（签字或电子签名）：</w:t>
      </w:r>
      <w:r>
        <w:rPr>
          <w:rFonts w:hint="eastAsia" w:ascii="宋体" w:hAnsi="宋体"/>
          <w:color w:val="000000"/>
          <w:szCs w:val="21"/>
          <w:u w:val="single"/>
        </w:rPr>
        <w:t xml:space="preserve">           </w:t>
      </w:r>
    </w:p>
    <w:p>
      <w:pPr>
        <w:snapToGrid w:val="0"/>
        <w:spacing w:before="50" w:after="50" w:line="350" w:lineRule="exact"/>
        <w:ind w:right="-817" w:rightChars="-389" w:firstLine="3465" w:firstLineChars="1650"/>
        <w:rPr>
          <w:rFonts w:ascii="宋体" w:hAnsi="宋体"/>
          <w:color w:val="000000"/>
          <w:szCs w:val="21"/>
        </w:rPr>
      </w:pPr>
      <w:r>
        <w:rPr>
          <w:rFonts w:hint="eastAsia" w:ascii="宋体" w:hAnsi="宋体"/>
          <w:color w:val="000000"/>
          <w:szCs w:val="21"/>
        </w:rPr>
        <w:t xml:space="preserve">投标人名称（电子签章）： </w:t>
      </w:r>
      <w:r>
        <w:rPr>
          <w:rFonts w:hint="eastAsia" w:ascii="宋体" w:hAnsi="宋体"/>
          <w:color w:val="000000"/>
          <w:szCs w:val="21"/>
          <w:u w:val="single"/>
        </w:rPr>
        <w:t xml:space="preserve">              </w:t>
      </w:r>
    </w:p>
    <w:p>
      <w:pPr>
        <w:snapToGrid w:val="0"/>
        <w:spacing w:before="120" w:beforeLines="50" w:after="50"/>
        <w:jc w:val="left"/>
        <w:rPr>
          <w:rFonts w:ascii="宋体" w:hAnsi="宋体"/>
          <w:color w:val="000000"/>
          <w:szCs w:val="21"/>
        </w:rPr>
        <w:sectPr>
          <w:footerReference r:id="rId15" w:type="first"/>
          <w:headerReference r:id="rId12" w:type="default"/>
          <w:footerReference r:id="rId13" w:type="default"/>
          <w:footerReference r:id="rId14" w:type="even"/>
          <w:pgSz w:w="11906" w:h="16838"/>
          <w:pgMar w:top="1134" w:right="1503" w:bottom="1559" w:left="1678" w:header="851" w:footer="992" w:gutter="0"/>
          <w:cols w:space="720" w:num="1"/>
          <w:titlePg/>
          <w:docGrid w:linePitch="312" w:charSpace="0"/>
        </w:sectPr>
      </w:pP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日期：</w:t>
      </w:r>
      <w:r>
        <w:rPr>
          <w:rFonts w:hint="eastAsia" w:ascii="宋体" w:hAnsi="宋体"/>
          <w:color w:val="000000"/>
          <w:szCs w:val="21"/>
          <w:u w:val="single"/>
        </w:rPr>
        <w:t xml:space="preserve">       年    月    日</w:t>
      </w:r>
    </w:p>
    <w:p>
      <w:pPr>
        <w:snapToGrid w:val="0"/>
        <w:spacing w:before="120" w:beforeLines="50" w:after="50"/>
        <w:jc w:val="left"/>
        <w:rPr>
          <w:rFonts w:ascii="宋体" w:hAnsi="宋体"/>
          <w:b/>
          <w:sz w:val="24"/>
          <w:szCs w:val="20"/>
        </w:rPr>
      </w:pPr>
      <w:r>
        <w:rPr>
          <w:rFonts w:hint="eastAsia" w:ascii="宋体" w:hAnsi="宋体"/>
          <w:b/>
          <w:sz w:val="24"/>
        </w:rPr>
        <w:t>4. 报价明细表（服务类格式）</w:t>
      </w:r>
    </w:p>
    <w:p>
      <w:pPr>
        <w:snapToGrid w:val="0"/>
        <w:spacing w:before="50" w:after="50"/>
        <w:jc w:val="center"/>
        <w:rPr>
          <w:rFonts w:ascii="仿宋_GB2312" w:eastAsia="仿宋_GB2312"/>
          <w:b/>
          <w:bCs/>
          <w:color w:val="000000"/>
          <w:sz w:val="32"/>
          <w:szCs w:val="32"/>
        </w:rPr>
      </w:pPr>
      <w:r>
        <w:rPr>
          <w:rFonts w:hint="eastAsia" w:ascii="仿宋_GB2312" w:eastAsia="仿宋_GB2312"/>
          <w:b/>
          <w:bCs/>
          <w:color w:val="000000"/>
          <w:sz w:val="32"/>
          <w:szCs w:val="32"/>
        </w:rPr>
        <w:t>报价明细表</w:t>
      </w:r>
    </w:p>
    <w:p>
      <w:pPr>
        <w:snapToGrid w:val="0"/>
        <w:spacing w:before="50" w:after="50"/>
        <w:jc w:val="center"/>
        <w:rPr>
          <w:rFonts w:ascii="宋体" w:hAnsi="宋体"/>
          <w:b/>
          <w:sz w:val="30"/>
          <w:szCs w:val="20"/>
        </w:rPr>
      </w:pPr>
    </w:p>
    <w:p>
      <w:pPr>
        <w:snapToGrid w:val="0"/>
        <w:spacing w:before="50" w:after="50"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 xml:space="preserve">                  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分标：</w:t>
      </w:r>
      <w:r>
        <w:rPr>
          <w:rFonts w:hint="eastAsia" w:ascii="宋体" w:hAnsi="宋体"/>
          <w:sz w:val="24"/>
          <w:u w:val="single"/>
        </w:rPr>
        <w:t xml:space="preserve">           </w:t>
      </w:r>
    </w:p>
    <w:p>
      <w:pPr>
        <w:snapToGrid w:val="0"/>
        <w:spacing w:before="50" w:after="50" w:line="360" w:lineRule="auto"/>
        <w:rPr>
          <w:rFonts w:ascii="宋体" w:hAnsi="宋体" w:cs="仿宋_GB2312"/>
          <w:sz w:val="24"/>
        </w:rPr>
      </w:pPr>
      <w:r>
        <w:rPr>
          <w:rFonts w:hint="eastAsia" w:ascii="宋体" w:hAnsi="宋体"/>
          <w:sz w:val="24"/>
        </w:rPr>
        <w:t>投标人名称：</w:t>
      </w:r>
      <w:r>
        <w:rPr>
          <w:rFonts w:hint="eastAsia" w:ascii="宋体" w:hAnsi="宋体"/>
          <w:sz w:val="24"/>
          <w:u w:val="single"/>
        </w:rPr>
        <w:t xml:space="preserve">                     </w:t>
      </w:r>
      <w:r>
        <w:rPr>
          <w:rFonts w:hint="eastAsia" w:ascii="宋体" w:hAnsi="宋体"/>
          <w:sz w:val="24"/>
        </w:rPr>
        <w:t xml:space="preserve">                       单位：元</w:t>
      </w:r>
      <w:r>
        <w:rPr>
          <w:rFonts w:hint="eastAsia" w:ascii="宋体" w:hAnsi="宋体" w:cs="仿宋_GB2312"/>
          <w:sz w:val="24"/>
        </w:rPr>
        <w:t xml:space="preserve">                                           </w:t>
      </w:r>
    </w:p>
    <w:tbl>
      <w:tblPr>
        <w:tblStyle w:val="48"/>
        <w:tblW w:w="14361" w:type="dxa"/>
        <w:tblInd w:w="0" w:type="dxa"/>
        <w:tblLayout w:type="fixed"/>
        <w:tblCellMar>
          <w:top w:w="0" w:type="dxa"/>
          <w:left w:w="108" w:type="dxa"/>
          <w:bottom w:w="0" w:type="dxa"/>
          <w:right w:w="108" w:type="dxa"/>
        </w:tblCellMar>
      </w:tblPr>
      <w:tblGrid>
        <w:gridCol w:w="535"/>
        <w:gridCol w:w="1416"/>
        <w:gridCol w:w="5388"/>
        <w:gridCol w:w="2694"/>
        <w:gridCol w:w="850"/>
        <w:gridCol w:w="1844"/>
        <w:gridCol w:w="1634"/>
      </w:tblGrid>
      <w:tr>
        <w:tblPrEx>
          <w:tblCellMar>
            <w:top w:w="0" w:type="dxa"/>
            <w:left w:w="108" w:type="dxa"/>
            <w:bottom w:w="0" w:type="dxa"/>
            <w:right w:w="108" w:type="dxa"/>
          </w:tblCellMar>
        </w:tblPrEx>
        <w:trPr>
          <w:trHeight w:val="280" w:hRule="atLeast"/>
        </w:trPr>
        <w:tc>
          <w:tcPr>
            <w:tcW w:w="535"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949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标的名称</w:t>
            </w:r>
          </w:p>
        </w:tc>
        <w:tc>
          <w:tcPr>
            <w:tcW w:w="850"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数量及单位</w:t>
            </w:r>
          </w:p>
        </w:tc>
        <w:tc>
          <w:tcPr>
            <w:tcW w:w="1844"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单价（元）</w:t>
            </w:r>
          </w:p>
        </w:tc>
        <w:tc>
          <w:tcPr>
            <w:tcW w:w="1634" w:type="dxa"/>
            <w:vMerge w:val="restart"/>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备注</w:t>
            </w:r>
          </w:p>
        </w:tc>
      </w:tr>
      <w:tr>
        <w:tblPrEx>
          <w:tblCellMar>
            <w:top w:w="0" w:type="dxa"/>
            <w:left w:w="108" w:type="dxa"/>
            <w:bottom w:w="0" w:type="dxa"/>
            <w:right w:w="108" w:type="dxa"/>
          </w:tblCellMar>
        </w:tblPrEx>
        <w:trPr>
          <w:trHeight w:val="420" w:hRule="atLeast"/>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4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用户单位</w:t>
            </w:r>
          </w:p>
        </w:tc>
        <w:tc>
          <w:tcPr>
            <w:tcW w:w="5388"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信息系统名称</w:t>
            </w:r>
          </w:p>
        </w:tc>
        <w:tc>
          <w:tcPr>
            <w:tcW w:w="2694"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子系统名称</w:t>
            </w:r>
          </w:p>
        </w:tc>
        <w:tc>
          <w:tcPr>
            <w:tcW w:w="85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84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63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4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督察办</w:t>
            </w:r>
          </w:p>
        </w:tc>
        <w:tc>
          <w:tcPr>
            <w:tcW w:w="5388" w:type="dxa"/>
            <w:tcBorders>
              <w:top w:val="single" w:color="000000" w:sz="8" w:space="0"/>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生态环境保护督察整改信息管理平台</w:t>
            </w:r>
          </w:p>
        </w:tc>
        <w:tc>
          <w:tcPr>
            <w:tcW w:w="269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416"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科财处</w:t>
            </w:r>
          </w:p>
        </w:tc>
        <w:tc>
          <w:tcPr>
            <w:tcW w:w="5388"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广西帮企减污综合服务平台</w:t>
            </w:r>
          </w:p>
        </w:tc>
        <w:tc>
          <w:tcPr>
            <w:tcW w:w="269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41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水处</w:t>
            </w:r>
          </w:p>
        </w:tc>
        <w:tc>
          <w:tcPr>
            <w:tcW w:w="5388"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广西饮用水水源保护区管理系统</w:t>
            </w:r>
          </w:p>
        </w:tc>
        <w:tc>
          <w:tcPr>
            <w:tcW w:w="269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广西水生态环境大数据管理平台</w:t>
            </w:r>
          </w:p>
        </w:tc>
        <w:tc>
          <w:tcPr>
            <w:tcW w:w="269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广西入河（湖）排污口数据管理系统</w:t>
            </w:r>
          </w:p>
        </w:tc>
        <w:tc>
          <w:tcPr>
            <w:tcW w:w="269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41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大气处</w:t>
            </w:r>
          </w:p>
        </w:tc>
        <w:tc>
          <w:tcPr>
            <w:tcW w:w="5388" w:type="dxa"/>
            <w:vMerge w:val="restart"/>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广西机动车排放检验三级联网系统</w:t>
            </w:r>
          </w:p>
        </w:tc>
        <w:tc>
          <w:tcPr>
            <w:tcW w:w="2694" w:type="dxa"/>
            <w:tcBorders>
              <w:top w:val="single" w:color="000000" w:sz="8" w:space="0"/>
              <w:left w:val="nil"/>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广西机动车排放检验三级联网系统</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29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2694" w:type="dxa"/>
            <w:tcBorders>
              <w:top w:val="nil"/>
              <w:left w:val="nil"/>
              <w:bottom w:val="single" w:color="000000" w:sz="8" w:space="0"/>
              <w:right w:val="single" w:color="000000" w:sz="8" w:space="0"/>
            </w:tcBorders>
            <w:noWrap/>
            <w:vAlign w:val="center"/>
          </w:tcPr>
          <w:p>
            <w:pPr>
              <w:widowControl/>
              <w:rPr>
                <w:color w:val="000000"/>
                <w:kern w:val="0"/>
                <w:sz w:val="20"/>
                <w:szCs w:val="20"/>
              </w:rPr>
            </w:pPr>
            <w:r>
              <w:rPr>
                <w:color w:val="000000"/>
                <w:kern w:val="0"/>
                <w:sz w:val="20"/>
                <w:szCs w:val="20"/>
              </w:rPr>
              <w:t>I/M</w:t>
            </w:r>
            <w:r>
              <w:rPr>
                <w:rFonts w:hint="eastAsia" w:ascii="宋体" w:hAnsi="宋体"/>
                <w:color w:val="000000"/>
                <w:kern w:val="0"/>
                <w:sz w:val="20"/>
                <w:szCs w:val="20"/>
              </w:rPr>
              <w:t>业务综合数据管理平台</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restart"/>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广西机动车遥感监测平台</w:t>
            </w:r>
          </w:p>
        </w:tc>
        <w:tc>
          <w:tcPr>
            <w:tcW w:w="2694" w:type="dxa"/>
            <w:tcBorders>
              <w:top w:val="nil"/>
              <w:left w:val="nil"/>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广西机动车遥感黑烟车监测执法监管平台</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29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000000"/>
                <w:kern w:val="0"/>
                <w:sz w:val="20"/>
                <w:szCs w:val="20"/>
              </w:rPr>
            </w:pPr>
          </w:p>
        </w:tc>
        <w:tc>
          <w:tcPr>
            <w:tcW w:w="2694" w:type="dxa"/>
            <w:tcBorders>
              <w:top w:val="nil"/>
              <w:left w:val="nil"/>
              <w:bottom w:val="nil"/>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广西机动车遥感监测平台</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29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秸秆禁燃监控平台</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80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4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核与辐射处</w:t>
            </w: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广西核应急指挥平台（含广西核应急指挥平台</w:t>
            </w:r>
            <w:r>
              <w:rPr>
                <w:color w:val="000000"/>
                <w:kern w:val="0"/>
                <w:sz w:val="20"/>
                <w:szCs w:val="20"/>
              </w:rPr>
              <w:t>APP</w:t>
            </w:r>
            <w:r>
              <w:rPr>
                <w:rFonts w:hint="eastAsia" w:ascii="宋体" w:hAnsi="宋体" w:cs="宋体"/>
                <w:color w:val="000000"/>
                <w:kern w:val="0"/>
                <w:sz w:val="20"/>
                <w:szCs w:val="20"/>
              </w:rPr>
              <w:t>）</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4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41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环评处</w:t>
            </w: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w:t>
            </w:r>
            <w:r>
              <w:rPr>
                <w:color w:val="000000"/>
                <w:kern w:val="0"/>
                <w:sz w:val="20"/>
                <w:szCs w:val="20"/>
              </w:rPr>
              <w:t>“</w:t>
            </w:r>
            <w:r>
              <w:rPr>
                <w:rFonts w:hint="eastAsia" w:ascii="宋体" w:hAnsi="宋体" w:cs="宋体"/>
                <w:color w:val="000000"/>
                <w:kern w:val="0"/>
                <w:sz w:val="20"/>
                <w:szCs w:val="20"/>
              </w:rPr>
              <w:t>三线一单</w:t>
            </w:r>
            <w:r>
              <w:rPr>
                <w:color w:val="000000"/>
                <w:kern w:val="0"/>
                <w:sz w:val="20"/>
                <w:szCs w:val="20"/>
              </w:rPr>
              <w:t>”</w:t>
            </w:r>
            <w:r>
              <w:rPr>
                <w:rFonts w:hint="eastAsia" w:ascii="宋体" w:hAnsi="宋体" w:cs="宋体"/>
                <w:color w:val="000000"/>
                <w:kern w:val="0"/>
                <w:sz w:val="20"/>
                <w:szCs w:val="20"/>
              </w:rPr>
              <w:t>数据共享及应用平台</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29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广西环保审批信息系统</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141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执法局</w:t>
            </w: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广西固定污染源自动监控平台</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80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广西环境监管移动执法系统（含广西环境监察移动执法系统手持终端</w:t>
            </w:r>
            <w:r>
              <w:rPr>
                <w:color w:val="000000"/>
                <w:kern w:val="0"/>
                <w:sz w:val="20"/>
                <w:szCs w:val="20"/>
              </w:rPr>
              <w:t>APP</w:t>
            </w:r>
            <w:r>
              <w:rPr>
                <w:rFonts w:hint="eastAsia" w:ascii="宋体" w:hAnsi="宋体" w:cs="宋体"/>
                <w:color w:val="000000"/>
                <w:kern w:val="0"/>
                <w:sz w:val="20"/>
                <w:szCs w:val="20"/>
              </w:rPr>
              <w:t>）</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广西环境监管移动执法系统信访管理模块</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4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广西生态环保</w:t>
            </w:r>
            <w:r>
              <w:rPr>
                <w:color w:val="000000"/>
                <w:kern w:val="0"/>
                <w:sz w:val="20"/>
                <w:szCs w:val="20"/>
              </w:rPr>
              <w:t>“</w:t>
            </w:r>
            <w:r>
              <w:rPr>
                <w:rFonts w:hint="eastAsia" w:ascii="宋体" w:hAnsi="宋体" w:cs="宋体"/>
                <w:color w:val="000000"/>
                <w:kern w:val="0"/>
                <w:sz w:val="20"/>
                <w:szCs w:val="20"/>
              </w:rPr>
              <w:t>一码通</w:t>
            </w:r>
            <w:r>
              <w:rPr>
                <w:color w:val="000000"/>
                <w:kern w:val="0"/>
                <w:sz w:val="20"/>
                <w:szCs w:val="20"/>
              </w:rPr>
              <w:t>”</w:t>
            </w:r>
            <w:r>
              <w:rPr>
                <w:rFonts w:hint="eastAsia" w:ascii="宋体" w:hAnsi="宋体" w:cs="宋体"/>
                <w:color w:val="000000"/>
                <w:kern w:val="0"/>
                <w:sz w:val="20"/>
                <w:szCs w:val="20"/>
              </w:rPr>
              <w:t>程序</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广西环境保护税涉税信息共享平台</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29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19</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nil"/>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广西执法视频监控平台</w:t>
            </w:r>
          </w:p>
        </w:tc>
        <w:tc>
          <w:tcPr>
            <w:tcW w:w="2694" w:type="dxa"/>
            <w:tcBorders>
              <w:top w:val="nil"/>
              <w:left w:val="single" w:color="auto" w:sz="4" w:space="0"/>
              <w:bottom w:val="single" w:color="auto" w:sz="4" w:space="0"/>
              <w:right w:val="single" w:color="auto" w:sz="4" w:space="0"/>
            </w:tcBorders>
            <w:vAlign w:val="center"/>
          </w:tcPr>
          <w:p>
            <w:pPr>
              <w:widowControl/>
              <w:jc w:val="left"/>
              <w:rPr>
                <w:color w:val="000000"/>
                <w:kern w:val="0"/>
                <w:sz w:val="20"/>
                <w:szCs w:val="20"/>
              </w:rPr>
            </w:pPr>
            <w:r>
              <w:rPr>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60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c>
          <w:tcPr>
            <w:tcW w:w="141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信息中心</w:t>
            </w:r>
          </w:p>
        </w:tc>
        <w:tc>
          <w:tcPr>
            <w:tcW w:w="5388"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广西环境监管与预警信息系统</w:t>
            </w: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政务信息报送系统</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21</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广西自然生态综合管理系统（含生态示范区创建模块）</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22</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广西生态环境厅公众号有奖问答系统、线上培训系统</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23</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企业污染源监测数据管理系统</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24</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广西环境监测服务社会化机构名录管理系统</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4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25</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自治区环境信息中心综合行政办公系统</w:t>
            </w:r>
            <w:r>
              <w:rPr>
                <w:color w:val="000000"/>
                <w:kern w:val="0"/>
                <w:sz w:val="20"/>
                <w:szCs w:val="20"/>
              </w:rPr>
              <w:t>(</w:t>
            </w:r>
            <w:r>
              <w:rPr>
                <w:rFonts w:hint="eastAsia" w:ascii="宋体" w:hAnsi="宋体" w:cs="宋体"/>
                <w:color w:val="000000"/>
                <w:kern w:val="0"/>
                <w:sz w:val="20"/>
                <w:szCs w:val="20"/>
              </w:rPr>
              <w:t>含移动办公</w:t>
            </w:r>
            <w:r>
              <w:rPr>
                <w:color w:val="000000"/>
                <w:kern w:val="0"/>
                <w:sz w:val="20"/>
                <w:szCs w:val="20"/>
              </w:rPr>
              <w:t>)</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81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26</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自治区纪委监委驻生态环境</w:t>
            </w:r>
            <w:r>
              <w:rPr>
                <w:rFonts w:hint="eastAsia" w:ascii="宋体" w:hAnsi="宋体" w:cs="宋体"/>
                <w:color w:val="000000"/>
                <w:kern w:val="0"/>
                <w:sz w:val="20"/>
                <w:szCs w:val="20"/>
                <w:lang w:eastAsia="zh-CN"/>
              </w:rPr>
              <w:t>厅纪</w:t>
            </w:r>
            <w:r>
              <w:rPr>
                <w:rFonts w:hint="eastAsia" w:ascii="宋体" w:hAnsi="宋体" w:cs="宋体"/>
                <w:color w:val="000000"/>
                <w:kern w:val="0"/>
                <w:sz w:val="20"/>
                <w:szCs w:val="20"/>
              </w:rPr>
              <w:t>检监察组行政办公系统</w:t>
            </w:r>
            <w:r>
              <w:rPr>
                <w:color w:val="000000"/>
                <w:kern w:val="0"/>
                <w:sz w:val="20"/>
                <w:szCs w:val="20"/>
              </w:rPr>
              <w:t>(</w:t>
            </w:r>
            <w:r>
              <w:rPr>
                <w:rFonts w:hint="eastAsia" w:ascii="宋体" w:hAnsi="宋体" w:cs="宋体"/>
                <w:color w:val="000000"/>
                <w:kern w:val="0"/>
                <w:sz w:val="20"/>
                <w:szCs w:val="20"/>
              </w:rPr>
              <w:t>含移动办公</w:t>
            </w:r>
            <w:r>
              <w:rPr>
                <w:color w:val="000000"/>
                <w:kern w:val="0"/>
                <w:sz w:val="20"/>
                <w:szCs w:val="20"/>
              </w:rPr>
              <w:t>)</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29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27</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信用信息双公示系统</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4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28</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广西土壤环境</w:t>
            </w:r>
            <w:r>
              <w:rPr>
                <w:color w:val="000000"/>
                <w:kern w:val="0"/>
                <w:sz w:val="20"/>
                <w:szCs w:val="20"/>
              </w:rPr>
              <w:t>“</w:t>
            </w:r>
            <w:r>
              <w:rPr>
                <w:rFonts w:hint="eastAsia" w:ascii="宋体" w:hAnsi="宋体" w:cs="宋体"/>
                <w:color w:val="000000"/>
                <w:kern w:val="0"/>
                <w:sz w:val="20"/>
                <w:szCs w:val="20"/>
              </w:rPr>
              <w:t>互联网</w:t>
            </w:r>
            <w:r>
              <w:rPr>
                <w:color w:val="000000"/>
                <w:kern w:val="0"/>
                <w:sz w:val="20"/>
                <w:szCs w:val="20"/>
              </w:rPr>
              <w:t>+</w:t>
            </w:r>
            <w:r>
              <w:rPr>
                <w:rFonts w:hint="eastAsia" w:ascii="宋体" w:hAnsi="宋体" w:cs="宋体"/>
                <w:color w:val="000000"/>
                <w:kern w:val="0"/>
                <w:sz w:val="20"/>
                <w:szCs w:val="20"/>
              </w:rPr>
              <w:t>监管</w:t>
            </w:r>
            <w:r>
              <w:rPr>
                <w:color w:val="000000"/>
                <w:kern w:val="0"/>
                <w:sz w:val="20"/>
                <w:szCs w:val="20"/>
              </w:rPr>
              <w:t>”</w:t>
            </w:r>
            <w:r>
              <w:rPr>
                <w:rFonts w:hint="eastAsia" w:ascii="宋体" w:hAnsi="宋体" w:cs="宋体"/>
                <w:color w:val="000000"/>
                <w:kern w:val="0"/>
                <w:sz w:val="20"/>
                <w:szCs w:val="20"/>
              </w:rPr>
              <w:t>系统</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29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29</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2694"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广西固定污染源管理系统</w:t>
            </w:r>
          </w:p>
        </w:tc>
        <w:tc>
          <w:tcPr>
            <w:tcW w:w="850" w:type="dxa"/>
            <w:tcBorders>
              <w:top w:val="nil"/>
              <w:left w:val="single" w:color="auto" w:sz="4" w:space="0"/>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single" w:color="000000" w:sz="8" w:space="0"/>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生态环境行业电子证照系统</w:t>
            </w:r>
          </w:p>
        </w:tc>
        <w:tc>
          <w:tcPr>
            <w:tcW w:w="26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31</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信息中心项目管理信息模块</w:t>
            </w:r>
          </w:p>
        </w:tc>
        <w:tc>
          <w:tcPr>
            <w:tcW w:w="269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32</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党政机关综合办公系统驻场运维</w:t>
            </w:r>
          </w:p>
        </w:tc>
        <w:tc>
          <w:tcPr>
            <w:tcW w:w="269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530" w:hRule="atLeast"/>
        </w:trPr>
        <w:tc>
          <w:tcPr>
            <w:tcW w:w="535"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33</w:t>
            </w:r>
          </w:p>
        </w:tc>
        <w:tc>
          <w:tcPr>
            <w:tcW w:w="14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5388" w:type="dxa"/>
            <w:tcBorders>
              <w:top w:val="nil"/>
              <w:left w:val="single" w:color="000000" w:sz="8" w:space="0"/>
              <w:bottom w:val="single" w:color="000000" w:sz="8" w:space="0"/>
              <w:right w:val="single" w:color="000000" w:sz="8" w:space="0"/>
            </w:tcBorders>
            <w:noWrap/>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自治区生态环境厅信息系统监控平台</w:t>
            </w:r>
          </w:p>
        </w:tc>
        <w:tc>
          <w:tcPr>
            <w:tcW w:w="269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0" w:type="dxa"/>
            <w:tcBorders>
              <w:top w:val="nil"/>
              <w:left w:val="nil"/>
              <w:bottom w:val="single" w:color="auto" w:sz="4" w:space="0"/>
              <w:right w:val="single" w:color="auto" w:sz="4" w:space="0"/>
            </w:tcBorders>
            <w:vAlign w:val="center"/>
          </w:tcPr>
          <w:p>
            <w:pPr>
              <w:jc w:val="center"/>
            </w:pPr>
            <w:r>
              <w:rPr>
                <w:rFonts w:hint="eastAsia" w:ascii="宋体" w:hAnsi="宋体" w:cs="宋体"/>
                <w:color w:val="000000"/>
                <w:kern w:val="0"/>
                <w:sz w:val="20"/>
                <w:szCs w:val="20"/>
              </w:rPr>
              <w:t>1套</w:t>
            </w:r>
          </w:p>
        </w:tc>
        <w:tc>
          <w:tcPr>
            <w:tcW w:w="184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c>
          <w:tcPr>
            <w:tcW w:w="1634"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tc>
      </w:tr>
      <w:tr>
        <w:tblPrEx>
          <w:tblCellMar>
            <w:top w:w="0" w:type="dxa"/>
            <w:left w:w="108" w:type="dxa"/>
            <w:bottom w:w="0" w:type="dxa"/>
            <w:right w:w="108" w:type="dxa"/>
          </w:tblCellMar>
        </w:tblPrEx>
        <w:trPr>
          <w:trHeight w:val="600" w:hRule="atLeast"/>
        </w:trPr>
        <w:tc>
          <w:tcPr>
            <w:tcW w:w="14361" w:type="dxa"/>
            <w:gridSpan w:val="7"/>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color w:val="000000"/>
                <w:kern w:val="0"/>
                <w:sz w:val="20"/>
                <w:szCs w:val="20"/>
              </w:rPr>
            </w:pPr>
            <w:r>
              <w:rPr>
                <w:rFonts w:hint="eastAsia" w:ascii="宋体" w:hAnsi="宋体" w:cs="宋体"/>
                <w:b/>
                <w:color w:val="000000"/>
                <w:kern w:val="0"/>
                <w:sz w:val="20"/>
                <w:szCs w:val="20"/>
              </w:rPr>
              <w:t>合计金额大写：人民币</w:t>
            </w:r>
            <w:r>
              <w:rPr>
                <w:rFonts w:hint="eastAsia" w:ascii="宋体" w:hAnsi="宋体" w:cs="宋体"/>
                <w:b/>
                <w:color w:val="000000"/>
                <w:kern w:val="0"/>
                <w:sz w:val="20"/>
                <w:szCs w:val="20"/>
                <w:u w:val="single"/>
              </w:rPr>
              <w:t xml:space="preserve">              </w:t>
            </w:r>
            <w:r>
              <w:rPr>
                <w:rFonts w:hint="eastAsia" w:ascii="宋体" w:hAnsi="宋体" w:cs="宋体"/>
                <w:b/>
                <w:color w:val="000000"/>
                <w:kern w:val="0"/>
                <w:sz w:val="20"/>
                <w:szCs w:val="20"/>
              </w:rPr>
              <w:t>（￥</w:t>
            </w:r>
            <w:r>
              <w:rPr>
                <w:rFonts w:hint="eastAsia" w:ascii="宋体" w:hAnsi="宋体" w:cs="宋体"/>
                <w:b/>
                <w:color w:val="000000"/>
                <w:kern w:val="0"/>
                <w:sz w:val="20"/>
                <w:szCs w:val="20"/>
                <w:u w:val="single"/>
              </w:rPr>
              <w:t xml:space="preserve">             </w:t>
            </w:r>
            <w:r>
              <w:rPr>
                <w:rFonts w:hint="eastAsia" w:ascii="宋体" w:hAnsi="宋体" w:cs="宋体"/>
                <w:b/>
                <w:color w:val="000000"/>
                <w:kern w:val="0"/>
                <w:sz w:val="20"/>
                <w:szCs w:val="20"/>
              </w:rPr>
              <w:t>）</w:t>
            </w:r>
          </w:p>
        </w:tc>
      </w:tr>
    </w:tbl>
    <w:p>
      <w:pPr>
        <w:snapToGrid w:val="0"/>
        <w:spacing w:before="50" w:after="50" w:line="288" w:lineRule="auto"/>
        <w:jc w:val="left"/>
        <w:rPr>
          <w:rFonts w:ascii="宋体" w:hAnsi="宋体"/>
          <w:sz w:val="24"/>
        </w:rPr>
      </w:pPr>
      <w:r>
        <w:rPr>
          <w:rFonts w:hint="eastAsia" w:ascii="宋体" w:hAnsi="宋体"/>
          <w:sz w:val="24"/>
        </w:rPr>
        <w:t xml:space="preserve">注: </w:t>
      </w:r>
    </w:p>
    <w:p>
      <w:pPr>
        <w:snapToGrid w:val="0"/>
        <w:spacing w:before="50" w:after="50" w:line="288" w:lineRule="auto"/>
        <w:ind w:firstLine="480" w:firstLineChars="200"/>
        <w:jc w:val="left"/>
        <w:rPr>
          <w:rFonts w:ascii="宋体" w:hAnsi="宋体"/>
          <w:sz w:val="24"/>
        </w:rPr>
      </w:pPr>
      <w:r>
        <w:rPr>
          <w:rFonts w:hint="eastAsia" w:ascii="宋体" w:hAnsi="宋体"/>
          <w:sz w:val="24"/>
        </w:rPr>
        <w:t>1.投标人的开标一览表必须加盖投标人电子签章并由</w:t>
      </w:r>
      <w:r>
        <w:rPr>
          <w:rFonts w:ascii="宋体" w:hAnsi="宋体"/>
          <w:sz w:val="24"/>
        </w:rPr>
        <w:t>法定代表人或者委托代理人</w:t>
      </w:r>
      <w:r>
        <w:rPr>
          <w:rFonts w:hint="eastAsia" w:ascii="宋体" w:hAnsi="宋体"/>
          <w:sz w:val="24"/>
        </w:rPr>
        <w:t>签字</w:t>
      </w:r>
      <w:r>
        <w:rPr>
          <w:rFonts w:hint="eastAsia" w:ascii="宋体" w:hAnsi="宋体" w:cs="宋体"/>
          <w:sz w:val="24"/>
        </w:rPr>
        <w:t>或电子签名</w:t>
      </w:r>
      <w:r>
        <w:rPr>
          <w:rFonts w:hint="eastAsia" w:ascii="宋体" w:hAnsi="宋体"/>
          <w:sz w:val="24"/>
        </w:rPr>
        <w:t>，</w:t>
      </w:r>
      <w:r>
        <w:rPr>
          <w:rFonts w:hint="eastAsia" w:ascii="宋体" w:hAnsi="宋体"/>
          <w:b/>
          <w:sz w:val="24"/>
        </w:rPr>
        <w:t>否则其投标按无效标处理</w:t>
      </w:r>
      <w:r>
        <w:rPr>
          <w:rFonts w:hint="eastAsia" w:ascii="宋体" w:hAnsi="宋体"/>
          <w:sz w:val="24"/>
        </w:rPr>
        <w:t>。</w:t>
      </w:r>
    </w:p>
    <w:p>
      <w:pPr>
        <w:snapToGrid w:val="0"/>
        <w:spacing w:before="50" w:after="50" w:line="288" w:lineRule="auto"/>
        <w:ind w:firstLine="480" w:firstLineChars="200"/>
        <w:jc w:val="left"/>
        <w:rPr>
          <w:rFonts w:ascii="宋体" w:hAnsi="宋体"/>
          <w:b/>
          <w:sz w:val="24"/>
        </w:rPr>
      </w:pPr>
      <w:r>
        <w:rPr>
          <w:rFonts w:hint="eastAsia" w:ascii="宋体" w:hAnsi="宋体"/>
          <w:bCs/>
          <w:sz w:val="24"/>
        </w:rPr>
        <w:t>2.</w:t>
      </w:r>
      <w:r>
        <w:rPr>
          <w:rFonts w:hint="eastAsia" w:ascii="宋体" w:hAnsi="宋体"/>
          <w:sz w:val="24"/>
        </w:rPr>
        <w:t>报价一经涂改，应在涂改处加盖投标人电子签章或者由法定代表人或者委托代理人签字</w:t>
      </w:r>
      <w:r>
        <w:rPr>
          <w:rFonts w:hint="eastAsia" w:ascii="宋体" w:hAnsi="宋体" w:cs="宋体"/>
          <w:sz w:val="24"/>
        </w:rPr>
        <w:t>或盖章或电子签名</w:t>
      </w:r>
      <w:r>
        <w:rPr>
          <w:rFonts w:hint="eastAsia" w:ascii="宋体" w:hAnsi="宋体"/>
          <w:b/>
          <w:sz w:val="24"/>
        </w:rPr>
        <w:t>，否则其投标按无效标处理。</w:t>
      </w:r>
    </w:p>
    <w:p>
      <w:pPr>
        <w:snapToGrid w:val="0"/>
        <w:spacing w:before="50" w:after="50" w:line="288" w:lineRule="auto"/>
        <w:ind w:firstLine="480" w:firstLineChars="200"/>
        <w:jc w:val="left"/>
        <w:rPr>
          <w:rFonts w:ascii="宋体" w:hAnsi="宋体"/>
          <w:sz w:val="24"/>
        </w:rPr>
      </w:pPr>
      <w:r>
        <w:rPr>
          <w:rFonts w:hint="eastAsia" w:ascii="宋体" w:hAnsi="宋体"/>
          <w:sz w:val="24"/>
        </w:rPr>
        <w:t>3.招标文件中列明采购专用耗材的，应按招标文件规定的耗材量或者按耗材的常规试用量提供报价。</w:t>
      </w:r>
    </w:p>
    <w:p>
      <w:pPr>
        <w:snapToGrid w:val="0"/>
        <w:spacing w:before="50" w:after="50" w:line="288" w:lineRule="auto"/>
        <w:ind w:firstLine="480" w:firstLineChars="200"/>
        <w:jc w:val="left"/>
        <w:rPr>
          <w:rFonts w:ascii="宋体" w:hAnsi="宋体"/>
          <w:sz w:val="24"/>
        </w:rPr>
      </w:pPr>
      <w:r>
        <w:rPr>
          <w:rFonts w:hint="eastAsia" w:ascii="宋体" w:hAnsi="宋体"/>
          <w:sz w:val="24"/>
        </w:rPr>
        <w:t>4.如为联合体投标，“投标人名称”处必须列明联合体各方名称，并标注联合体牵头人名称，</w:t>
      </w:r>
      <w:r>
        <w:rPr>
          <w:rFonts w:hint="eastAsia" w:ascii="宋体" w:hAnsi="宋体"/>
          <w:b/>
          <w:sz w:val="24"/>
        </w:rPr>
        <w:t>否则其投标按无效标处理。</w:t>
      </w:r>
    </w:p>
    <w:p>
      <w:pPr>
        <w:snapToGrid w:val="0"/>
        <w:spacing w:before="50" w:after="50" w:line="288" w:lineRule="auto"/>
        <w:ind w:firstLine="480" w:firstLineChars="200"/>
        <w:jc w:val="left"/>
        <w:rPr>
          <w:rFonts w:ascii="宋体" w:hAnsi="宋体"/>
          <w:sz w:val="24"/>
        </w:rPr>
      </w:pPr>
      <w:r>
        <w:rPr>
          <w:rFonts w:hint="eastAsia" w:ascii="宋体" w:hAnsi="宋体"/>
          <w:sz w:val="24"/>
        </w:rPr>
        <w:t>5.如为联合体投标，盖章处须加盖联合体牵头人电子签章，</w:t>
      </w:r>
      <w:r>
        <w:rPr>
          <w:rFonts w:hint="eastAsia" w:ascii="宋体" w:hAnsi="宋体"/>
          <w:b/>
          <w:sz w:val="24"/>
        </w:rPr>
        <w:t>否则其投标按无效标处理。</w:t>
      </w:r>
    </w:p>
    <w:p>
      <w:pPr>
        <w:snapToGrid w:val="0"/>
        <w:spacing w:before="50" w:after="50" w:line="288" w:lineRule="auto"/>
        <w:ind w:firstLine="480" w:firstLineChars="200"/>
        <w:rPr>
          <w:rFonts w:ascii="宋体" w:hAnsi="宋体"/>
          <w:sz w:val="24"/>
        </w:rPr>
      </w:pPr>
      <w:r>
        <w:rPr>
          <w:rFonts w:hint="eastAsia" w:ascii="宋体" w:hAnsi="宋体"/>
          <w:sz w:val="24"/>
        </w:rPr>
        <w:t>6.如有多分标，按分标分别提供开标一览表，</w:t>
      </w:r>
      <w:r>
        <w:rPr>
          <w:rFonts w:hint="eastAsia" w:ascii="宋体" w:hAnsi="宋体"/>
          <w:b/>
          <w:sz w:val="24"/>
        </w:rPr>
        <w:t>否则投标无效。</w:t>
      </w:r>
    </w:p>
    <w:p>
      <w:pPr>
        <w:snapToGrid w:val="0"/>
        <w:spacing w:before="50" w:after="50" w:line="288" w:lineRule="auto"/>
        <w:ind w:left="-2" w:leftChars="-1" w:right="-817" w:rightChars="-389" w:firstLine="7680" w:firstLineChars="3200"/>
        <w:rPr>
          <w:rFonts w:ascii="宋体" w:hAnsi="宋体"/>
          <w:sz w:val="24"/>
        </w:rPr>
      </w:pPr>
      <w:r>
        <w:rPr>
          <w:rFonts w:hint="eastAsia" w:ascii="宋体" w:hAnsi="宋体"/>
          <w:sz w:val="24"/>
        </w:rPr>
        <w:t>法定代表人或者委托代理人（签字</w:t>
      </w:r>
      <w:r>
        <w:rPr>
          <w:rFonts w:hint="eastAsia" w:ascii="宋体" w:hAnsi="宋体" w:cs="宋体"/>
          <w:sz w:val="24"/>
        </w:rPr>
        <w:t>或电子签名</w:t>
      </w:r>
      <w:r>
        <w:rPr>
          <w:rFonts w:hint="eastAsia" w:ascii="宋体" w:hAnsi="宋体"/>
          <w:sz w:val="24"/>
        </w:rPr>
        <w:t xml:space="preserve">）：     </w:t>
      </w:r>
    </w:p>
    <w:p>
      <w:pPr>
        <w:snapToGrid w:val="0"/>
        <w:spacing w:before="50" w:after="50" w:line="288" w:lineRule="auto"/>
        <w:ind w:left="-31" w:leftChars="-15" w:right="-817" w:rightChars="-389" w:firstLine="7920" w:firstLineChars="3300"/>
        <w:rPr>
          <w:rFonts w:ascii="宋体" w:hAnsi="宋体"/>
          <w:sz w:val="24"/>
        </w:rPr>
      </w:pPr>
      <w:r>
        <w:rPr>
          <w:rFonts w:hint="eastAsia" w:ascii="宋体" w:hAnsi="宋体"/>
          <w:sz w:val="24"/>
        </w:rPr>
        <w:t xml:space="preserve">投标人名称（电子签章）：                                 </w:t>
      </w:r>
    </w:p>
    <w:p>
      <w:pPr>
        <w:snapToGrid w:val="0"/>
        <w:spacing w:before="50" w:after="50" w:line="288" w:lineRule="auto"/>
        <w:ind w:left="-31" w:leftChars="-15" w:right="-817" w:rightChars="-389" w:firstLine="7920" w:firstLineChars="3300"/>
        <w:rPr>
          <w:rFonts w:ascii="宋体" w:hAnsi="宋体"/>
          <w:sz w:val="24"/>
        </w:rPr>
        <w:sectPr>
          <w:pgSz w:w="16838" w:h="11906" w:orient="landscape"/>
          <w:pgMar w:top="1503" w:right="1559" w:bottom="1678" w:left="1134" w:header="851" w:footer="992" w:gutter="0"/>
          <w:cols w:space="720" w:num="1"/>
          <w:titlePg/>
          <w:docGrid w:linePitch="312" w:charSpace="0"/>
        </w:sectPr>
      </w:pPr>
      <w:r>
        <w:rPr>
          <w:rFonts w:hint="eastAsia" w:ascii="宋体" w:hAnsi="宋体"/>
          <w:sz w:val="24"/>
        </w:rPr>
        <w:t>日期：    年   月   日</w:t>
      </w:r>
    </w:p>
    <w:p>
      <w:pPr>
        <w:snapToGrid w:val="0"/>
        <w:spacing w:before="120" w:beforeLines="50" w:after="50" w:line="360" w:lineRule="auto"/>
        <w:outlineLvl w:val="1"/>
        <w:rPr>
          <w:rFonts w:ascii="宋体" w:hAnsi="宋体"/>
          <w:b/>
          <w:bCs/>
          <w:sz w:val="28"/>
          <w:szCs w:val="28"/>
        </w:rPr>
      </w:pPr>
      <w:bookmarkStart w:id="569" w:name="_Toc19686837"/>
      <w:r>
        <w:rPr>
          <w:rFonts w:hint="eastAsia" w:ascii="宋体" w:hAnsi="宋体"/>
          <w:b/>
          <w:bCs/>
          <w:sz w:val="28"/>
          <w:szCs w:val="28"/>
        </w:rPr>
        <w:t>三、资格证明文件格式</w:t>
      </w:r>
      <w:bookmarkEnd w:id="565"/>
      <w:bookmarkEnd w:id="566"/>
      <w:bookmarkEnd w:id="569"/>
    </w:p>
    <w:p>
      <w:pPr>
        <w:numPr>
          <w:ilvl w:val="2"/>
          <w:numId w:val="12"/>
        </w:numPr>
        <w:snapToGrid w:val="0"/>
        <w:spacing w:before="120" w:beforeLines="50" w:after="50" w:line="360" w:lineRule="auto"/>
        <w:ind w:left="0" w:firstLine="0"/>
        <w:jc w:val="left"/>
        <w:rPr>
          <w:rFonts w:ascii="宋体" w:hAnsi="宋体"/>
          <w:b/>
          <w:sz w:val="24"/>
        </w:rPr>
      </w:pPr>
      <w:r>
        <w:rPr>
          <w:rFonts w:hint="eastAsia" w:ascii="宋体" w:hAnsi="宋体"/>
          <w:b/>
          <w:sz w:val="24"/>
        </w:rPr>
        <w:t xml:space="preserve">资格证明文件封面格式： </w:t>
      </w:r>
    </w:p>
    <w:p>
      <w:pPr>
        <w:snapToGrid w:val="0"/>
        <w:spacing w:before="120" w:beforeLines="50" w:after="50"/>
        <w:rPr>
          <w:rFonts w:ascii="宋体" w:hAnsi="宋体"/>
          <w:bCs/>
          <w:sz w:val="32"/>
          <w:szCs w:val="20"/>
        </w:rPr>
      </w:pPr>
      <w:r>
        <w:rPr>
          <w:rFonts w:hint="eastAsia" w:ascii="宋体" w:hAnsi="宋体"/>
          <w:sz w:val="24"/>
        </w:rPr>
        <w:t xml:space="preserve">                                                    </w:t>
      </w:r>
      <w:r>
        <w:rPr>
          <w:rFonts w:ascii="宋体" w:hAnsi="宋体" w:cs="宋体"/>
          <w:spacing w:val="-2"/>
          <w:szCs w:val="21"/>
        </w:rPr>
        <w:t>全流程电子文件</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
          <w:sz w:val="24"/>
          <w:szCs w:val="20"/>
        </w:rPr>
      </w:pPr>
      <w:r>
        <w:rPr>
          <w:rFonts w:hint="eastAsia" w:ascii="宋体" w:hAnsi="宋体"/>
          <w:b/>
          <w:sz w:val="32"/>
          <w:szCs w:val="32"/>
        </w:rPr>
        <w:t>资格证明文件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项目名称：</w:t>
      </w:r>
    </w:p>
    <w:p>
      <w:pPr>
        <w:snapToGrid w:val="0"/>
        <w:spacing w:before="120" w:beforeLines="50" w:after="50"/>
        <w:ind w:firstLine="540" w:firstLineChars="225"/>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项目编号：</w:t>
      </w:r>
    </w:p>
    <w:p>
      <w:pPr>
        <w:snapToGrid w:val="0"/>
        <w:spacing w:before="120" w:beforeLines="50" w:after="50"/>
        <w:ind w:firstLine="540" w:firstLineChars="225"/>
        <w:rPr>
          <w:rFonts w:ascii="宋体" w:hAnsi="宋体"/>
          <w:bCs/>
          <w:sz w:val="24"/>
          <w:szCs w:val="20"/>
        </w:rPr>
      </w:pPr>
      <w:r>
        <w:rPr>
          <w:rFonts w:hint="eastAsia" w:ascii="宋体" w:hAnsi="宋体"/>
          <w:bCs/>
          <w:sz w:val="24"/>
        </w:rPr>
        <w:t xml:space="preserve"> </w:t>
      </w:r>
    </w:p>
    <w:p>
      <w:pPr>
        <w:snapToGrid w:val="0"/>
        <w:spacing w:before="120" w:beforeLines="50" w:after="50"/>
        <w:ind w:firstLine="540" w:firstLineChars="225"/>
        <w:rPr>
          <w:rFonts w:ascii="宋体" w:hAnsi="宋体"/>
          <w:bCs/>
          <w:sz w:val="24"/>
        </w:rPr>
      </w:pPr>
      <w:r>
        <w:rPr>
          <w:rFonts w:hint="eastAsia" w:ascii="宋体" w:hAnsi="宋体"/>
          <w:bCs/>
          <w:sz w:val="24"/>
        </w:rPr>
        <w:t>所投分标：</w:t>
      </w:r>
    </w:p>
    <w:p>
      <w:pPr>
        <w:pStyle w:val="7"/>
        <w:snapToGrid w:val="0"/>
        <w:spacing w:before="50" w:after="50"/>
        <w:ind w:firstLine="540" w:firstLineChars="225"/>
        <w:rPr>
          <w:rFonts w:ascii="宋体" w:hAnsi="宋体"/>
          <w:bCs/>
          <w:sz w:val="24"/>
          <w:szCs w:val="24"/>
        </w:rPr>
      </w:pPr>
    </w:p>
    <w:p>
      <w:pPr>
        <w:pStyle w:val="7"/>
        <w:snapToGrid w:val="0"/>
        <w:spacing w:before="50" w:after="50"/>
        <w:ind w:firstLine="540" w:firstLineChars="225"/>
        <w:rPr>
          <w:rFonts w:ascii="宋体" w:hAnsi="宋体"/>
          <w:bCs/>
          <w:sz w:val="24"/>
          <w:szCs w:val="24"/>
        </w:rPr>
      </w:pPr>
      <w:r>
        <w:rPr>
          <w:rFonts w:hint="eastAsia" w:ascii="宋体" w:hAnsi="宋体"/>
          <w:bCs/>
          <w:sz w:val="24"/>
          <w:szCs w:val="24"/>
        </w:rPr>
        <w:t>投标人名称：</w:t>
      </w:r>
    </w:p>
    <w:p>
      <w:pPr>
        <w:pStyle w:val="7"/>
        <w:snapToGrid w:val="0"/>
        <w:spacing w:before="50" w:after="50"/>
        <w:ind w:firstLine="540" w:firstLineChars="225"/>
        <w:rPr>
          <w:rFonts w:ascii="宋体" w:hAnsi="宋体"/>
          <w:bCs/>
          <w:sz w:val="24"/>
          <w:szCs w:val="24"/>
        </w:rPr>
      </w:pPr>
    </w:p>
    <w:p>
      <w:pPr>
        <w:pStyle w:val="7"/>
        <w:snapToGrid w:val="0"/>
        <w:spacing w:before="50" w:after="50"/>
        <w:ind w:firstLine="960" w:firstLineChars="400"/>
        <w:rPr>
          <w:rFonts w:ascii="宋体" w:hAnsi="宋体"/>
          <w:bCs/>
          <w:sz w:val="24"/>
          <w:szCs w:val="24"/>
        </w:rPr>
      </w:pPr>
    </w:p>
    <w:p>
      <w:pPr>
        <w:snapToGrid w:val="0"/>
        <w:spacing w:before="120" w:beforeLines="50" w:after="50"/>
        <w:ind w:firstLine="645"/>
        <w:jc w:val="center"/>
        <w:rPr>
          <w:rFonts w:ascii="宋体" w:hAnsi="宋体"/>
          <w:sz w:val="24"/>
        </w:rPr>
      </w:pPr>
      <w:r>
        <w:rPr>
          <w:rFonts w:hint="eastAsia" w:ascii="宋体" w:hAnsi="宋体"/>
          <w:sz w:val="24"/>
        </w:rPr>
        <w:t>年  月  日</w:t>
      </w:r>
    </w:p>
    <w:p>
      <w:pPr>
        <w:snapToGrid w:val="0"/>
        <w:spacing w:before="120" w:beforeLines="50" w:after="50"/>
        <w:rPr>
          <w:rFonts w:ascii="宋体" w:hAnsi="宋体"/>
          <w:sz w:val="24"/>
          <w:szCs w:val="20"/>
        </w:rPr>
      </w:pPr>
      <w:r>
        <w:rPr>
          <w:rFonts w:ascii="宋体" w:hAnsi="宋体"/>
          <w:sz w:val="24"/>
          <w:szCs w:val="20"/>
        </w:rPr>
        <w:t xml:space="preserve"> </w:t>
      </w:r>
    </w:p>
    <w:p>
      <w:pPr>
        <w:snapToGrid w:val="0"/>
        <w:spacing w:before="120" w:beforeLines="50" w:after="50"/>
        <w:rPr>
          <w:rFonts w:ascii="宋体" w:hAnsi="宋体"/>
          <w:sz w:val="24"/>
          <w:szCs w:val="20"/>
        </w:rPr>
      </w:pPr>
    </w:p>
    <w:p>
      <w:pPr>
        <w:numPr>
          <w:ilvl w:val="2"/>
          <w:numId w:val="12"/>
        </w:numPr>
        <w:snapToGrid w:val="0"/>
        <w:spacing w:before="120" w:beforeLines="50" w:after="50" w:line="360" w:lineRule="auto"/>
        <w:ind w:left="0" w:firstLine="0"/>
        <w:jc w:val="left"/>
        <w:rPr>
          <w:rFonts w:ascii="宋体" w:hAnsi="宋体"/>
          <w:sz w:val="24"/>
          <w:szCs w:val="20"/>
        </w:rPr>
      </w:pPr>
      <w:r>
        <w:rPr>
          <w:rFonts w:ascii="宋体" w:hAnsi="宋体"/>
          <w:b/>
          <w:bCs/>
          <w:sz w:val="24"/>
        </w:rPr>
        <w:br w:type="page"/>
      </w:r>
      <w:r>
        <w:rPr>
          <w:rFonts w:hint="eastAsia" w:ascii="宋体" w:hAnsi="宋体"/>
          <w:b/>
          <w:bCs/>
          <w:sz w:val="24"/>
        </w:rPr>
        <w:t>资格证明文件目录</w:t>
      </w:r>
    </w:p>
    <w:p>
      <w:pPr>
        <w:snapToGrid w:val="0"/>
        <w:spacing w:line="360" w:lineRule="auto"/>
        <w:ind w:firstLine="420" w:firstLineChars="200"/>
        <w:jc w:val="left"/>
        <w:rPr>
          <w:rFonts w:ascii="宋体" w:hAnsi="宋体"/>
          <w:szCs w:val="21"/>
        </w:rPr>
      </w:pPr>
      <w:r>
        <w:rPr>
          <w:rFonts w:hint="eastAsia" w:ascii="宋体" w:hAnsi="宋体"/>
          <w:szCs w:val="21"/>
        </w:rPr>
        <w:t>根据招标文件规定及投标人提供的材料自行编写目录。</w:t>
      </w:r>
    </w:p>
    <w:p>
      <w:pPr>
        <w:snapToGrid w:val="0"/>
        <w:spacing w:before="50" w:after="120" w:afterLines="50"/>
        <w:jc w:val="left"/>
        <w:rPr>
          <w:rFonts w:ascii="宋体" w:hAnsi="宋体"/>
          <w:sz w:val="24"/>
        </w:rPr>
      </w:pPr>
    </w:p>
    <w:p>
      <w:pPr>
        <w:snapToGrid w:val="0"/>
        <w:spacing w:before="50" w:after="120" w:afterLines="50"/>
        <w:jc w:val="left"/>
        <w:rPr>
          <w:rFonts w:ascii="宋体" w:hAnsi="宋体"/>
          <w:sz w:val="24"/>
        </w:rPr>
      </w:pPr>
    </w:p>
    <w:p>
      <w:pPr>
        <w:numPr>
          <w:ilvl w:val="2"/>
          <w:numId w:val="12"/>
        </w:numPr>
        <w:snapToGrid w:val="0"/>
        <w:spacing w:before="120" w:beforeLines="50" w:after="50"/>
        <w:ind w:left="0" w:firstLine="0"/>
        <w:jc w:val="left"/>
        <w:rPr>
          <w:rFonts w:ascii="宋体" w:hAnsi="宋体"/>
          <w:b/>
          <w:sz w:val="24"/>
        </w:rPr>
      </w:pPr>
      <w:r>
        <w:rPr>
          <w:rFonts w:ascii="宋体" w:hAnsi="宋体"/>
          <w:b/>
          <w:sz w:val="24"/>
        </w:rPr>
        <w:br w:type="page"/>
      </w:r>
      <w:r>
        <w:rPr>
          <w:rFonts w:hint="eastAsia" w:ascii="宋体" w:hAnsi="宋体"/>
          <w:b/>
          <w:sz w:val="28"/>
          <w:szCs w:val="28"/>
        </w:rPr>
        <w:t>投标人直接控股、管理关系信息表</w:t>
      </w:r>
    </w:p>
    <w:p>
      <w:pPr>
        <w:snapToGrid w:val="0"/>
        <w:spacing w:before="50" w:after="120" w:afterLines="50"/>
        <w:jc w:val="center"/>
        <w:rPr>
          <w:rFonts w:ascii="宋体" w:hAnsi="宋体"/>
          <w:b/>
          <w:sz w:val="28"/>
          <w:szCs w:val="28"/>
        </w:rPr>
      </w:pPr>
    </w:p>
    <w:p>
      <w:pPr>
        <w:snapToGrid w:val="0"/>
        <w:spacing w:before="50" w:after="120" w:afterLines="50" w:line="360" w:lineRule="auto"/>
        <w:jc w:val="center"/>
        <w:rPr>
          <w:rFonts w:ascii="宋体" w:hAnsi="宋体"/>
          <w:b/>
          <w:sz w:val="32"/>
          <w:szCs w:val="32"/>
        </w:rPr>
      </w:pPr>
      <w:r>
        <w:rPr>
          <w:rFonts w:hint="eastAsia" w:ascii="宋体" w:hAnsi="宋体"/>
          <w:b/>
          <w:sz w:val="32"/>
          <w:szCs w:val="32"/>
        </w:rPr>
        <w:t>投标人直接控股股东信息表</w:t>
      </w:r>
    </w:p>
    <w:tbl>
      <w:tblPr>
        <w:tblStyle w:val="48"/>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sz w:val="24"/>
        </w:rPr>
      </w:pPr>
      <w:r>
        <w:rPr>
          <w:rFonts w:hint="eastAsia" w:ascii="宋体" w:hAnsi="宋体"/>
          <w:sz w:val="24"/>
        </w:rPr>
        <w:t>注：</w:t>
      </w:r>
    </w:p>
    <w:p>
      <w:pPr>
        <w:snapToGrid w:val="0"/>
        <w:spacing w:line="360" w:lineRule="auto"/>
        <w:jc w:val="left"/>
        <w:rPr>
          <w:rFonts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sz w:val="24"/>
        </w:rPr>
      </w:pPr>
      <w:r>
        <w:rPr>
          <w:rFonts w:hint="eastAsia" w:ascii="宋体" w:hAnsi="宋体"/>
          <w:sz w:val="24"/>
        </w:rPr>
        <w:t>3.供应商不存在直接控股股东的，则填“无”。</w:t>
      </w:r>
    </w:p>
    <w:p>
      <w:pPr>
        <w:snapToGrid w:val="0"/>
        <w:spacing w:line="360" w:lineRule="auto"/>
        <w:jc w:val="left"/>
        <w:rPr>
          <w:rFonts w:ascii="宋体" w:hAnsi="宋体"/>
          <w:sz w:val="24"/>
        </w:rPr>
      </w:pPr>
    </w:p>
    <w:p>
      <w:pPr>
        <w:snapToGrid w:val="0"/>
        <w:spacing w:line="360" w:lineRule="auto"/>
        <w:jc w:val="left"/>
        <w:rPr>
          <w:rFonts w:ascii="宋体" w:hAnsi="宋体"/>
          <w:sz w:val="24"/>
        </w:rPr>
      </w:pPr>
    </w:p>
    <w:p>
      <w:pPr>
        <w:snapToGrid w:val="0"/>
        <w:spacing w:before="120" w:beforeLines="50" w:line="360" w:lineRule="auto"/>
        <w:ind w:right="482" w:firstLine="2400" w:firstLineChars="1000"/>
        <w:rPr>
          <w:rFonts w:ascii="宋体" w:hAnsi="宋体"/>
          <w:sz w:val="24"/>
          <w:u w:val="single"/>
        </w:rPr>
      </w:pPr>
      <w:r>
        <w:rPr>
          <w:rFonts w:hint="eastAsia" w:ascii="宋体" w:hAnsi="宋体"/>
          <w:sz w:val="24"/>
        </w:rPr>
        <w:t>法定代表人或者委托代理人（签字或电子签名）：</w:t>
      </w:r>
      <w:r>
        <w:rPr>
          <w:rFonts w:hint="eastAsia" w:ascii="宋体" w:hAnsi="宋体"/>
          <w:sz w:val="24"/>
          <w:u w:val="single"/>
        </w:rPr>
        <w:t xml:space="preserve">             </w:t>
      </w:r>
    </w:p>
    <w:p>
      <w:pPr>
        <w:snapToGrid w:val="0"/>
        <w:spacing w:before="120" w:beforeLines="50" w:after="50" w:line="360" w:lineRule="auto"/>
        <w:ind w:right="480" w:firstLine="5520" w:firstLineChars="2300"/>
        <w:rPr>
          <w:rFonts w:ascii="宋体" w:hAnsi="宋体"/>
          <w:sz w:val="24"/>
          <w:u w:val="single"/>
        </w:rPr>
      </w:pPr>
      <w:r>
        <w:rPr>
          <w:rFonts w:hint="eastAsia" w:ascii="宋体" w:hAnsi="宋体"/>
          <w:sz w:val="24"/>
        </w:rPr>
        <w:t>投标人名称（电子签章）：</w:t>
      </w:r>
      <w:r>
        <w:rPr>
          <w:rFonts w:hint="eastAsia" w:ascii="宋体" w:hAnsi="宋体"/>
          <w:sz w:val="24"/>
          <w:u w:val="single"/>
        </w:rPr>
        <w:t xml:space="preserve">                 </w:t>
      </w:r>
    </w:p>
    <w:p>
      <w:pPr>
        <w:snapToGrid w:val="0"/>
        <w:spacing w:before="120" w:beforeLines="50" w:after="50" w:line="360" w:lineRule="auto"/>
        <w:ind w:right="480" w:firstLine="5520" w:firstLineChars="2300"/>
        <w:rPr>
          <w:rFonts w:ascii="宋体" w:hAnsi="宋体"/>
          <w:szCs w:val="21"/>
        </w:rPr>
      </w:pPr>
      <w:r>
        <w:rPr>
          <w:rFonts w:hint="eastAsia" w:ascii="宋体" w:hAnsi="宋体"/>
          <w:sz w:val="24"/>
        </w:rPr>
        <w:t>年    月    日</w:t>
      </w:r>
    </w:p>
    <w:p>
      <w:pPr>
        <w:snapToGrid w:val="0"/>
        <w:jc w:val="center"/>
        <w:rPr>
          <w:rFonts w:ascii="宋体" w:hAnsi="宋体"/>
          <w:b/>
          <w:sz w:val="28"/>
          <w:szCs w:val="28"/>
        </w:rPr>
      </w:pPr>
      <w:r>
        <w:rPr>
          <w:rFonts w:ascii="宋体" w:hAnsi="宋体"/>
          <w:b/>
          <w:sz w:val="28"/>
          <w:szCs w:val="28"/>
        </w:rPr>
        <w:br w:type="page"/>
      </w:r>
    </w:p>
    <w:p>
      <w:pPr>
        <w:snapToGrid w:val="0"/>
        <w:spacing w:line="360" w:lineRule="auto"/>
        <w:jc w:val="center"/>
        <w:rPr>
          <w:rFonts w:ascii="宋体" w:hAnsi="宋体"/>
          <w:sz w:val="32"/>
          <w:szCs w:val="32"/>
        </w:rPr>
      </w:pPr>
      <w:r>
        <w:rPr>
          <w:rFonts w:hint="eastAsia" w:ascii="宋体" w:hAnsi="宋体"/>
          <w:b/>
          <w:sz w:val="32"/>
          <w:szCs w:val="32"/>
        </w:rPr>
        <w:t>投标人直接管理关系信息表</w:t>
      </w:r>
    </w:p>
    <w:tbl>
      <w:tblPr>
        <w:tblStyle w:val="48"/>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sz w:val="24"/>
        </w:rPr>
      </w:pPr>
      <w:r>
        <w:rPr>
          <w:rFonts w:hint="eastAsia" w:ascii="宋体" w:hAnsi="宋体"/>
          <w:sz w:val="24"/>
        </w:rPr>
        <w:t>注：</w:t>
      </w:r>
    </w:p>
    <w:p>
      <w:pPr>
        <w:snapToGrid w:val="0"/>
        <w:spacing w:line="360" w:lineRule="auto"/>
        <w:ind w:firstLine="480" w:firstLineChars="200"/>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sz w:val="24"/>
        </w:rPr>
      </w:pPr>
      <w:r>
        <w:rPr>
          <w:rFonts w:hint="eastAsia" w:ascii="宋体" w:hAnsi="宋体"/>
          <w:sz w:val="24"/>
        </w:rPr>
        <w:t>3.供应商不存在直接管理关系的，则填“无”。</w:t>
      </w:r>
    </w:p>
    <w:p>
      <w:pPr>
        <w:snapToGrid w:val="0"/>
        <w:spacing w:line="360" w:lineRule="auto"/>
        <w:jc w:val="left"/>
        <w:rPr>
          <w:rFonts w:ascii="宋体" w:hAnsi="宋体"/>
          <w:sz w:val="24"/>
        </w:rPr>
      </w:pPr>
    </w:p>
    <w:p>
      <w:pPr>
        <w:snapToGrid w:val="0"/>
        <w:spacing w:line="360" w:lineRule="auto"/>
        <w:jc w:val="left"/>
        <w:rPr>
          <w:rFonts w:ascii="宋体" w:hAnsi="宋体"/>
          <w:sz w:val="24"/>
        </w:rPr>
      </w:pPr>
    </w:p>
    <w:p>
      <w:pPr>
        <w:snapToGrid w:val="0"/>
        <w:spacing w:line="360" w:lineRule="auto"/>
        <w:jc w:val="left"/>
        <w:rPr>
          <w:rFonts w:ascii="宋体" w:hAnsi="宋体"/>
          <w:sz w:val="24"/>
        </w:rPr>
      </w:pPr>
    </w:p>
    <w:p>
      <w:pPr>
        <w:snapToGrid w:val="0"/>
        <w:spacing w:line="360" w:lineRule="auto"/>
        <w:jc w:val="left"/>
        <w:rPr>
          <w:sz w:val="24"/>
        </w:rPr>
      </w:pPr>
    </w:p>
    <w:p>
      <w:pPr>
        <w:snapToGrid w:val="0"/>
        <w:spacing w:line="360" w:lineRule="auto"/>
        <w:jc w:val="left"/>
        <w:rPr>
          <w:sz w:val="24"/>
        </w:rPr>
      </w:pPr>
    </w:p>
    <w:p>
      <w:pPr>
        <w:snapToGrid w:val="0"/>
        <w:spacing w:line="360" w:lineRule="auto"/>
        <w:jc w:val="left"/>
        <w:rPr>
          <w:sz w:val="24"/>
        </w:rPr>
      </w:pPr>
    </w:p>
    <w:p>
      <w:pPr>
        <w:snapToGrid w:val="0"/>
        <w:spacing w:line="360" w:lineRule="auto"/>
        <w:jc w:val="left"/>
        <w:rPr>
          <w:rFonts w:ascii="宋体" w:hAnsi="宋体"/>
          <w:sz w:val="24"/>
        </w:rPr>
      </w:pPr>
    </w:p>
    <w:p>
      <w:pPr>
        <w:snapToGrid w:val="0"/>
        <w:spacing w:before="120" w:beforeLines="50" w:line="360" w:lineRule="auto"/>
        <w:ind w:right="482" w:firstLine="2400" w:firstLineChars="1000"/>
        <w:rPr>
          <w:rFonts w:ascii="宋体" w:hAnsi="宋体"/>
          <w:sz w:val="24"/>
          <w:u w:val="single"/>
        </w:rPr>
      </w:pPr>
      <w:r>
        <w:rPr>
          <w:rFonts w:hint="eastAsia" w:ascii="宋体" w:hAnsi="宋体"/>
          <w:sz w:val="24"/>
        </w:rPr>
        <w:t>法定代表人或者委托代理人（签字或电子签名）：</w:t>
      </w:r>
      <w:r>
        <w:rPr>
          <w:rFonts w:hint="eastAsia" w:ascii="宋体" w:hAnsi="宋体"/>
          <w:sz w:val="24"/>
          <w:u w:val="single"/>
        </w:rPr>
        <w:t xml:space="preserve">             </w:t>
      </w:r>
    </w:p>
    <w:p>
      <w:pPr>
        <w:snapToGrid w:val="0"/>
        <w:spacing w:before="120" w:beforeLines="50" w:after="50" w:line="360" w:lineRule="auto"/>
        <w:ind w:right="480" w:firstLine="5520" w:firstLineChars="2300"/>
        <w:rPr>
          <w:rFonts w:ascii="宋体" w:hAnsi="宋体"/>
          <w:sz w:val="24"/>
        </w:rPr>
      </w:pPr>
      <w:r>
        <w:rPr>
          <w:rFonts w:hint="eastAsia" w:ascii="宋体" w:hAnsi="宋体"/>
          <w:sz w:val="24"/>
        </w:rPr>
        <w:t>投标人名称（电子签章）：</w:t>
      </w:r>
      <w:r>
        <w:rPr>
          <w:rFonts w:hint="eastAsia" w:ascii="宋体" w:hAnsi="宋体"/>
          <w:sz w:val="24"/>
          <w:u w:val="single"/>
        </w:rPr>
        <w:t xml:space="preserve">                 </w:t>
      </w:r>
    </w:p>
    <w:p>
      <w:pPr>
        <w:snapToGrid w:val="0"/>
        <w:spacing w:before="120" w:beforeLines="50" w:after="50" w:line="360" w:lineRule="auto"/>
        <w:ind w:right="480" w:firstLine="240" w:firstLineChars="100"/>
        <w:jc w:val="right"/>
        <w:rPr>
          <w:rFonts w:ascii="宋体" w:hAnsi="宋体"/>
          <w:sz w:val="24"/>
        </w:rPr>
      </w:pPr>
      <w:r>
        <w:rPr>
          <w:rFonts w:hint="eastAsia" w:ascii="宋体" w:hAnsi="宋体"/>
          <w:sz w:val="24"/>
        </w:rPr>
        <w:t xml:space="preserve"> 年    月    日</w:t>
      </w:r>
    </w:p>
    <w:p>
      <w:pPr>
        <w:snapToGrid w:val="0"/>
        <w:spacing w:before="50" w:after="120" w:afterLines="50"/>
        <w:jc w:val="left"/>
        <w:rPr>
          <w:rFonts w:ascii="宋体" w:hAnsi="宋体"/>
          <w:szCs w:val="21"/>
        </w:rPr>
      </w:pPr>
    </w:p>
    <w:p>
      <w:pPr>
        <w:snapToGrid w:val="0"/>
        <w:spacing w:before="120" w:beforeLines="50" w:after="50"/>
        <w:jc w:val="left"/>
        <w:rPr>
          <w:rFonts w:ascii="宋体" w:hAnsi="宋体"/>
          <w:b/>
          <w:sz w:val="24"/>
          <w:szCs w:val="20"/>
        </w:rPr>
      </w:pPr>
    </w:p>
    <w:p>
      <w:pPr>
        <w:numPr>
          <w:ilvl w:val="2"/>
          <w:numId w:val="12"/>
        </w:numPr>
        <w:snapToGrid w:val="0"/>
        <w:spacing w:before="120" w:beforeLines="50" w:after="50"/>
        <w:ind w:left="0" w:firstLine="0"/>
        <w:jc w:val="left"/>
        <w:rPr>
          <w:rFonts w:ascii="宋体" w:hAnsi="宋体"/>
          <w:b/>
          <w:sz w:val="24"/>
          <w:szCs w:val="20"/>
        </w:rPr>
      </w:pPr>
      <w:r>
        <w:rPr>
          <w:rFonts w:ascii="宋体" w:hAnsi="宋体"/>
          <w:b/>
          <w:sz w:val="24"/>
        </w:rPr>
        <w:br w:type="page"/>
      </w:r>
      <w:r>
        <w:rPr>
          <w:rFonts w:hint="eastAsia" w:ascii="宋体" w:hAnsi="宋体"/>
          <w:b/>
          <w:sz w:val="24"/>
        </w:rPr>
        <w:t>投标声明</w:t>
      </w:r>
    </w:p>
    <w:p>
      <w:pPr>
        <w:snapToGrid w:val="0"/>
        <w:spacing w:before="50" w:after="120" w:afterLines="50"/>
        <w:jc w:val="left"/>
        <w:rPr>
          <w:rFonts w:ascii="宋体" w:hAnsi="宋体"/>
        </w:rPr>
      </w:pPr>
    </w:p>
    <w:p>
      <w:pPr>
        <w:snapToGrid w:val="0"/>
        <w:spacing w:before="50" w:after="120" w:afterLines="50"/>
        <w:jc w:val="center"/>
        <w:rPr>
          <w:rFonts w:ascii="宋体" w:hAnsi="宋体"/>
          <w:b/>
          <w:sz w:val="32"/>
          <w:szCs w:val="32"/>
        </w:rPr>
      </w:pPr>
      <w:r>
        <w:rPr>
          <w:rFonts w:hint="eastAsia" w:ascii="宋体" w:hAnsi="宋体"/>
          <w:b/>
          <w:sz w:val="32"/>
          <w:szCs w:val="32"/>
        </w:rPr>
        <w:t>投标声明</w:t>
      </w:r>
    </w:p>
    <w:p>
      <w:pPr>
        <w:spacing w:line="360" w:lineRule="auto"/>
        <w:contextualSpacing/>
        <w:jc w:val="left"/>
        <w:rPr>
          <w:sz w:val="24"/>
        </w:rPr>
      </w:pPr>
      <w:r>
        <w:rPr>
          <w:rFonts w:hint="eastAsia"/>
          <w:sz w:val="24"/>
        </w:rPr>
        <w:t>（采购人名称）：</w:t>
      </w:r>
    </w:p>
    <w:p>
      <w:pPr>
        <w:spacing w:line="360" w:lineRule="auto"/>
        <w:ind w:firstLine="523" w:firstLineChars="218"/>
        <w:contextualSpacing/>
        <w:jc w:val="left"/>
        <w:rPr>
          <w:rFonts w:ascii="宋体" w:hAnsi="宋体"/>
          <w:sz w:val="24"/>
        </w:rPr>
      </w:pPr>
      <w:r>
        <w:rPr>
          <w:rFonts w:hint="eastAsia" w:ascii="宋体" w:hAnsi="宋体"/>
          <w:sz w:val="24"/>
        </w:rPr>
        <w:t>我方参加贵单位组织</w:t>
      </w:r>
      <w:r>
        <w:rPr>
          <w:rFonts w:hint="eastAsia" w:ascii="宋体" w:hAnsi="宋体"/>
          <w:sz w:val="24"/>
          <w:u w:val="single"/>
        </w:rPr>
        <w:t xml:space="preserve">             </w:t>
      </w:r>
      <w:r>
        <w:rPr>
          <w:rFonts w:hint="eastAsia" w:ascii="宋体" w:hAnsi="宋体"/>
          <w:sz w:val="24"/>
        </w:rPr>
        <w:t>项目（项目编号：</w:t>
      </w:r>
      <w:r>
        <w:rPr>
          <w:rFonts w:hint="eastAsia" w:ascii="宋体" w:hAnsi="宋体"/>
          <w:sz w:val="24"/>
          <w:u w:val="single"/>
        </w:rPr>
        <w:t xml:space="preserve">       </w:t>
      </w:r>
      <w:r>
        <w:rPr>
          <w:rFonts w:hint="eastAsia" w:ascii="宋体" w:hAnsi="宋体"/>
          <w:sz w:val="24"/>
        </w:rPr>
        <w:t>）的政府采购活动。我方在此郑重声明：</w:t>
      </w:r>
    </w:p>
    <w:p>
      <w:pPr>
        <w:spacing w:line="360" w:lineRule="auto"/>
        <w:ind w:firstLine="480" w:firstLineChars="200"/>
        <w:contextualSpacing/>
        <w:jc w:val="left"/>
        <w:rPr>
          <w:rFonts w:ascii="宋体" w:hAnsi="宋体"/>
          <w:sz w:val="24"/>
        </w:rPr>
      </w:pPr>
      <w:r>
        <w:rPr>
          <w:rFonts w:hint="eastAsia" w:ascii="宋体" w:hAnsi="宋体"/>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jc w:val="left"/>
        <w:rPr>
          <w:rFonts w:ascii="宋体" w:hAnsi="宋体"/>
          <w:sz w:val="24"/>
        </w:rPr>
      </w:pPr>
      <w:r>
        <w:rPr>
          <w:rFonts w:hint="eastAsia" w:ascii="宋体" w:hAnsi="宋体"/>
          <w:sz w:val="24"/>
        </w:rPr>
        <w:t>2.我方不是为本次采购项目提供整体设计、规范编制或者项目管理、监理、检测等服务的供应商；在获知本项目采购信息后，与采购人聘请的为此项目提供咨询服务的公司及其附属机构没有任何联系。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contextualSpacing/>
        <w:jc w:val="left"/>
        <w:rPr>
          <w:rFonts w:ascii="宋体" w:hAnsi="宋体"/>
          <w:sz w:val="24"/>
        </w:rPr>
      </w:pPr>
      <w:r>
        <w:rPr>
          <w:rFonts w:hint="eastAsia" w:ascii="宋体" w:hAnsi="宋体"/>
          <w:sz w:val="24"/>
        </w:rPr>
        <w:t>3.我方承诺符合《中华人民共和国政府采购法》第二十二条规定：</w:t>
      </w:r>
    </w:p>
    <w:p>
      <w:pPr>
        <w:spacing w:line="360" w:lineRule="auto"/>
        <w:ind w:firstLine="480" w:firstLineChars="200"/>
        <w:contextualSpacing/>
        <w:jc w:val="left"/>
        <w:rPr>
          <w:rFonts w:ascii="宋体" w:hAnsi="宋体"/>
          <w:sz w:val="24"/>
        </w:rPr>
      </w:pPr>
      <w:r>
        <w:rPr>
          <w:rFonts w:hint="eastAsia" w:ascii="宋体" w:hAnsi="宋体"/>
          <w:sz w:val="24"/>
        </w:rPr>
        <w:t>（一）具有独立承担民事责任的能力；</w:t>
      </w:r>
    </w:p>
    <w:p>
      <w:pPr>
        <w:spacing w:line="360" w:lineRule="auto"/>
        <w:ind w:firstLine="480" w:firstLineChars="200"/>
        <w:contextualSpacing/>
        <w:jc w:val="left"/>
        <w:rPr>
          <w:rFonts w:ascii="宋体" w:hAnsi="宋体"/>
          <w:sz w:val="24"/>
        </w:rPr>
      </w:pPr>
      <w:r>
        <w:rPr>
          <w:rFonts w:hint="eastAsia" w:ascii="宋体" w:hAnsi="宋体"/>
          <w:sz w:val="24"/>
        </w:rPr>
        <w:t>（二）具有良好的商业信誉和健全的财务会计制度；</w:t>
      </w:r>
    </w:p>
    <w:p>
      <w:pPr>
        <w:spacing w:line="360" w:lineRule="auto"/>
        <w:ind w:firstLine="480" w:firstLineChars="200"/>
        <w:contextualSpacing/>
        <w:jc w:val="left"/>
        <w:rPr>
          <w:rFonts w:ascii="宋体" w:hAnsi="宋体"/>
          <w:sz w:val="24"/>
        </w:rPr>
      </w:pPr>
      <w:r>
        <w:rPr>
          <w:rFonts w:hint="eastAsia" w:ascii="宋体" w:hAnsi="宋体"/>
          <w:sz w:val="24"/>
        </w:rPr>
        <w:t>（三）具有履行合同所必需的设备和专业技术能力；</w:t>
      </w:r>
    </w:p>
    <w:p>
      <w:pPr>
        <w:spacing w:line="360" w:lineRule="auto"/>
        <w:ind w:firstLine="480" w:firstLineChars="200"/>
        <w:contextualSpacing/>
        <w:jc w:val="left"/>
        <w:rPr>
          <w:rFonts w:ascii="宋体" w:hAnsi="宋体"/>
          <w:sz w:val="24"/>
        </w:rPr>
      </w:pPr>
      <w:r>
        <w:rPr>
          <w:rFonts w:hint="eastAsia" w:ascii="宋体" w:hAnsi="宋体"/>
          <w:sz w:val="24"/>
        </w:rPr>
        <w:t>（四）有依法缴纳税收和社会保障资金的良好记录；</w:t>
      </w:r>
    </w:p>
    <w:p>
      <w:pPr>
        <w:spacing w:line="360" w:lineRule="auto"/>
        <w:ind w:firstLine="480" w:firstLineChars="200"/>
        <w:contextualSpacing/>
        <w:jc w:val="left"/>
        <w:rPr>
          <w:rFonts w:ascii="宋体" w:hAnsi="宋体"/>
          <w:sz w:val="24"/>
        </w:rPr>
      </w:pPr>
      <w:r>
        <w:rPr>
          <w:rFonts w:hint="eastAsia" w:ascii="宋体" w:hAnsi="宋体"/>
          <w:sz w:val="24"/>
        </w:rPr>
        <w:t>（五）参加政府采购活动前三年内，在经营活动中没有重大违法记录；</w:t>
      </w:r>
    </w:p>
    <w:p>
      <w:pPr>
        <w:spacing w:line="360" w:lineRule="auto"/>
        <w:ind w:firstLine="480" w:firstLineChars="200"/>
        <w:contextualSpacing/>
        <w:jc w:val="left"/>
        <w:rPr>
          <w:rFonts w:ascii="宋体" w:hAnsi="宋体"/>
          <w:sz w:val="24"/>
        </w:rPr>
      </w:pPr>
      <w:r>
        <w:rPr>
          <w:rFonts w:hint="eastAsia" w:ascii="宋体" w:hAnsi="宋体"/>
          <w:sz w:val="24"/>
        </w:rPr>
        <w:t>（六）法律、行政法规规定的其他条件。</w:t>
      </w:r>
    </w:p>
    <w:p>
      <w:pPr>
        <w:spacing w:line="360" w:lineRule="auto"/>
        <w:ind w:firstLine="480" w:firstLineChars="200"/>
        <w:contextualSpacing/>
        <w:jc w:val="left"/>
        <w:rPr>
          <w:rFonts w:ascii="宋体" w:hAnsi="宋体"/>
          <w:sz w:val="24"/>
        </w:rPr>
      </w:pPr>
      <w:r>
        <w:rPr>
          <w:rFonts w:hint="eastAsia" w:ascii="宋体" w:hAnsi="宋体"/>
          <w:sz w:val="24"/>
        </w:rPr>
        <w:t>4.以上事项如有虚假或者隐瞒，我方愿意承担一切后果，并不再寻求任何旨在减轻或者免除法律责任的辩解。</w:t>
      </w:r>
    </w:p>
    <w:p>
      <w:pPr>
        <w:spacing w:line="360" w:lineRule="auto"/>
        <w:contextualSpacing/>
        <w:jc w:val="left"/>
        <w:rPr>
          <w:rFonts w:ascii="宋体" w:hAnsi="宋体"/>
          <w:sz w:val="24"/>
        </w:rPr>
      </w:pPr>
      <w:r>
        <w:rPr>
          <w:rFonts w:hint="eastAsia" w:ascii="宋体" w:hAnsi="宋体"/>
          <w:sz w:val="24"/>
        </w:rPr>
        <w:t xml:space="preserve">    特此承诺。</w:t>
      </w:r>
    </w:p>
    <w:p>
      <w:pPr>
        <w:spacing w:line="360" w:lineRule="auto"/>
        <w:ind w:firstLine="482" w:firstLineChars="200"/>
        <w:contextualSpacing/>
        <w:jc w:val="left"/>
        <w:rPr>
          <w:rFonts w:ascii="宋体" w:hAnsi="宋体"/>
          <w:b/>
          <w:sz w:val="24"/>
        </w:rPr>
      </w:pPr>
      <w:r>
        <w:rPr>
          <w:rFonts w:hint="eastAsia" w:ascii="宋体" w:hAnsi="宋体"/>
          <w:b/>
          <w:sz w:val="24"/>
        </w:rPr>
        <w:t>注：如为联合体投标，盖章处须加盖联合体各方公章</w:t>
      </w:r>
      <w:bookmarkStart w:id="570" w:name="_Hlk129685240"/>
      <w:r>
        <w:rPr>
          <w:rFonts w:hint="eastAsia" w:ascii="宋体" w:hAnsi="宋体"/>
          <w:b/>
          <w:sz w:val="24"/>
        </w:rPr>
        <w:t>或电子签章</w:t>
      </w:r>
      <w:bookmarkEnd w:id="570"/>
      <w:r>
        <w:rPr>
          <w:rFonts w:hint="eastAsia" w:ascii="宋体" w:hAnsi="宋体"/>
          <w:b/>
          <w:sz w:val="24"/>
        </w:rPr>
        <w:t>并由联合体各方法定代表人分别签</w:t>
      </w:r>
      <w:bookmarkStart w:id="571" w:name="_Hlk129685282"/>
      <w:r>
        <w:rPr>
          <w:rFonts w:hint="eastAsia" w:ascii="宋体" w:hAnsi="宋体"/>
          <w:b/>
          <w:sz w:val="24"/>
        </w:rPr>
        <w:t>字或者电子签名</w:t>
      </w:r>
      <w:bookmarkEnd w:id="571"/>
      <w:r>
        <w:rPr>
          <w:rFonts w:hint="eastAsia" w:ascii="宋体" w:hAnsi="宋体"/>
          <w:b/>
          <w:sz w:val="24"/>
        </w:rPr>
        <w:t>，否则投标无效。</w:t>
      </w:r>
    </w:p>
    <w:p>
      <w:pPr>
        <w:snapToGrid w:val="0"/>
        <w:spacing w:line="360" w:lineRule="auto"/>
        <w:ind w:right="482" w:firstLine="2400" w:firstLineChars="1000"/>
        <w:rPr>
          <w:rFonts w:ascii="宋体" w:hAnsi="宋体"/>
          <w:sz w:val="24"/>
        </w:rPr>
      </w:pPr>
      <w:r>
        <w:rPr>
          <w:rFonts w:hint="eastAsia" w:ascii="宋体" w:hAnsi="宋体"/>
          <w:sz w:val="24"/>
        </w:rPr>
        <w:t>法定代表人</w:t>
      </w:r>
      <w:bookmarkStart w:id="572" w:name="_Hlk129685570"/>
      <w:r>
        <w:rPr>
          <w:rFonts w:hint="eastAsia" w:ascii="宋体" w:hAnsi="宋体"/>
          <w:sz w:val="24"/>
        </w:rPr>
        <w:t>或者委托代理人</w:t>
      </w:r>
      <w:bookmarkEnd w:id="572"/>
      <w:r>
        <w:rPr>
          <w:rFonts w:hint="eastAsia" w:ascii="宋体" w:hAnsi="宋体"/>
          <w:sz w:val="24"/>
        </w:rPr>
        <w:t>（签字或电子签名）：</w:t>
      </w:r>
      <w:r>
        <w:rPr>
          <w:rFonts w:hint="eastAsia" w:ascii="宋体" w:hAnsi="宋体"/>
          <w:sz w:val="24"/>
          <w:u w:val="single"/>
        </w:rPr>
        <w:t xml:space="preserve">             </w:t>
      </w:r>
    </w:p>
    <w:p>
      <w:pPr>
        <w:spacing w:line="360" w:lineRule="auto"/>
        <w:contextualSpacing/>
        <w:jc w:val="left"/>
        <w:rPr>
          <w:rFonts w:ascii="宋体" w:hAnsi="宋体"/>
          <w:sz w:val="24"/>
        </w:rPr>
      </w:pPr>
      <w:r>
        <w:rPr>
          <w:rFonts w:hint="eastAsia" w:ascii="宋体" w:hAnsi="宋体"/>
          <w:sz w:val="24"/>
        </w:rPr>
        <w:t xml:space="preserve">                                          投标人名称（电子签章）：</w:t>
      </w:r>
      <w:r>
        <w:rPr>
          <w:rFonts w:hint="eastAsia" w:ascii="宋体" w:hAnsi="宋体"/>
          <w:sz w:val="24"/>
          <w:u w:val="single"/>
        </w:rPr>
        <w:t xml:space="preserve">                 </w:t>
      </w:r>
    </w:p>
    <w:p>
      <w:pPr>
        <w:spacing w:line="360" w:lineRule="auto"/>
        <w:contextualSpacing/>
        <w:jc w:val="left"/>
        <w:rPr>
          <w:rFonts w:ascii="宋体" w:hAnsi="宋体"/>
          <w:sz w:val="24"/>
        </w:rPr>
      </w:pPr>
      <w:r>
        <w:rPr>
          <w:rFonts w:hint="eastAsia" w:ascii="宋体" w:hAnsi="宋体"/>
          <w:sz w:val="24"/>
        </w:rPr>
        <w:t xml:space="preserve">                                                  年    月    日</w:t>
      </w:r>
    </w:p>
    <w:p>
      <w:pPr>
        <w:spacing w:line="360" w:lineRule="auto"/>
        <w:contextualSpacing/>
        <w:jc w:val="left"/>
        <w:rPr>
          <w:rFonts w:ascii="宋体" w:hAnsi="宋体"/>
          <w:sz w:val="24"/>
        </w:rPr>
      </w:pPr>
    </w:p>
    <w:p>
      <w:pPr>
        <w:snapToGrid w:val="0"/>
        <w:spacing w:before="50" w:after="120" w:afterLines="50"/>
        <w:rPr>
          <w:rFonts w:ascii="宋体" w:hAnsi="宋体"/>
          <w:b/>
          <w:sz w:val="24"/>
        </w:rPr>
      </w:pPr>
    </w:p>
    <w:p>
      <w:pPr>
        <w:snapToGrid w:val="0"/>
        <w:spacing w:before="50" w:after="120" w:afterLines="50"/>
        <w:rPr>
          <w:rFonts w:ascii="宋体" w:hAnsi="宋体"/>
          <w:b/>
          <w:sz w:val="24"/>
        </w:rPr>
      </w:pPr>
      <w:r>
        <w:rPr>
          <w:rFonts w:hint="eastAsia" w:ascii="宋体" w:hAnsi="宋体"/>
          <w:b/>
          <w:sz w:val="24"/>
        </w:rPr>
        <w:t>5.承诺函</w:t>
      </w:r>
    </w:p>
    <w:p>
      <w:pPr>
        <w:snapToGrid w:val="0"/>
        <w:spacing w:before="50" w:after="120" w:afterLines="50"/>
        <w:jc w:val="center"/>
        <w:rPr>
          <w:rFonts w:ascii="宋体" w:hAnsi="宋体"/>
          <w:sz w:val="24"/>
        </w:rPr>
      </w:pPr>
    </w:p>
    <w:p>
      <w:pPr>
        <w:snapToGrid w:val="0"/>
        <w:spacing w:before="50" w:after="120" w:afterLines="50"/>
        <w:jc w:val="center"/>
        <w:rPr>
          <w:rFonts w:ascii="宋体" w:hAnsi="宋体"/>
          <w:b/>
          <w:sz w:val="32"/>
          <w:szCs w:val="32"/>
        </w:rPr>
      </w:pPr>
      <w:r>
        <w:rPr>
          <w:rFonts w:hint="eastAsia" w:ascii="宋体" w:hAnsi="宋体"/>
          <w:b/>
          <w:sz w:val="32"/>
          <w:szCs w:val="32"/>
        </w:rPr>
        <w:t>承诺函</w:t>
      </w:r>
    </w:p>
    <w:p>
      <w:pPr>
        <w:spacing w:line="360" w:lineRule="auto"/>
        <w:contextualSpacing/>
        <w:jc w:val="left"/>
        <w:rPr>
          <w:sz w:val="24"/>
        </w:rPr>
      </w:pPr>
      <w:r>
        <w:rPr>
          <w:rFonts w:hint="eastAsia"/>
          <w:sz w:val="24"/>
        </w:rPr>
        <w:t>（采购人名称）：</w:t>
      </w:r>
    </w:p>
    <w:p>
      <w:pPr>
        <w:numPr>
          <w:ilvl w:val="2"/>
          <w:numId w:val="13"/>
        </w:numPr>
        <w:spacing w:line="360" w:lineRule="auto"/>
        <w:contextualSpacing/>
        <w:jc w:val="left"/>
        <w:rPr>
          <w:rFonts w:ascii="宋体" w:hAnsi="宋体"/>
          <w:sz w:val="24"/>
        </w:rPr>
      </w:pPr>
      <w:r>
        <w:rPr>
          <w:rFonts w:hint="eastAsia" w:ascii="宋体" w:hAnsi="宋体"/>
          <w:sz w:val="24"/>
        </w:rPr>
        <w:t>我方参加贵单位组织</w:t>
      </w:r>
      <w:r>
        <w:rPr>
          <w:rFonts w:hint="eastAsia" w:ascii="宋体" w:hAnsi="宋体"/>
          <w:sz w:val="24"/>
          <w:u w:val="single"/>
        </w:rPr>
        <w:t xml:space="preserve">             </w:t>
      </w:r>
      <w:r>
        <w:rPr>
          <w:rFonts w:hint="eastAsia" w:ascii="宋体" w:hAnsi="宋体"/>
          <w:sz w:val="24"/>
        </w:rPr>
        <w:t>项目（项目编号：</w:t>
      </w:r>
      <w:r>
        <w:rPr>
          <w:rFonts w:hint="eastAsia" w:ascii="宋体" w:hAnsi="宋体"/>
          <w:sz w:val="24"/>
          <w:u w:val="single"/>
        </w:rPr>
        <w:t xml:space="preserve">       </w:t>
      </w:r>
      <w:r>
        <w:rPr>
          <w:rFonts w:hint="eastAsia" w:ascii="宋体" w:hAnsi="宋体"/>
          <w:sz w:val="24"/>
        </w:rPr>
        <w:t>）的政府采购活动。我方在此承诺：</w:t>
      </w:r>
    </w:p>
    <w:p>
      <w:pPr>
        <w:spacing w:line="360" w:lineRule="auto"/>
        <w:ind w:firstLine="480" w:firstLineChars="200"/>
        <w:contextualSpacing/>
        <w:jc w:val="left"/>
        <w:rPr>
          <w:rFonts w:ascii="宋体" w:hAnsi="宋体"/>
          <w:szCs w:val="21"/>
        </w:rPr>
      </w:pPr>
      <w:r>
        <w:rPr>
          <w:rFonts w:hint="eastAsia" w:ascii="宋体" w:hAnsi="宋体"/>
          <w:sz w:val="24"/>
        </w:rPr>
        <w:t>我方没有处于被责令停业，投标资格被取消，财产被接管、冻结，破产状态。没有处于被交通运输部在全国范围内取消投标资格或禁止进入水运工程建设市场且处于有效期内的行政处罚，没有处于被住房和城乡建设部做出在全国范围内暂停投标活动或责令整改且处于有效期内的行政处罚，没有处于被广西壮族自治区交通运输厅取消投标资格或禁止进入广西水运工程建设市场且处于有效期内的行政处罚，没有处于被广西壮族自治区住房和城乡建设厅作出在广西暂停投标活动或责令整改且处于有效期内的行政处罚；我方没有处于财产被接管、冻结、破产的状态；投标截止时间前3年内供应商没有因骗取中标、没有因重大工程质量事故受到行政主管部门的处罚或通报。</w:t>
      </w:r>
    </w:p>
    <w:p>
      <w:pPr>
        <w:spacing w:line="360" w:lineRule="auto"/>
        <w:ind w:firstLine="420" w:firstLineChars="200"/>
        <w:contextualSpacing/>
        <w:jc w:val="left"/>
        <w:rPr>
          <w:rFonts w:ascii="宋体" w:hAnsi="宋体"/>
          <w:szCs w:val="21"/>
        </w:rPr>
      </w:pPr>
    </w:p>
    <w:p>
      <w:pPr>
        <w:spacing w:line="360" w:lineRule="auto"/>
        <w:ind w:firstLine="420" w:firstLineChars="200"/>
        <w:contextualSpacing/>
        <w:jc w:val="left"/>
        <w:rPr>
          <w:rFonts w:ascii="宋体" w:hAnsi="宋体"/>
          <w:szCs w:val="21"/>
        </w:rPr>
      </w:pPr>
    </w:p>
    <w:p>
      <w:pPr>
        <w:spacing w:line="360" w:lineRule="auto"/>
        <w:ind w:firstLine="480" w:firstLineChars="200"/>
        <w:contextualSpacing/>
        <w:jc w:val="left"/>
        <w:rPr>
          <w:rFonts w:ascii="宋体" w:hAnsi="宋体"/>
          <w:sz w:val="24"/>
        </w:rPr>
      </w:pPr>
      <w:r>
        <w:rPr>
          <w:rFonts w:hint="eastAsia" w:ascii="宋体" w:hAnsi="宋体"/>
          <w:sz w:val="24"/>
        </w:rPr>
        <w:t>以上事项如有虚假或者隐瞒，我方愿意承担一切后果，并不再寻求任何旨在减轻或者免除法律责任的辩解。</w:t>
      </w:r>
    </w:p>
    <w:p>
      <w:pPr>
        <w:spacing w:line="360" w:lineRule="auto"/>
        <w:ind w:firstLine="480" w:firstLineChars="200"/>
        <w:contextualSpacing/>
        <w:jc w:val="left"/>
        <w:rPr>
          <w:rFonts w:ascii="宋体" w:hAnsi="宋体"/>
          <w:sz w:val="24"/>
        </w:rPr>
      </w:pPr>
      <w:r>
        <w:rPr>
          <w:rFonts w:hint="eastAsia" w:ascii="宋体" w:hAnsi="宋体"/>
          <w:sz w:val="24"/>
        </w:rPr>
        <w:t>特此承诺。</w:t>
      </w:r>
    </w:p>
    <w:p>
      <w:pPr>
        <w:spacing w:line="360" w:lineRule="auto"/>
        <w:contextualSpacing/>
        <w:jc w:val="left"/>
        <w:rPr>
          <w:rFonts w:ascii="宋体" w:hAnsi="宋体"/>
          <w:b/>
          <w:sz w:val="24"/>
        </w:rPr>
      </w:pPr>
      <w:r>
        <w:rPr>
          <w:rFonts w:hint="eastAsia" w:ascii="宋体" w:hAnsi="宋体"/>
          <w:b/>
          <w:sz w:val="24"/>
        </w:rPr>
        <w:t>注：如为联合体投标，盖章处须加盖联合体各方公章或电子签章并由联合体各方法定代表人分别签字或者电子签名，否则投标无效。</w:t>
      </w:r>
    </w:p>
    <w:p>
      <w:pPr>
        <w:snapToGrid w:val="0"/>
        <w:spacing w:line="360" w:lineRule="auto"/>
        <w:ind w:right="482" w:firstLine="2400" w:firstLineChars="1000"/>
        <w:rPr>
          <w:rFonts w:ascii="宋体" w:hAnsi="宋体"/>
          <w:sz w:val="24"/>
        </w:rPr>
      </w:pPr>
    </w:p>
    <w:p>
      <w:pPr>
        <w:snapToGrid w:val="0"/>
        <w:spacing w:line="360" w:lineRule="auto"/>
        <w:ind w:right="482" w:firstLine="2400" w:firstLineChars="1000"/>
        <w:rPr>
          <w:rFonts w:ascii="宋体" w:hAnsi="宋体"/>
          <w:sz w:val="24"/>
        </w:rPr>
      </w:pPr>
      <w:r>
        <w:rPr>
          <w:rFonts w:hint="eastAsia" w:ascii="宋体" w:hAnsi="宋体"/>
          <w:sz w:val="24"/>
        </w:rPr>
        <w:t>法定代表人或者委托代理人（签字或电子签名）：</w:t>
      </w:r>
      <w:r>
        <w:rPr>
          <w:rFonts w:hint="eastAsia" w:ascii="宋体" w:hAnsi="宋体"/>
          <w:sz w:val="24"/>
          <w:u w:val="single"/>
        </w:rPr>
        <w:t xml:space="preserve">      </w:t>
      </w:r>
    </w:p>
    <w:p>
      <w:pPr>
        <w:spacing w:line="360" w:lineRule="auto"/>
        <w:contextualSpacing/>
        <w:jc w:val="left"/>
        <w:rPr>
          <w:rFonts w:ascii="宋体" w:hAnsi="宋体"/>
          <w:sz w:val="24"/>
        </w:rPr>
      </w:pPr>
      <w:r>
        <w:rPr>
          <w:rFonts w:hint="eastAsia" w:ascii="宋体" w:hAnsi="宋体"/>
          <w:sz w:val="24"/>
        </w:rPr>
        <w:t xml:space="preserve">                                          投标人名称（电子签章）：</w:t>
      </w:r>
      <w:r>
        <w:rPr>
          <w:rFonts w:hint="eastAsia" w:ascii="宋体" w:hAnsi="宋体"/>
          <w:sz w:val="24"/>
          <w:u w:val="single"/>
        </w:rPr>
        <w:t xml:space="preserve">        </w:t>
      </w:r>
    </w:p>
    <w:p>
      <w:pPr>
        <w:spacing w:line="360" w:lineRule="auto"/>
        <w:ind w:firstLine="480" w:firstLineChars="200"/>
        <w:contextualSpacing/>
        <w:jc w:val="left"/>
        <w:rPr>
          <w:rFonts w:ascii="宋体" w:hAnsi="宋体"/>
          <w:sz w:val="24"/>
        </w:rPr>
      </w:pPr>
      <w:r>
        <w:rPr>
          <w:rFonts w:hint="eastAsia" w:ascii="宋体" w:hAnsi="宋体"/>
          <w:sz w:val="24"/>
        </w:rPr>
        <w:t xml:space="preserve">                                                  年    月    日</w:t>
      </w:r>
    </w:p>
    <w:p>
      <w:pPr>
        <w:spacing w:line="360" w:lineRule="auto"/>
        <w:ind w:firstLine="480" w:firstLineChars="200"/>
        <w:contextualSpacing/>
        <w:jc w:val="left"/>
        <w:rPr>
          <w:rFonts w:ascii="宋体" w:hAnsi="宋体"/>
          <w:sz w:val="24"/>
        </w:rPr>
      </w:pPr>
    </w:p>
    <w:p>
      <w:pPr>
        <w:spacing w:line="360" w:lineRule="auto"/>
        <w:ind w:firstLine="480" w:firstLineChars="200"/>
        <w:contextualSpacing/>
        <w:jc w:val="left"/>
        <w:rPr>
          <w:rFonts w:ascii="宋体" w:hAnsi="宋体"/>
          <w:sz w:val="24"/>
        </w:rPr>
      </w:pPr>
    </w:p>
    <w:p>
      <w:pPr>
        <w:snapToGrid w:val="0"/>
        <w:spacing w:before="120" w:beforeLines="50" w:after="50" w:line="360" w:lineRule="auto"/>
        <w:outlineLvl w:val="1"/>
        <w:rPr>
          <w:rFonts w:ascii="宋体" w:hAnsi="宋体"/>
          <w:b/>
          <w:bCs/>
          <w:sz w:val="28"/>
          <w:szCs w:val="28"/>
        </w:rPr>
      </w:pPr>
      <w:bookmarkStart w:id="573" w:name="_Toc19686838"/>
      <w:r>
        <w:rPr>
          <w:rFonts w:ascii="宋体" w:hAnsi="宋体"/>
          <w:b/>
          <w:bCs/>
          <w:sz w:val="28"/>
          <w:szCs w:val="28"/>
        </w:rPr>
        <w:br w:type="page"/>
      </w:r>
      <w:r>
        <w:rPr>
          <w:rFonts w:hint="eastAsia" w:ascii="宋体" w:hAnsi="宋体"/>
          <w:b/>
          <w:bCs/>
          <w:sz w:val="28"/>
          <w:szCs w:val="28"/>
        </w:rPr>
        <w:t>四、商务文件格式</w:t>
      </w:r>
      <w:bookmarkEnd w:id="573"/>
    </w:p>
    <w:p>
      <w:pPr>
        <w:snapToGrid w:val="0"/>
        <w:spacing w:before="120" w:beforeLines="50" w:after="50" w:line="360" w:lineRule="auto"/>
        <w:jc w:val="left"/>
        <w:rPr>
          <w:rFonts w:ascii="宋体" w:hAnsi="宋体"/>
          <w:b/>
          <w:sz w:val="24"/>
        </w:rPr>
      </w:pPr>
      <w:r>
        <w:rPr>
          <w:rFonts w:hint="eastAsia" w:ascii="宋体" w:hAnsi="宋体"/>
          <w:b/>
          <w:sz w:val="24"/>
        </w:rPr>
        <w:t xml:space="preserve">1.商务文件封面格式： </w:t>
      </w:r>
    </w:p>
    <w:p>
      <w:pPr>
        <w:snapToGrid w:val="0"/>
        <w:spacing w:before="120" w:beforeLines="50" w:after="50"/>
        <w:rPr>
          <w:rFonts w:ascii="宋体" w:hAnsi="宋体"/>
          <w:bCs/>
          <w:sz w:val="32"/>
          <w:szCs w:val="20"/>
        </w:rPr>
      </w:pPr>
      <w:r>
        <w:rPr>
          <w:rFonts w:hint="eastAsia" w:ascii="宋体" w:hAnsi="宋体"/>
          <w:sz w:val="24"/>
        </w:rPr>
        <w:t xml:space="preserve">                                                    </w:t>
      </w:r>
      <w:r>
        <w:rPr>
          <w:rFonts w:ascii="宋体" w:hAnsi="宋体" w:cs="宋体"/>
          <w:spacing w:val="-2"/>
          <w:szCs w:val="21"/>
        </w:rPr>
        <w:t>全流程电子文件</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
          <w:sz w:val="24"/>
          <w:szCs w:val="20"/>
        </w:rPr>
      </w:pPr>
      <w:r>
        <w:rPr>
          <w:rFonts w:hint="eastAsia" w:ascii="宋体" w:hAnsi="宋体"/>
          <w:b/>
          <w:sz w:val="32"/>
          <w:szCs w:val="32"/>
        </w:rPr>
        <w:t>商务文件</w:t>
      </w:r>
    </w:p>
    <w:p>
      <w:pPr>
        <w:snapToGrid w:val="0"/>
        <w:spacing w:before="120" w:beforeLines="50" w:after="50"/>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项目名称：</w:t>
      </w:r>
    </w:p>
    <w:p>
      <w:pPr>
        <w:snapToGrid w:val="0"/>
        <w:spacing w:before="120" w:beforeLines="50" w:after="50"/>
        <w:ind w:firstLine="540" w:firstLineChars="225"/>
        <w:rPr>
          <w:rFonts w:ascii="宋体" w:hAnsi="宋体"/>
          <w:bCs/>
          <w:sz w:val="24"/>
          <w:szCs w:val="20"/>
        </w:rPr>
      </w:pPr>
    </w:p>
    <w:p>
      <w:pPr>
        <w:snapToGrid w:val="0"/>
        <w:spacing w:before="120" w:beforeLines="50" w:after="50"/>
        <w:ind w:firstLine="540" w:firstLineChars="225"/>
        <w:rPr>
          <w:rFonts w:ascii="宋体" w:hAnsi="宋体"/>
          <w:bCs/>
          <w:sz w:val="24"/>
        </w:rPr>
      </w:pPr>
      <w:r>
        <w:rPr>
          <w:rFonts w:hint="eastAsia" w:ascii="宋体" w:hAnsi="宋体"/>
          <w:bCs/>
          <w:sz w:val="24"/>
        </w:rPr>
        <w:t>项目编号：</w:t>
      </w:r>
    </w:p>
    <w:p>
      <w:pPr>
        <w:snapToGrid w:val="0"/>
        <w:spacing w:before="120" w:beforeLines="50" w:after="50"/>
        <w:ind w:firstLine="540" w:firstLineChars="225"/>
        <w:rPr>
          <w:rFonts w:ascii="宋体" w:hAnsi="宋体"/>
          <w:bCs/>
          <w:sz w:val="24"/>
          <w:szCs w:val="20"/>
        </w:rPr>
      </w:pPr>
      <w:r>
        <w:rPr>
          <w:rFonts w:hint="eastAsia" w:ascii="宋体" w:hAnsi="宋体"/>
          <w:bCs/>
          <w:sz w:val="24"/>
        </w:rPr>
        <w:t xml:space="preserve"> </w:t>
      </w:r>
    </w:p>
    <w:p>
      <w:pPr>
        <w:snapToGrid w:val="0"/>
        <w:spacing w:before="120" w:beforeLines="50" w:after="50"/>
        <w:ind w:firstLine="540" w:firstLineChars="225"/>
        <w:rPr>
          <w:rFonts w:ascii="宋体" w:hAnsi="宋体"/>
          <w:bCs/>
          <w:sz w:val="24"/>
        </w:rPr>
      </w:pPr>
      <w:r>
        <w:rPr>
          <w:rFonts w:hint="eastAsia" w:ascii="宋体" w:hAnsi="宋体"/>
          <w:bCs/>
          <w:sz w:val="24"/>
        </w:rPr>
        <w:t>所投分标：</w:t>
      </w:r>
    </w:p>
    <w:p>
      <w:pPr>
        <w:snapToGrid w:val="0"/>
        <w:spacing w:before="120" w:beforeLines="50" w:after="50"/>
        <w:ind w:firstLine="540" w:firstLineChars="225"/>
        <w:rPr>
          <w:rFonts w:ascii="宋体" w:hAnsi="宋体"/>
          <w:bCs/>
          <w:sz w:val="24"/>
          <w:szCs w:val="20"/>
        </w:rPr>
      </w:pPr>
    </w:p>
    <w:p>
      <w:pPr>
        <w:pStyle w:val="7"/>
        <w:snapToGrid w:val="0"/>
        <w:spacing w:before="50" w:after="50"/>
        <w:ind w:firstLine="540" w:firstLineChars="225"/>
        <w:rPr>
          <w:rFonts w:ascii="宋体" w:hAnsi="宋体"/>
          <w:bCs/>
          <w:sz w:val="24"/>
          <w:szCs w:val="24"/>
        </w:rPr>
      </w:pPr>
      <w:r>
        <w:rPr>
          <w:rFonts w:hint="eastAsia" w:ascii="宋体" w:hAnsi="宋体"/>
          <w:bCs/>
          <w:sz w:val="24"/>
          <w:szCs w:val="24"/>
        </w:rPr>
        <w:t>投标人名称：</w:t>
      </w:r>
    </w:p>
    <w:p>
      <w:pPr>
        <w:pStyle w:val="7"/>
        <w:snapToGrid w:val="0"/>
        <w:spacing w:before="50" w:after="50"/>
        <w:ind w:firstLine="540" w:firstLineChars="225"/>
        <w:rPr>
          <w:rFonts w:ascii="宋体" w:hAnsi="宋体"/>
          <w:bCs/>
          <w:sz w:val="24"/>
          <w:szCs w:val="24"/>
        </w:rPr>
      </w:pPr>
    </w:p>
    <w:p>
      <w:pPr>
        <w:pStyle w:val="7"/>
        <w:snapToGrid w:val="0"/>
        <w:spacing w:before="50" w:after="50"/>
        <w:ind w:firstLine="540" w:firstLineChars="225"/>
        <w:rPr>
          <w:rFonts w:ascii="宋体" w:hAnsi="宋体"/>
          <w:bCs/>
          <w:sz w:val="24"/>
          <w:szCs w:val="24"/>
        </w:rPr>
      </w:pPr>
      <w:r>
        <w:rPr>
          <w:rFonts w:hint="eastAsia" w:ascii="宋体" w:hAnsi="宋体"/>
          <w:bCs/>
          <w:sz w:val="24"/>
          <w:szCs w:val="24"/>
        </w:rPr>
        <w:t>投标人地址：</w:t>
      </w:r>
    </w:p>
    <w:p>
      <w:pPr>
        <w:pStyle w:val="7"/>
        <w:snapToGrid w:val="0"/>
        <w:spacing w:before="50" w:after="50"/>
        <w:ind w:firstLine="960" w:firstLineChars="400"/>
        <w:rPr>
          <w:rFonts w:ascii="宋体" w:hAnsi="宋体"/>
          <w:bCs/>
          <w:sz w:val="24"/>
          <w:szCs w:val="24"/>
        </w:rPr>
      </w:pPr>
    </w:p>
    <w:p>
      <w:pPr>
        <w:snapToGrid w:val="0"/>
        <w:spacing w:before="120" w:beforeLines="50" w:after="50"/>
        <w:ind w:firstLine="645"/>
        <w:rPr>
          <w:rFonts w:ascii="宋体" w:hAnsi="宋体"/>
          <w:sz w:val="24"/>
        </w:rPr>
      </w:pPr>
      <w:r>
        <w:rPr>
          <w:rFonts w:hint="eastAsia" w:ascii="宋体" w:hAnsi="宋体"/>
          <w:sz w:val="24"/>
        </w:rPr>
        <w:t xml:space="preserve">                        年  月  日</w:t>
      </w:r>
    </w:p>
    <w:p>
      <w:pPr>
        <w:snapToGrid w:val="0"/>
        <w:spacing w:before="120" w:beforeLines="50" w:after="50"/>
        <w:rPr>
          <w:rFonts w:ascii="宋体" w:hAnsi="宋体"/>
          <w:sz w:val="24"/>
          <w:szCs w:val="20"/>
        </w:rPr>
      </w:pPr>
      <w:r>
        <w:rPr>
          <w:rFonts w:ascii="宋体" w:hAnsi="宋体"/>
          <w:sz w:val="24"/>
          <w:szCs w:val="20"/>
        </w:rPr>
        <w:t xml:space="preserve"> </w:t>
      </w:r>
    </w:p>
    <w:p>
      <w:pPr>
        <w:snapToGrid w:val="0"/>
        <w:spacing w:line="360" w:lineRule="auto"/>
        <w:jc w:val="left"/>
        <w:rPr>
          <w:rFonts w:ascii="宋体" w:hAnsi="宋体"/>
          <w:b/>
          <w:bCs/>
          <w:sz w:val="28"/>
          <w:szCs w:val="28"/>
        </w:rPr>
      </w:pPr>
      <w:r>
        <w:rPr>
          <w:rFonts w:ascii="宋体" w:hAnsi="宋体"/>
          <w:sz w:val="24"/>
          <w:szCs w:val="20"/>
        </w:rPr>
        <w:br w:type="page"/>
      </w:r>
      <w:r>
        <w:rPr>
          <w:rFonts w:hint="eastAsia" w:ascii="宋体" w:hAnsi="宋体"/>
          <w:b/>
          <w:bCs/>
          <w:sz w:val="28"/>
          <w:szCs w:val="28"/>
        </w:rPr>
        <w:t>2.商务文件目录</w:t>
      </w:r>
    </w:p>
    <w:p>
      <w:pPr>
        <w:snapToGrid w:val="0"/>
        <w:spacing w:before="50" w:after="120" w:afterLines="50" w:line="360" w:lineRule="auto"/>
        <w:jc w:val="left"/>
        <w:rPr>
          <w:rFonts w:ascii="微软雅黑" w:hAnsi="微软雅黑" w:eastAsia="微软雅黑"/>
          <w:b/>
          <w:bCs/>
          <w:sz w:val="24"/>
        </w:rPr>
      </w:pPr>
      <w:r>
        <w:rPr>
          <w:rFonts w:hint="eastAsia" w:ascii="宋体" w:hAnsi="宋体"/>
          <w:szCs w:val="21"/>
        </w:rPr>
        <w:t>根据招标文件规定及投标人提供的材料自行编写目录。</w:t>
      </w:r>
    </w:p>
    <w:p>
      <w:pPr>
        <w:snapToGrid w:val="0"/>
        <w:spacing w:before="50" w:after="120" w:afterLines="50"/>
        <w:jc w:val="left"/>
        <w:rPr>
          <w:rFonts w:ascii="宋体" w:hAnsi="宋体"/>
        </w:rPr>
      </w:pPr>
    </w:p>
    <w:p>
      <w:pPr>
        <w:snapToGrid w:val="0"/>
        <w:spacing w:before="120" w:beforeLines="50" w:after="50"/>
        <w:jc w:val="left"/>
        <w:rPr>
          <w:rFonts w:ascii="宋体" w:hAnsi="宋体"/>
          <w:b/>
          <w:sz w:val="24"/>
        </w:rPr>
      </w:pPr>
      <w:r>
        <w:rPr>
          <w:rFonts w:ascii="宋体" w:hAnsi="宋体"/>
          <w:b/>
          <w:sz w:val="24"/>
        </w:rPr>
        <w:br w:type="page"/>
      </w:r>
      <w:r>
        <w:rPr>
          <w:rFonts w:hint="eastAsia" w:ascii="宋体" w:hAnsi="宋体"/>
          <w:b/>
          <w:sz w:val="24"/>
        </w:rPr>
        <w:t>3.投标人参加本项目无围标串标行为的承诺</w:t>
      </w:r>
    </w:p>
    <w:p>
      <w:pPr>
        <w:snapToGrid w:val="0"/>
        <w:spacing w:before="120" w:beforeLines="50" w:after="50"/>
        <w:jc w:val="left"/>
        <w:rPr>
          <w:rFonts w:ascii="宋体" w:hAnsi="宋体"/>
          <w:b/>
          <w:sz w:val="24"/>
        </w:rPr>
      </w:pPr>
    </w:p>
    <w:p>
      <w:pPr>
        <w:snapToGrid w:val="0"/>
        <w:spacing w:before="120" w:beforeLines="50" w:after="50"/>
        <w:ind w:left="420"/>
        <w:jc w:val="center"/>
        <w:rPr>
          <w:rFonts w:ascii="宋体" w:hAnsi="宋体"/>
          <w:b/>
          <w:sz w:val="32"/>
          <w:szCs w:val="32"/>
        </w:rPr>
      </w:pPr>
      <w:r>
        <w:rPr>
          <w:rFonts w:hint="eastAsia" w:ascii="宋体" w:hAnsi="宋体"/>
          <w:b/>
          <w:sz w:val="32"/>
          <w:szCs w:val="32"/>
        </w:rPr>
        <w:t>投标人参加本项目无围标串标行为的承诺函</w:t>
      </w:r>
    </w:p>
    <w:p>
      <w:pPr>
        <w:snapToGrid w:val="0"/>
        <w:spacing w:before="120" w:beforeLines="50" w:after="50"/>
        <w:rPr>
          <w:rFonts w:ascii="宋体" w:hAnsi="宋体"/>
          <w:b/>
          <w:sz w:val="24"/>
        </w:rPr>
      </w:pPr>
    </w:p>
    <w:p>
      <w:pPr>
        <w:spacing w:line="360" w:lineRule="auto"/>
        <w:contextualSpacing/>
        <w:jc w:val="left"/>
        <w:rPr>
          <w:rFonts w:ascii="宋体" w:hAnsi="宋体"/>
          <w:b/>
          <w:sz w:val="24"/>
        </w:rPr>
      </w:pPr>
      <w:r>
        <w:rPr>
          <w:rFonts w:hint="eastAsia" w:ascii="宋体" w:hAnsi="宋体"/>
          <w:b/>
          <w:sz w:val="24"/>
        </w:rPr>
        <w:t>一、我方承诺无下列相互串通投标的情形：</w:t>
      </w:r>
    </w:p>
    <w:p>
      <w:pPr>
        <w:spacing w:line="360" w:lineRule="auto"/>
        <w:ind w:firstLine="470" w:firstLineChars="196"/>
        <w:contextualSpacing/>
        <w:jc w:val="left"/>
        <w:rPr>
          <w:rFonts w:ascii="宋体" w:hAnsi="宋体"/>
          <w:sz w:val="24"/>
        </w:rPr>
      </w:pPr>
      <w:r>
        <w:rPr>
          <w:rFonts w:hint="eastAsia" w:ascii="宋体" w:hAnsi="宋体"/>
          <w:sz w:val="24"/>
        </w:rPr>
        <w:t xml:space="preserve">1.不同投标人的投标文件由同一单位或者个人编制； </w:t>
      </w:r>
    </w:p>
    <w:p>
      <w:pPr>
        <w:spacing w:line="360" w:lineRule="auto"/>
        <w:ind w:firstLine="470" w:firstLineChars="196"/>
        <w:contextualSpacing/>
        <w:jc w:val="left"/>
        <w:rPr>
          <w:rFonts w:ascii="宋体" w:hAnsi="宋体"/>
          <w:sz w:val="24"/>
        </w:rPr>
      </w:pPr>
      <w:r>
        <w:rPr>
          <w:rFonts w:hint="eastAsia" w:ascii="宋体" w:hAnsi="宋体"/>
          <w:sz w:val="24"/>
        </w:rPr>
        <w:t>2.不同投标人委托同一单位或者个人办理投标事宜；</w:t>
      </w:r>
    </w:p>
    <w:p>
      <w:pPr>
        <w:spacing w:line="360" w:lineRule="auto"/>
        <w:ind w:firstLine="470" w:firstLineChars="196"/>
        <w:contextualSpacing/>
        <w:jc w:val="left"/>
        <w:rPr>
          <w:rFonts w:ascii="宋体" w:hAnsi="宋体"/>
          <w:sz w:val="24"/>
        </w:rPr>
      </w:pPr>
      <w:r>
        <w:rPr>
          <w:rFonts w:hint="eastAsia" w:ascii="宋体" w:hAnsi="宋体"/>
          <w:sz w:val="24"/>
        </w:rPr>
        <w:t>3.不同的投标人的投标文件载明的项目管理员为同一个人；</w:t>
      </w:r>
    </w:p>
    <w:p>
      <w:pPr>
        <w:spacing w:line="360" w:lineRule="auto"/>
        <w:ind w:firstLine="470" w:firstLineChars="196"/>
        <w:contextualSpacing/>
        <w:jc w:val="left"/>
        <w:rPr>
          <w:rFonts w:ascii="宋体" w:hAnsi="宋体"/>
          <w:sz w:val="24"/>
        </w:rPr>
      </w:pPr>
      <w:r>
        <w:rPr>
          <w:rFonts w:hint="eastAsia" w:ascii="宋体" w:hAnsi="宋体"/>
          <w:sz w:val="24"/>
        </w:rPr>
        <w:t>4.不同投标人的投标文件异常一致或者投标报价呈规律性差异；</w:t>
      </w:r>
    </w:p>
    <w:p>
      <w:pPr>
        <w:spacing w:line="360" w:lineRule="auto"/>
        <w:ind w:firstLine="470" w:firstLineChars="196"/>
        <w:contextualSpacing/>
        <w:jc w:val="left"/>
        <w:rPr>
          <w:rFonts w:ascii="宋体" w:hAnsi="宋体"/>
          <w:sz w:val="24"/>
        </w:rPr>
      </w:pPr>
      <w:r>
        <w:rPr>
          <w:rFonts w:hint="eastAsia" w:ascii="宋体" w:hAnsi="宋体"/>
          <w:sz w:val="24"/>
        </w:rPr>
        <w:t>5.不同投标人的投标文件相互混装；</w:t>
      </w:r>
    </w:p>
    <w:p>
      <w:pPr>
        <w:spacing w:line="360" w:lineRule="auto"/>
        <w:ind w:firstLine="470" w:firstLineChars="196"/>
        <w:contextualSpacing/>
        <w:jc w:val="left"/>
        <w:rPr>
          <w:rFonts w:ascii="宋体" w:hAnsi="宋体"/>
          <w:sz w:val="24"/>
        </w:rPr>
      </w:pPr>
      <w:r>
        <w:rPr>
          <w:rFonts w:hint="eastAsia" w:ascii="宋体" w:hAnsi="宋体"/>
          <w:sz w:val="24"/>
        </w:rPr>
        <w:t>6.不同投标人的投标保证金从同一单位或者个人账户转出。</w:t>
      </w:r>
    </w:p>
    <w:p>
      <w:pPr>
        <w:spacing w:line="360" w:lineRule="auto"/>
        <w:contextualSpacing/>
        <w:jc w:val="left"/>
        <w:rPr>
          <w:rFonts w:ascii="宋体" w:hAnsi="宋体"/>
          <w:sz w:val="24"/>
        </w:rPr>
      </w:pPr>
      <w:r>
        <w:rPr>
          <w:rFonts w:hint="eastAsia" w:ascii="宋体" w:hAnsi="宋体"/>
          <w:b/>
          <w:sz w:val="24"/>
        </w:rPr>
        <w:t>二、我方承诺无下列恶意串通的情形：</w:t>
      </w:r>
    </w:p>
    <w:p>
      <w:pPr>
        <w:spacing w:line="360" w:lineRule="auto"/>
        <w:ind w:firstLine="470" w:firstLineChars="196"/>
        <w:contextualSpacing/>
        <w:jc w:val="left"/>
        <w:rPr>
          <w:rFonts w:ascii="宋体" w:hAnsi="宋体"/>
          <w:sz w:val="24"/>
        </w:rPr>
      </w:pPr>
      <w:r>
        <w:rPr>
          <w:rFonts w:hint="eastAsia" w:ascii="宋体" w:hAnsi="宋体"/>
          <w:sz w:val="24"/>
        </w:rPr>
        <w:t>1.投标人直接或者间接从采购人或者采购代理机构处获得其他投标人的相关信息并修改其投标文件或者投标文件；</w:t>
      </w:r>
    </w:p>
    <w:p>
      <w:pPr>
        <w:spacing w:line="360" w:lineRule="auto"/>
        <w:ind w:firstLine="470" w:firstLineChars="196"/>
        <w:contextualSpacing/>
        <w:jc w:val="left"/>
        <w:rPr>
          <w:rFonts w:ascii="宋体" w:hAnsi="宋体"/>
          <w:sz w:val="24"/>
        </w:rPr>
      </w:pPr>
      <w:r>
        <w:rPr>
          <w:rFonts w:hint="eastAsia" w:ascii="宋体" w:hAnsi="宋体"/>
          <w:sz w:val="24"/>
        </w:rPr>
        <w:t>2.投标人按照采购人或者采购代理机构的授意撤换、修改投标文件或者投标文件；</w:t>
      </w:r>
    </w:p>
    <w:p>
      <w:pPr>
        <w:spacing w:line="360" w:lineRule="auto"/>
        <w:ind w:firstLine="470" w:firstLineChars="196"/>
        <w:contextualSpacing/>
        <w:jc w:val="left"/>
        <w:rPr>
          <w:rFonts w:ascii="宋体" w:hAnsi="宋体"/>
          <w:sz w:val="24"/>
        </w:rPr>
      </w:pPr>
      <w:r>
        <w:rPr>
          <w:rFonts w:hint="eastAsia" w:ascii="宋体" w:hAnsi="宋体"/>
          <w:sz w:val="24"/>
        </w:rPr>
        <w:t>3.投标人之间协商报价、技术方案等投标文件或者投标文件的实质性内容；</w:t>
      </w:r>
    </w:p>
    <w:p>
      <w:pPr>
        <w:spacing w:line="360" w:lineRule="auto"/>
        <w:ind w:firstLine="470" w:firstLineChars="196"/>
        <w:contextualSpacing/>
        <w:jc w:val="left"/>
        <w:rPr>
          <w:rFonts w:ascii="宋体" w:hAnsi="宋体"/>
          <w:sz w:val="24"/>
        </w:rPr>
      </w:pPr>
      <w:r>
        <w:rPr>
          <w:rFonts w:hint="eastAsia" w:ascii="宋体" w:hAnsi="宋体"/>
          <w:sz w:val="24"/>
        </w:rPr>
        <w:t>4.属于同一集团、协会、商会等组织成员的投标人按照该组织要求协同参加政府采购活动；</w:t>
      </w:r>
    </w:p>
    <w:p>
      <w:pPr>
        <w:spacing w:line="360" w:lineRule="auto"/>
        <w:ind w:firstLine="470" w:firstLineChars="196"/>
        <w:contextualSpacing/>
        <w:jc w:val="left"/>
        <w:rPr>
          <w:rFonts w:ascii="宋体" w:hAnsi="宋体"/>
          <w:sz w:val="24"/>
        </w:rPr>
      </w:pPr>
      <w:r>
        <w:rPr>
          <w:rFonts w:hint="eastAsia" w:ascii="宋体" w:hAnsi="宋体"/>
          <w:sz w:val="24"/>
        </w:rPr>
        <w:t>5.投标人之间事先约定一致抬高或者压低投标报价，或者在招标项目中事先约定轮流以高价位或者低价位中标，或者事先约定由某一特定投标人中标，然后再参加投标；</w:t>
      </w:r>
    </w:p>
    <w:p>
      <w:pPr>
        <w:spacing w:line="360" w:lineRule="auto"/>
        <w:ind w:firstLine="470" w:firstLineChars="196"/>
        <w:contextualSpacing/>
        <w:jc w:val="left"/>
        <w:rPr>
          <w:rFonts w:ascii="宋体" w:hAnsi="宋体"/>
          <w:sz w:val="24"/>
        </w:rPr>
      </w:pPr>
      <w:r>
        <w:rPr>
          <w:rFonts w:hint="eastAsia" w:ascii="宋体" w:hAnsi="宋体"/>
          <w:sz w:val="24"/>
        </w:rPr>
        <w:t>6.投标人之间商定部分投标人放弃参加政府采购活动或者放弃中标；</w:t>
      </w:r>
    </w:p>
    <w:p>
      <w:pPr>
        <w:spacing w:line="360" w:lineRule="auto"/>
        <w:ind w:firstLine="470" w:firstLineChars="196"/>
        <w:contextualSpacing/>
        <w:jc w:val="left"/>
        <w:rPr>
          <w:rFonts w:ascii="宋体" w:hAnsi="宋体"/>
          <w:sz w:val="24"/>
        </w:rPr>
      </w:pPr>
      <w:r>
        <w:rPr>
          <w:rFonts w:hint="eastAsia" w:ascii="宋体" w:hAnsi="宋体"/>
          <w:sz w:val="24"/>
        </w:rPr>
        <w:t>7.投标人与采购人或者采购代理机构之间、投标人相互之间，为谋求特定投标人中标或者排斥其他投标人的其他串通行为。</w:t>
      </w:r>
    </w:p>
    <w:p>
      <w:pPr>
        <w:spacing w:line="360" w:lineRule="auto"/>
        <w:ind w:firstLine="472" w:firstLineChars="196"/>
        <w:contextualSpacing/>
        <w:jc w:val="left"/>
        <w:rPr>
          <w:rFonts w:ascii="宋体" w:hAnsi="宋体"/>
          <w:b/>
          <w:sz w:val="24"/>
        </w:rPr>
      </w:pPr>
      <w:r>
        <w:rPr>
          <w:rFonts w:hint="eastAsia" w:ascii="宋体" w:hAnsi="宋体"/>
          <w:b/>
          <w:sz w:val="24"/>
        </w:rPr>
        <w:t>以上情形一经核查属实，我方愿意承担一切后果，并不再寻求任何旨在减轻或者免除法律责任的辩解。</w:t>
      </w:r>
    </w:p>
    <w:p>
      <w:pPr>
        <w:pStyle w:val="26"/>
        <w:spacing w:line="360" w:lineRule="auto"/>
        <w:contextualSpacing/>
        <w:jc w:val="center"/>
        <w:rPr>
          <w:rFonts w:hAnsi="宋体"/>
          <w:sz w:val="24"/>
          <w:szCs w:val="24"/>
        </w:rPr>
      </w:pPr>
    </w:p>
    <w:p>
      <w:pPr>
        <w:pStyle w:val="26"/>
        <w:spacing w:line="360" w:lineRule="auto"/>
        <w:contextualSpacing/>
        <w:jc w:val="center"/>
        <w:rPr>
          <w:rFonts w:hAnsi="宋体"/>
          <w:sz w:val="24"/>
          <w:szCs w:val="24"/>
        </w:rPr>
      </w:pPr>
      <w:r>
        <w:rPr>
          <w:rFonts w:hint="eastAsia" w:hAnsi="宋体"/>
          <w:sz w:val="24"/>
          <w:szCs w:val="24"/>
        </w:rPr>
        <w:t xml:space="preserve"> </w:t>
      </w:r>
      <w:r>
        <w:rPr>
          <w:rFonts w:hAnsi="宋体"/>
          <w:sz w:val="24"/>
          <w:szCs w:val="24"/>
        </w:rPr>
        <w:t xml:space="preserve">                                   </w:t>
      </w:r>
      <w:r>
        <w:rPr>
          <w:rFonts w:hint="eastAsia" w:hAnsi="宋体"/>
          <w:sz w:val="24"/>
          <w:szCs w:val="24"/>
        </w:rPr>
        <w:t>投标人名称（电子签章）</w:t>
      </w:r>
    </w:p>
    <w:p>
      <w:pPr>
        <w:pStyle w:val="26"/>
        <w:spacing w:line="360" w:lineRule="auto"/>
        <w:contextualSpacing/>
        <w:rPr>
          <w:rFonts w:hAnsi="宋体"/>
          <w:sz w:val="24"/>
        </w:rPr>
      </w:pPr>
      <w:r>
        <w:rPr>
          <w:rFonts w:hint="eastAsia" w:hAnsi="宋体"/>
          <w:sz w:val="24"/>
        </w:rPr>
        <w:t xml:space="preserve">                                                </w:t>
      </w: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p>
    <w:p>
      <w:pPr>
        <w:snapToGrid w:val="0"/>
        <w:spacing w:before="120" w:beforeLines="50" w:after="50"/>
        <w:ind w:firstLine="472" w:firstLineChars="196"/>
        <w:jc w:val="left"/>
        <w:rPr>
          <w:rFonts w:ascii="宋体" w:hAnsi="宋体"/>
          <w:b/>
          <w:sz w:val="24"/>
          <w:szCs w:val="20"/>
        </w:rPr>
      </w:pPr>
      <w:r>
        <w:rPr>
          <w:rFonts w:ascii="宋体" w:hAnsi="宋体"/>
          <w:b/>
          <w:sz w:val="24"/>
        </w:rPr>
        <w:br w:type="page"/>
      </w:r>
      <w:r>
        <w:rPr>
          <w:rFonts w:hint="eastAsia" w:ascii="宋体" w:hAnsi="宋体"/>
          <w:b/>
          <w:sz w:val="24"/>
        </w:rPr>
        <w:t>4.法定代表人身份证明</w:t>
      </w:r>
    </w:p>
    <w:p>
      <w:pPr>
        <w:spacing w:before="240" w:beforeLines="100" w:after="120" w:afterLines="50"/>
        <w:ind w:left="540"/>
        <w:jc w:val="center"/>
        <w:rPr>
          <w:rFonts w:ascii="宋体" w:hAnsi="Courier New"/>
          <w:b/>
          <w:sz w:val="32"/>
          <w:szCs w:val="32"/>
        </w:rPr>
      </w:pPr>
    </w:p>
    <w:p>
      <w:pPr>
        <w:spacing w:before="240" w:beforeLines="100" w:after="120" w:afterLines="50"/>
        <w:ind w:left="540"/>
        <w:jc w:val="center"/>
        <w:rPr>
          <w:rFonts w:ascii="黑体" w:hAnsi="宋体" w:eastAsia="黑体"/>
          <w:sz w:val="32"/>
          <w:szCs w:val="32"/>
        </w:rPr>
      </w:pPr>
      <w:r>
        <w:rPr>
          <w:rFonts w:hint="eastAsia" w:ascii="宋体" w:hAnsi="Courier New"/>
          <w:b/>
          <w:sz w:val="32"/>
          <w:szCs w:val="32"/>
        </w:rPr>
        <w:t>法定代表人身份证明</w:t>
      </w:r>
    </w:p>
    <w:p>
      <w:pPr>
        <w:spacing w:line="500" w:lineRule="exact"/>
        <w:ind w:left="540"/>
        <w:rPr>
          <w:rFonts w:ascii="宋体" w:hAnsi="宋体"/>
          <w:sz w:val="24"/>
        </w:rPr>
      </w:pPr>
      <w:r>
        <w:rPr>
          <w:rFonts w:hint="eastAsia" w:ascii="宋体" w:hAnsi="宋体"/>
          <w:sz w:val="24"/>
        </w:rPr>
        <w:t>投 标 人：</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地    址：</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pPr>
        <w:spacing w:line="500" w:lineRule="exact"/>
        <w:ind w:left="540"/>
        <w:rPr>
          <w:rFonts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pPr>
        <w:spacing w:line="500" w:lineRule="exact"/>
        <w:ind w:left="540"/>
        <w:rPr>
          <w:rFonts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pPr>
        <w:spacing w:line="500" w:lineRule="exact"/>
        <w:ind w:left="540"/>
        <w:rPr>
          <w:rFonts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pPr>
        <w:spacing w:line="500" w:lineRule="exact"/>
        <w:ind w:left="540"/>
        <w:rPr>
          <w:rFonts w:ascii="宋体" w:hAnsi="宋体"/>
          <w:sz w:val="24"/>
        </w:rPr>
      </w:pPr>
      <w:r>
        <w:rPr>
          <w:rFonts w:hint="eastAsia" w:ascii="宋体" w:hAnsi="宋体"/>
          <w:sz w:val="24"/>
        </w:rPr>
        <w:t>特此证明。</w:t>
      </w:r>
    </w:p>
    <w:p>
      <w:pPr>
        <w:spacing w:line="500" w:lineRule="exact"/>
        <w:ind w:left="540"/>
        <w:rPr>
          <w:rFonts w:ascii="宋体" w:hAnsi="宋体"/>
          <w:sz w:val="24"/>
        </w:rPr>
      </w:pPr>
    </w:p>
    <w:p>
      <w:pPr>
        <w:spacing w:line="500" w:lineRule="exact"/>
        <w:ind w:left="540"/>
        <w:rPr>
          <w:rFonts w:ascii="宋体" w:hAnsi="宋体"/>
          <w:sz w:val="24"/>
        </w:rPr>
      </w:pPr>
    </w:p>
    <w:p>
      <w:pPr>
        <w:spacing w:line="500" w:lineRule="exact"/>
        <w:ind w:left="540"/>
        <w:rPr>
          <w:rFonts w:ascii="宋体" w:hAnsi="宋体"/>
          <w:sz w:val="24"/>
        </w:rPr>
      </w:pPr>
      <w:r>
        <w:rPr>
          <w:rFonts w:hint="eastAsia" w:ascii="宋体" w:hAnsi="宋体"/>
          <w:sz w:val="24"/>
        </w:rPr>
        <w:t>附件：法定代表有效身份证正反面复印件</w:t>
      </w:r>
    </w:p>
    <w:p>
      <w:pPr>
        <w:spacing w:line="500" w:lineRule="exact"/>
        <w:ind w:left="540"/>
        <w:rPr>
          <w:rFonts w:ascii="宋体" w:hAnsi="宋体"/>
          <w:sz w:val="24"/>
        </w:rPr>
      </w:pPr>
    </w:p>
    <w:p>
      <w:pPr>
        <w:spacing w:line="500" w:lineRule="exact"/>
        <w:ind w:left="540"/>
        <w:jc w:val="right"/>
        <w:rPr>
          <w:rFonts w:ascii="宋体" w:hAnsi="宋体"/>
          <w:sz w:val="24"/>
        </w:rPr>
      </w:pPr>
      <w:r>
        <w:rPr>
          <w:rFonts w:hint="eastAsia" w:ascii="宋体" w:hAnsi="宋体"/>
          <w:sz w:val="24"/>
        </w:rPr>
        <w:t>投标人名称（公章）</w:t>
      </w:r>
    </w:p>
    <w:p>
      <w:pPr>
        <w:spacing w:line="500" w:lineRule="exact"/>
        <w:ind w:left="540"/>
        <w:jc w:val="right"/>
        <w:rPr>
          <w:rFonts w:ascii="宋体" w:hAnsi="宋体"/>
          <w:sz w:val="24"/>
        </w:rPr>
      </w:pPr>
    </w:p>
    <w:p>
      <w:pPr>
        <w:snapToGrid w:val="0"/>
        <w:spacing w:before="120" w:beforeLines="50" w:after="50"/>
        <w:ind w:left="540"/>
        <w:jc w:val="right"/>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napToGrid w:val="0"/>
        <w:spacing w:before="120" w:beforeLines="50" w:after="50"/>
        <w:jc w:val="center"/>
        <w:rPr>
          <w:rFonts w:ascii="宋体" w:hAnsi="宋体"/>
          <w:b/>
          <w:sz w:val="24"/>
        </w:rPr>
      </w:pPr>
    </w:p>
    <w:p>
      <w:pPr>
        <w:snapToGrid w:val="0"/>
        <w:spacing w:before="120" w:beforeLines="50" w:after="50"/>
        <w:jc w:val="left"/>
        <w:rPr>
          <w:rFonts w:ascii="宋体" w:hAnsi="宋体"/>
          <w:sz w:val="24"/>
        </w:rPr>
      </w:pPr>
      <w:r>
        <w:rPr>
          <w:rFonts w:hint="eastAsia" w:ascii="宋体" w:hAnsi="宋体"/>
          <w:sz w:val="24"/>
        </w:rPr>
        <w:t>注：自然人投标的无需提供</w:t>
      </w:r>
    </w:p>
    <w:p>
      <w:pPr>
        <w:snapToGrid w:val="0"/>
        <w:spacing w:before="120" w:beforeLines="50" w:after="50"/>
        <w:jc w:val="left"/>
        <w:rPr>
          <w:rFonts w:ascii="宋体" w:hAnsi="宋体"/>
          <w:b/>
          <w:sz w:val="24"/>
          <w:szCs w:val="20"/>
        </w:rPr>
      </w:pPr>
      <w:r>
        <w:rPr>
          <w:rFonts w:ascii="宋体" w:hAnsi="宋体"/>
          <w:sz w:val="24"/>
        </w:rPr>
        <w:br w:type="page"/>
      </w:r>
    </w:p>
    <w:tbl>
      <w:tblPr>
        <w:tblStyle w:val="48"/>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pPr>
              <w:spacing w:line="360" w:lineRule="auto"/>
              <w:rPr>
                <w:rFonts w:ascii="宋体"/>
                <w:b/>
                <w:sz w:val="24"/>
              </w:rPr>
            </w:pPr>
          </w:p>
          <w:p>
            <w:pPr>
              <w:spacing w:line="360" w:lineRule="auto"/>
              <w:rPr>
                <w:rFonts w:ascii="宋体"/>
                <w:b/>
                <w:sz w:val="24"/>
              </w:rPr>
            </w:pPr>
            <w:r>
              <w:rPr>
                <w:rFonts w:hint="eastAsia" w:ascii="宋体"/>
                <w:b/>
                <w:sz w:val="24"/>
              </w:rPr>
              <w:t>法定代表身份证复印件</w:t>
            </w:r>
            <w:r>
              <w:rPr>
                <w:rFonts w:hint="eastAsia" w:ascii="宋体"/>
                <w:b/>
                <w:sz w:val="24"/>
                <w:lang w:eastAsia="zh-CN"/>
              </w:rPr>
              <w:t>粘贴</w:t>
            </w:r>
            <w:r>
              <w:rPr>
                <w:rFonts w:hint="eastAsia" w:ascii="宋体"/>
                <w:b/>
                <w:sz w:val="24"/>
              </w:rPr>
              <w:t>处（正、反面）</w:t>
            </w:r>
          </w:p>
        </w:tc>
      </w:tr>
    </w:tbl>
    <w:p>
      <w:pPr>
        <w:snapToGrid w:val="0"/>
        <w:spacing w:before="120" w:beforeLines="50" w:after="50"/>
        <w:jc w:val="left"/>
        <w:rPr>
          <w:rFonts w:ascii="宋体" w:hAnsi="宋体"/>
          <w:b/>
          <w:sz w:val="24"/>
          <w:szCs w:val="20"/>
        </w:rPr>
      </w:pPr>
      <w:r>
        <w:rPr>
          <w:rFonts w:hint="eastAsia" w:ascii="宋体" w:hAnsi="宋体"/>
          <w:b/>
          <w:sz w:val="24"/>
          <w:szCs w:val="20"/>
        </w:rPr>
        <w:t>附件</w:t>
      </w:r>
    </w:p>
    <w:p>
      <w:pPr>
        <w:snapToGrid w:val="0"/>
        <w:spacing w:before="120" w:beforeLines="50" w:after="50"/>
        <w:jc w:val="left"/>
        <w:rPr>
          <w:rFonts w:ascii="宋体" w:hAnsi="宋体"/>
          <w:b/>
          <w:sz w:val="24"/>
          <w:szCs w:val="20"/>
        </w:rPr>
      </w:pPr>
      <w:r>
        <w:rPr>
          <w:rFonts w:ascii="宋体" w:hAnsi="宋体"/>
          <w:b/>
          <w:sz w:val="24"/>
        </w:rPr>
        <w:br w:type="page"/>
      </w:r>
      <w:r>
        <w:rPr>
          <w:rFonts w:hint="eastAsia" w:ascii="宋体" w:hAnsi="宋体"/>
          <w:b/>
          <w:sz w:val="24"/>
        </w:rPr>
        <w:t>5.授权委托书格式</w:t>
      </w:r>
    </w:p>
    <w:p>
      <w:pPr>
        <w:snapToGrid w:val="0"/>
        <w:spacing w:before="120" w:beforeLines="50" w:after="50"/>
        <w:jc w:val="center"/>
        <w:rPr>
          <w:rFonts w:ascii="宋体" w:hAnsi="宋体"/>
          <w:b/>
          <w:sz w:val="44"/>
          <w:szCs w:val="44"/>
        </w:rPr>
      </w:pPr>
    </w:p>
    <w:p>
      <w:pPr>
        <w:snapToGrid w:val="0"/>
        <w:spacing w:before="120" w:beforeLines="50" w:after="50"/>
        <w:jc w:val="center"/>
        <w:rPr>
          <w:rFonts w:ascii="宋体" w:hAnsi="宋体"/>
          <w:b/>
          <w:sz w:val="32"/>
          <w:szCs w:val="32"/>
        </w:rPr>
      </w:pPr>
      <w:r>
        <w:rPr>
          <w:rFonts w:hint="eastAsia" w:ascii="宋体" w:hAnsi="宋体"/>
          <w:b/>
          <w:sz w:val="32"/>
          <w:szCs w:val="32"/>
        </w:rPr>
        <w:t>授权委托书</w:t>
      </w:r>
    </w:p>
    <w:p>
      <w:pPr>
        <w:snapToGrid w:val="0"/>
        <w:spacing w:before="120" w:beforeLines="50" w:after="50"/>
        <w:jc w:val="center"/>
        <w:rPr>
          <w:rFonts w:ascii="宋体" w:hAnsi="宋体"/>
          <w:b/>
          <w:sz w:val="24"/>
        </w:rPr>
      </w:pPr>
      <w:r>
        <w:rPr>
          <w:rFonts w:hint="eastAsia" w:ascii="宋体" w:hAnsi="宋体"/>
          <w:b/>
          <w:sz w:val="32"/>
          <w:szCs w:val="32"/>
        </w:rPr>
        <w:t>（如有委托时）</w:t>
      </w:r>
    </w:p>
    <w:p>
      <w:pPr>
        <w:snapToGrid w:val="0"/>
        <w:spacing w:before="120" w:beforeLines="50" w:after="50"/>
        <w:jc w:val="center"/>
        <w:rPr>
          <w:rFonts w:ascii="宋体" w:hAnsi="宋体"/>
          <w:b/>
          <w:sz w:val="24"/>
        </w:rPr>
      </w:pPr>
    </w:p>
    <w:p>
      <w:pPr>
        <w:spacing w:line="360" w:lineRule="auto"/>
        <w:contextualSpacing/>
        <w:rPr>
          <w:rFonts w:ascii="宋体" w:hAnsi="宋体"/>
          <w:b/>
          <w:bCs/>
          <w:sz w:val="24"/>
        </w:rPr>
      </w:pPr>
      <w:r>
        <w:rPr>
          <w:rFonts w:hint="eastAsia" w:ascii="宋体" w:hAnsi="宋体"/>
          <w:bCs/>
          <w:sz w:val="24"/>
        </w:rPr>
        <w:t>致：</w:t>
      </w:r>
      <w:r>
        <w:rPr>
          <w:rFonts w:hint="eastAsia" w:ascii="宋体" w:hAnsi="宋体"/>
          <w:sz w:val="24"/>
          <w:u w:val="single"/>
        </w:rPr>
        <w:t>采购人名称</w:t>
      </w:r>
      <w:r>
        <w:rPr>
          <w:rFonts w:hint="eastAsia" w:ascii="宋体" w:hAnsi="宋体"/>
          <w:sz w:val="24"/>
        </w:rPr>
        <w:t>：</w:t>
      </w:r>
    </w:p>
    <w:p>
      <w:pPr>
        <w:spacing w:line="360" w:lineRule="auto"/>
        <w:ind w:firstLine="566" w:firstLineChars="236"/>
        <w:contextualSpacing/>
        <w:rPr>
          <w:rFonts w:ascii="宋体" w:hAnsi="宋体"/>
          <w:sz w:val="24"/>
        </w:rPr>
      </w:pPr>
      <w:r>
        <w:rPr>
          <w:rFonts w:hint="eastAsia" w:ascii="宋体" w:hAnsi="宋体"/>
          <w:sz w:val="24"/>
        </w:rPr>
        <w:t>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w:t>
      </w:r>
      <w:r>
        <w:rPr>
          <w:rFonts w:hint="eastAsia" w:ascii="宋体" w:hAnsi="宋体" w:cs="仿宋_GB2312"/>
          <w:sz w:val="24"/>
        </w:rPr>
        <w:t>（</w:t>
      </w:r>
      <w:r>
        <w:rPr>
          <w:rFonts w:hint="eastAsia" w:ascii="宋体" w:hAnsi="宋体" w:cs="仿宋_GB2312"/>
          <w:sz w:val="24"/>
          <w:u w:val="single"/>
        </w:rPr>
        <w:t>□法定代表人/□负责人/□自然人本人</w:t>
      </w:r>
      <w:r>
        <w:rPr>
          <w:rFonts w:hint="eastAsia" w:ascii="宋体" w:hAnsi="宋体" w:cs="仿宋_GB2312"/>
          <w:sz w:val="24"/>
        </w:rPr>
        <w:t>）</w:t>
      </w:r>
      <w:r>
        <w:rPr>
          <w:rFonts w:hint="eastAsia" w:ascii="宋体" w:hAnsi="宋体"/>
          <w:sz w:val="24"/>
        </w:rPr>
        <w:t>，现授权委托</w:t>
      </w:r>
      <w:r>
        <w:rPr>
          <w:rFonts w:hint="eastAsia" w:ascii="宋体" w:hAnsi="宋体"/>
          <w:sz w:val="24"/>
          <w:u w:val="single"/>
        </w:rPr>
        <w:t xml:space="preserve">              （姓名）</w:t>
      </w:r>
      <w:r>
        <w:rPr>
          <w:rFonts w:hint="eastAsia" w:ascii="宋体" w:hAnsi="宋体"/>
          <w:sz w:val="24"/>
        </w:rPr>
        <w:t>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项目的投标活动，并代表我方全权办理针对上述项目的所有采购程序和环节的具体事务和签署相关文件。</w:t>
      </w:r>
    </w:p>
    <w:p>
      <w:pPr>
        <w:spacing w:line="360" w:lineRule="auto"/>
        <w:contextualSpacing/>
        <w:rPr>
          <w:rFonts w:ascii="宋体" w:hAnsi="宋体"/>
          <w:sz w:val="24"/>
        </w:rPr>
      </w:pPr>
      <w:r>
        <w:rPr>
          <w:rFonts w:hint="eastAsia" w:ascii="宋体" w:hAnsi="宋体"/>
          <w:sz w:val="24"/>
        </w:rPr>
        <w:t xml:space="preserve">    我方对委托代理人的签字事项负全部责任。</w:t>
      </w:r>
    </w:p>
    <w:p>
      <w:pPr>
        <w:spacing w:line="360" w:lineRule="auto"/>
        <w:ind w:firstLine="480"/>
        <w:contextualSpacing/>
        <w:rPr>
          <w:rFonts w:ascii="宋体" w:hAnsi="宋体"/>
          <w:sz w:val="24"/>
        </w:rPr>
      </w:pPr>
      <w:r>
        <w:rPr>
          <w:rFonts w:hint="eastAsia" w:ascii="宋体" w:hAnsi="宋体"/>
          <w:sz w:val="24"/>
          <w:u w:val="single"/>
        </w:rPr>
        <w:t>本授权书自签署之日起生效，在撤销授权的书面通知以前，本授权书一直有效。委托代理人在授权书有效期内签署的所有文件不因授权的撤销而失效。</w:t>
      </w:r>
    </w:p>
    <w:p>
      <w:pPr>
        <w:spacing w:line="360" w:lineRule="auto"/>
        <w:ind w:firstLine="480"/>
        <w:contextualSpacing/>
        <w:rPr>
          <w:rFonts w:ascii="宋体" w:hAnsi="宋体"/>
          <w:sz w:val="24"/>
        </w:rPr>
      </w:pPr>
      <w:r>
        <w:rPr>
          <w:rFonts w:hint="eastAsia" w:ascii="宋体" w:hAnsi="宋体"/>
          <w:sz w:val="24"/>
        </w:rPr>
        <w:t>委托代理人无转委托权，特此委托。</w:t>
      </w:r>
    </w:p>
    <w:p>
      <w:pPr>
        <w:spacing w:line="360" w:lineRule="auto"/>
        <w:ind w:firstLine="480"/>
        <w:contextualSpacing/>
        <w:rPr>
          <w:rFonts w:ascii="宋体" w:hAnsi="宋体"/>
          <w:sz w:val="24"/>
        </w:rPr>
      </w:pPr>
      <w:r>
        <w:rPr>
          <w:rFonts w:hint="eastAsia" w:ascii="宋体" w:hAnsi="宋体"/>
          <w:sz w:val="24"/>
        </w:rPr>
        <w:t>附：法定代表人身份证明及委托代理人有效身份证正反面复印件</w:t>
      </w:r>
    </w:p>
    <w:p>
      <w:pPr>
        <w:spacing w:line="360" w:lineRule="auto"/>
        <w:contextualSpacing/>
        <w:rPr>
          <w:rFonts w:ascii="宋体" w:hAnsi="宋体"/>
          <w:sz w:val="24"/>
        </w:rPr>
      </w:pPr>
    </w:p>
    <w:p>
      <w:pPr>
        <w:spacing w:line="360" w:lineRule="auto"/>
        <w:contextualSpacing/>
        <w:rPr>
          <w:rFonts w:ascii="宋体" w:hAnsi="宋体"/>
          <w:sz w:val="24"/>
        </w:rPr>
      </w:pPr>
      <w:r>
        <w:rPr>
          <w:rFonts w:hint="eastAsia" w:ascii="宋体" w:hAnsi="宋体"/>
          <w:sz w:val="24"/>
        </w:rPr>
        <w:t>委托代理人（签字或电子签名）：</w:t>
      </w:r>
      <w:r>
        <w:rPr>
          <w:rFonts w:hint="eastAsia" w:ascii="宋体" w:hAnsi="宋体"/>
          <w:sz w:val="24"/>
          <w:u w:val="single"/>
        </w:rPr>
        <w:t xml:space="preserve">               </w:t>
      </w:r>
      <w:r>
        <w:rPr>
          <w:rFonts w:hint="eastAsia" w:ascii="宋体" w:hAnsi="宋体"/>
          <w:sz w:val="24"/>
        </w:rPr>
        <w:t xml:space="preserve">            </w:t>
      </w:r>
    </w:p>
    <w:p>
      <w:pPr>
        <w:spacing w:line="360" w:lineRule="auto"/>
        <w:contextualSpacing/>
        <w:rPr>
          <w:rFonts w:ascii="宋体" w:hAnsi="宋体"/>
          <w:sz w:val="24"/>
          <w:u w:val="single"/>
        </w:rPr>
      </w:pPr>
      <w:r>
        <w:rPr>
          <w:rFonts w:hint="eastAsia" w:ascii="宋体" w:hAnsi="宋体"/>
          <w:sz w:val="24"/>
        </w:rPr>
        <w:t>法定代表人（签字或盖章或电子签名）：</w:t>
      </w:r>
      <w:r>
        <w:rPr>
          <w:rFonts w:hint="eastAsia" w:ascii="宋体" w:hAnsi="宋体"/>
          <w:sz w:val="24"/>
          <w:u w:val="single"/>
        </w:rPr>
        <w:t xml:space="preserve">              </w:t>
      </w:r>
    </w:p>
    <w:p>
      <w:pPr>
        <w:spacing w:line="360" w:lineRule="auto"/>
        <w:contextualSpacing/>
        <w:rPr>
          <w:rFonts w:ascii="宋体" w:hAnsi="宋体"/>
          <w:sz w:val="24"/>
        </w:rPr>
      </w:pPr>
      <w:r>
        <w:rPr>
          <w:rFonts w:hint="eastAsia" w:ascii="宋体" w:hAnsi="宋体"/>
          <w:sz w:val="24"/>
        </w:rPr>
        <w:t>委托代理人身份证号码：</w:t>
      </w:r>
      <w:r>
        <w:rPr>
          <w:rFonts w:hint="eastAsia" w:ascii="宋体" w:hAnsi="宋体"/>
          <w:sz w:val="24"/>
          <w:u w:val="single"/>
        </w:rPr>
        <w:t xml:space="preserve">                             </w:t>
      </w:r>
      <w:r>
        <w:rPr>
          <w:rFonts w:hint="eastAsia" w:ascii="宋体" w:hAnsi="宋体"/>
          <w:sz w:val="24"/>
        </w:rPr>
        <w:t xml:space="preserve"> </w:t>
      </w:r>
    </w:p>
    <w:p>
      <w:pPr>
        <w:spacing w:line="360" w:lineRule="auto"/>
        <w:contextualSpacing/>
        <w:jc w:val="center"/>
        <w:rPr>
          <w:rFonts w:ascii="宋体" w:hAnsi="宋体"/>
          <w:sz w:val="24"/>
        </w:rPr>
      </w:pPr>
      <w:r>
        <w:rPr>
          <w:rFonts w:hint="eastAsia" w:ascii="宋体" w:hAnsi="宋体"/>
          <w:sz w:val="24"/>
        </w:rPr>
        <w:t xml:space="preserve">                                                投标人名称（电子签章）：</w:t>
      </w:r>
    </w:p>
    <w:p>
      <w:pPr>
        <w:spacing w:line="360" w:lineRule="auto"/>
        <w:contextualSpacing/>
        <w:jc w:val="center"/>
        <w:rPr>
          <w:rFonts w:ascii="宋体" w:hAnsi="宋体"/>
          <w:sz w:val="24"/>
        </w:rPr>
      </w:pPr>
      <w:r>
        <w:rPr>
          <w:rFonts w:hint="eastAsia" w:ascii="宋体" w:hAnsi="宋体"/>
          <w:sz w:val="24"/>
        </w:rPr>
        <w:t xml:space="preserve">                                              年    月    日</w:t>
      </w:r>
    </w:p>
    <w:p>
      <w:pPr>
        <w:spacing w:line="360" w:lineRule="auto"/>
        <w:contextualSpacing/>
        <w:jc w:val="center"/>
        <w:rPr>
          <w:rFonts w:ascii="宋体" w:hAnsi="宋体"/>
          <w:sz w:val="24"/>
        </w:rPr>
      </w:pPr>
    </w:p>
    <w:p>
      <w:pPr>
        <w:spacing w:line="360" w:lineRule="auto"/>
        <w:contextualSpacing/>
        <w:rPr>
          <w:rFonts w:ascii="宋体" w:hAnsi="宋体" w:cs="仿宋_GB2312"/>
          <w:sz w:val="24"/>
        </w:rPr>
      </w:pPr>
      <w:r>
        <w:rPr>
          <w:rFonts w:hint="eastAsia" w:ascii="宋体" w:hAnsi="宋体" w:cs="仿宋_GB2312"/>
          <w:sz w:val="24"/>
        </w:rPr>
        <w:t>注：1.</w:t>
      </w:r>
      <w:bookmarkStart w:id="574" w:name="_Hlk65851555"/>
      <w:r>
        <w:rPr>
          <w:rFonts w:hint="eastAsia" w:ascii="宋体" w:hAnsi="宋体" w:cs="仿宋_GB2312"/>
          <w:sz w:val="24"/>
        </w:rPr>
        <w:t xml:space="preserve"> </w:t>
      </w:r>
      <w:bookmarkStart w:id="575" w:name="_Hlk65852380"/>
      <w:r>
        <w:rPr>
          <w:rFonts w:hint="eastAsia" w:ascii="宋体" w:hAnsi="宋体" w:cs="仿宋_GB2312"/>
          <w:sz w:val="24"/>
        </w:rPr>
        <w:t>法定代表人必须在授权委托书上亲笔签字或盖章或电子签名，</w:t>
      </w:r>
      <w:bookmarkEnd w:id="574"/>
      <w:r>
        <w:rPr>
          <w:rFonts w:hint="eastAsia" w:ascii="宋体" w:hAnsi="宋体" w:cs="仿宋_GB2312"/>
          <w:sz w:val="24"/>
        </w:rPr>
        <w:t>委托代理人必须在授权委托书上亲笔签字或电子签名，</w:t>
      </w:r>
      <w:r>
        <w:rPr>
          <w:rFonts w:hint="eastAsia" w:ascii="宋体" w:hAnsi="宋体" w:cs="仿宋_GB2312"/>
          <w:b/>
          <w:bCs/>
          <w:sz w:val="24"/>
        </w:rPr>
        <w:t>否则按无效投标处理</w:t>
      </w:r>
      <w:r>
        <w:rPr>
          <w:rFonts w:hint="eastAsia" w:ascii="宋体" w:hAnsi="宋体" w:cs="仿宋_GB2312"/>
          <w:sz w:val="24"/>
        </w:rPr>
        <w:t>；</w:t>
      </w:r>
      <w:bookmarkEnd w:id="575"/>
    </w:p>
    <w:p>
      <w:pPr>
        <w:spacing w:line="360" w:lineRule="auto"/>
        <w:ind w:firstLine="480" w:firstLineChars="200"/>
        <w:contextualSpacing/>
        <w:jc w:val="left"/>
        <w:rPr>
          <w:rFonts w:ascii="宋体" w:hAnsi="宋体" w:cs="仿宋_GB2312"/>
          <w:sz w:val="24"/>
        </w:rPr>
      </w:pPr>
      <w:r>
        <w:rPr>
          <w:rFonts w:hint="eastAsia" w:ascii="宋体" w:hAnsi="宋体" w:cs="仿宋_GB2312"/>
          <w:sz w:val="24"/>
        </w:rPr>
        <w:t>2.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pacing w:line="360" w:lineRule="auto"/>
        <w:ind w:firstLine="480" w:firstLineChars="200"/>
        <w:contextualSpacing/>
        <w:jc w:val="left"/>
        <w:rPr>
          <w:rFonts w:ascii="宋体" w:hAnsi="宋体" w:cs="仿宋_GB2312"/>
          <w:sz w:val="24"/>
        </w:rPr>
      </w:pPr>
      <w:bookmarkStart w:id="576" w:name="_Hlk65852305"/>
      <w:r>
        <w:rPr>
          <w:rFonts w:ascii="宋体" w:hAnsi="宋体" w:cs="仿宋_GB2312"/>
          <w:sz w:val="24"/>
        </w:rPr>
        <w:t>3.</w:t>
      </w:r>
      <w:r>
        <w:rPr>
          <w:rFonts w:hint="eastAsia" w:ascii="宋体" w:hAnsi="宋体" w:cs="仿宋_GB2312"/>
          <w:sz w:val="24"/>
        </w:rPr>
        <w:t>法人、其他组织投标时“我方”是指“我单位”，自然人投标时“我方”是指“本人”。</w:t>
      </w:r>
    </w:p>
    <w:p>
      <w:pPr>
        <w:spacing w:line="360" w:lineRule="auto"/>
        <w:ind w:firstLine="480" w:firstLineChars="200"/>
        <w:contextualSpacing/>
        <w:jc w:val="left"/>
        <w:rPr>
          <w:rFonts w:ascii="宋体" w:hAnsi="宋体" w:cs="仿宋_GB2312"/>
          <w:sz w:val="24"/>
        </w:rPr>
      </w:pPr>
      <w:r>
        <w:rPr>
          <w:rFonts w:hint="eastAsia" w:ascii="宋体" w:hAnsi="宋体" w:cs="仿宋_GB2312"/>
          <w:sz w:val="24"/>
        </w:rPr>
        <w:t>附件</w:t>
      </w:r>
    </w:p>
    <w:tbl>
      <w:tblPr>
        <w:tblStyle w:val="48"/>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90" w:type="dxa"/>
            <w:tcBorders>
              <w:top w:val="single" w:color="auto" w:sz="4" w:space="0"/>
              <w:left w:val="single" w:color="auto" w:sz="4" w:space="0"/>
              <w:bottom w:val="single" w:color="auto" w:sz="4" w:space="0"/>
              <w:right w:val="single" w:color="auto" w:sz="4" w:space="0"/>
            </w:tcBorders>
          </w:tcPr>
          <w:p>
            <w:pPr>
              <w:spacing w:line="360" w:lineRule="auto"/>
              <w:rPr>
                <w:rFonts w:ascii="宋体"/>
                <w:b/>
                <w:sz w:val="24"/>
              </w:rPr>
            </w:pPr>
          </w:p>
          <w:p>
            <w:pPr>
              <w:spacing w:line="360" w:lineRule="auto"/>
              <w:rPr>
                <w:rFonts w:ascii="宋体"/>
                <w:b/>
                <w:sz w:val="24"/>
              </w:rPr>
            </w:pPr>
            <w:r>
              <w:rPr>
                <w:rFonts w:hint="eastAsia" w:ascii="宋体"/>
                <w:b/>
                <w:sz w:val="24"/>
              </w:rPr>
              <w:t>全权代表身份证复印件</w:t>
            </w:r>
            <w:r>
              <w:rPr>
                <w:rFonts w:hint="eastAsia" w:ascii="宋体"/>
                <w:b/>
                <w:sz w:val="24"/>
                <w:lang w:eastAsia="zh-CN"/>
              </w:rPr>
              <w:t>粘贴</w:t>
            </w:r>
            <w:r>
              <w:rPr>
                <w:rFonts w:hint="eastAsia" w:ascii="宋体"/>
                <w:b/>
                <w:sz w:val="24"/>
              </w:rPr>
              <w:t>处（正、反面）</w:t>
            </w:r>
          </w:p>
        </w:tc>
      </w:tr>
    </w:tbl>
    <w:p>
      <w:pPr>
        <w:spacing w:line="360" w:lineRule="auto"/>
        <w:ind w:firstLine="480" w:firstLineChars="200"/>
        <w:contextualSpacing/>
        <w:jc w:val="left"/>
        <w:rPr>
          <w:rFonts w:ascii="宋体" w:hAnsi="宋体"/>
          <w:sz w:val="24"/>
        </w:rPr>
      </w:pPr>
    </w:p>
    <w:p>
      <w:pPr>
        <w:spacing w:line="360" w:lineRule="auto"/>
        <w:ind w:firstLine="480" w:firstLineChars="200"/>
        <w:contextualSpacing/>
        <w:jc w:val="left"/>
        <w:rPr>
          <w:rFonts w:ascii="宋体" w:hAnsi="宋体"/>
          <w:sz w:val="24"/>
        </w:rPr>
      </w:pPr>
    </w:p>
    <w:bookmarkEnd w:id="576"/>
    <w:p>
      <w:pPr>
        <w:snapToGrid w:val="0"/>
        <w:spacing w:before="120" w:beforeLines="50" w:after="50"/>
        <w:ind w:firstLine="566" w:firstLineChars="236"/>
        <w:jc w:val="center"/>
        <w:rPr>
          <w:rFonts w:ascii="宋体" w:hAnsi="宋体"/>
          <w:sz w:val="24"/>
        </w:rPr>
      </w:pPr>
    </w:p>
    <w:p>
      <w:pPr>
        <w:snapToGrid w:val="0"/>
        <w:spacing w:before="120" w:beforeLines="50" w:after="50"/>
        <w:ind w:firstLine="566" w:firstLineChars="236"/>
        <w:jc w:val="center"/>
        <w:rPr>
          <w:rFonts w:ascii="宋体" w:hAnsi="宋体"/>
          <w:sz w:val="24"/>
        </w:rPr>
      </w:pPr>
    </w:p>
    <w:p>
      <w:pPr>
        <w:snapToGrid w:val="0"/>
        <w:spacing w:before="120" w:beforeLines="50" w:after="50"/>
        <w:ind w:firstLine="566" w:firstLineChars="236"/>
        <w:jc w:val="center"/>
        <w:rPr>
          <w:rFonts w:ascii="宋体" w:hAnsi="宋体"/>
          <w:sz w:val="24"/>
        </w:rPr>
      </w:pPr>
    </w:p>
    <w:p>
      <w:pPr>
        <w:snapToGrid w:val="0"/>
        <w:spacing w:before="120" w:beforeLines="50" w:after="50"/>
        <w:ind w:firstLine="566" w:firstLineChars="236"/>
        <w:jc w:val="center"/>
        <w:rPr>
          <w:rFonts w:ascii="宋体" w:hAnsi="宋体"/>
          <w:sz w:val="24"/>
        </w:rPr>
      </w:pPr>
    </w:p>
    <w:p>
      <w:pPr>
        <w:snapToGrid w:val="0"/>
        <w:spacing w:before="120" w:beforeLines="50" w:after="50"/>
        <w:ind w:left="142"/>
        <w:jc w:val="left"/>
        <w:rPr>
          <w:rFonts w:ascii="宋体" w:hAnsi="宋体"/>
          <w:b/>
          <w:sz w:val="24"/>
        </w:rPr>
      </w:pPr>
      <w:r>
        <w:rPr>
          <w:rFonts w:ascii="宋体" w:hAnsi="宋体"/>
          <w:sz w:val="24"/>
        </w:rPr>
        <w:br w:type="page"/>
      </w:r>
      <w:bookmarkStart w:id="577" w:name="_Toc19686839"/>
      <w:r>
        <w:rPr>
          <w:rFonts w:hint="eastAsia" w:ascii="宋体" w:hAnsi="宋体"/>
          <w:b/>
          <w:sz w:val="24"/>
        </w:rPr>
        <w:t>6．商务偏离表格式</w:t>
      </w:r>
    </w:p>
    <w:p>
      <w:pPr>
        <w:snapToGrid w:val="0"/>
        <w:spacing w:before="120" w:beforeLines="50" w:after="50"/>
        <w:ind w:left="142"/>
        <w:jc w:val="center"/>
        <w:rPr>
          <w:rFonts w:ascii="宋体" w:hAnsi="宋体"/>
          <w:b/>
          <w:sz w:val="32"/>
          <w:szCs w:val="32"/>
        </w:rPr>
      </w:pPr>
      <w:r>
        <w:rPr>
          <w:rFonts w:hint="eastAsia" w:ascii="宋体" w:hAnsi="宋体"/>
          <w:b/>
          <w:sz w:val="32"/>
          <w:szCs w:val="32"/>
        </w:rPr>
        <w:t>商务偏离表</w:t>
      </w:r>
    </w:p>
    <w:p>
      <w:pPr>
        <w:pStyle w:val="26"/>
        <w:rPr>
          <w:rFonts w:hAnsi="宋体"/>
          <w:sz w:val="24"/>
          <w:szCs w:val="24"/>
        </w:rPr>
      </w:pPr>
      <w:r>
        <w:rPr>
          <w:rFonts w:hint="eastAsia" w:hAnsi="宋体"/>
          <w:sz w:val="24"/>
          <w:szCs w:val="24"/>
        </w:rPr>
        <w:t>所投分标：</w:t>
      </w:r>
      <w:r>
        <w:rPr>
          <w:rFonts w:hint="eastAsia" w:hAnsi="宋体"/>
          <w:sz w:val="24"/>
          <w:szCs w:val="24"/>
          <w:u w:val="single"/>
        </w:rPr>
        <w:t xml:space="preserve">     </w:t>
      </w:r>
      <w:r>
        <w:rPr>
          <w:rFonts w:hint="eastAsia" w:hAnsi="宋体"/>
          <w:sz w:val="24"/>
          <w:szCs w:val="24"/>
        </w:rPr>
        <w:t>分标</w:t>
      </w:r>
    </w:p>
    <w:tbl>
      <w:tblPr>
        <w:tblStyle w:val="48"/>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52" w:type="dxa"/>
            <w:vAlign w:val="center"/>
          </w:tcPr>
          <w:p>
            <w:pPr>
              <w:pStyle w:val="26"/>
              <w:spacing w:line="400" w:lineRule="exact"/>
              <w:jc w:val="center"/>
              <w:rPr>
                <w:rFonts w:hAnsi="宋体" w:cs="Courier New"/>
                <w:kern w:val="2"/>
                <w:sz w:val="24"/>
                <w:szCs w:val="24"/>
              </w:rPr>
            </w:pPr>
            <w:r>
              <w:rPr>
                <w:rFonts w:hint="eastAsia" w:hAnsi="宋体" w:cs="Courier New"/>
                <w:kern w:val="2"/>
                <w:sz w:val="24"/>
                <w:szCs w:val="24"/>
              </w:rPr>
              <w:t>项号</w:t>
            </w:r>
          </w:p>
        </w:tc>
        <w:tc>
          <w:tcPr>
            <w:tcW w:w="2143" w:type="dxa"/>
            <w:vAlign w:val="center"/>
          </w:tcPr>
          <w:p>
            <w:pPr>
              <w:snapToGrid w:val="0"/>
              <w:spacing w:before="120" w:beforeLines="50"/>
              <w:jc w:val="center"/>
              <w:rPr>
                <w:rFonts w:ascii="宋体" w:hAnsi="宋体"/>
                <w:sz w:val="24"/>
              </w:rPr>
            </w:pPr>
            <w:r>
              <w:rPr>
                <w:rFonts w:hint="eastAsia" w:ascii="宋体" w:hAnsi="宋体"/>
                <w:sz w:val="24"/>
              </w:rPr>
              <w:t>项目</w:t>
            </w:r>
          </w:p>
        </w:tc>
        <w:tc>
          <w:tcPr>
            <w:tcW w:w="1834" w:type="dxa"/>
            <w:vAlign w:val="center"/>
          </w:tcPr>
          <w:p>
            <w:pPr>
              <w:snapToGrid w:val="0"/>
              <w:spacing w:before="120" w:beforeLines="50"/>
              <w:jc w:val="center"/>
              <w:rPr>
                <w:rFonts w:ascii="宋体" w:hAnsi="宋体"/>
                <w:sz w:val="24"/>
              </w:rPr>
            </w:pPr>
            <w:r>
              <w:rPr>
                <w:rFonts w:hint="eastAsia" w:ascii="宋体" w:hAnsi="宋体"/>
                <w:sz w:val="24"/>
              </w:rPr>
              <w:t>招标文件商务条款要求</w:t>
            </w:r>
          </w:p>
        </w:tc>
        <w:tc>
          <w:tcPr>
            <w:tcW w:w="2181" w:type="dxa"/>
            <w:vAlign w:val="center"/>
          </w:tcPr>
          <w:p>
            <w:pPr>
              <w:snapToGrid w:val="0"/>
              <w:spacing w:before="120" w:beforeLines="50"/>
              <w:jc w:val="center"/>
              <w:rPr>
                <w:rFonts w:ascii="宋体" w:hAnsi="宋体"/>
                <w:sz w:val="24"/>
              </w:rPr>
            </w:pPr>
            <w:r>
              <w:rPr>
                <w:rFonts w:hint="eastAsia" w:ascii="宋体" w:hAnsi="宋体"/>
                <w:sz w:val="24"/>
              </w:rPr>
              <w:t>投标人的承诺</w:t>
            </w:r>
          </w:p>
        </w:tc>
        <w:tc>
          <w:tcPr>
            <w:tcW w:w="1934" w:type="dxa"/>
            <w:vAlign w:val="center"/>
          </w:tcPr>
          <w:p>
            <w:pPr>
              <w:pStyle w:val="26"/>
              <w:spacing w:line="400" w:lineRule="exact"/>
              <w:jc w:val="center"/>
              <w:rPr>
                <w:rFonts w:hAnsi="宋体" w:cs="Courier New"/>
                <w:kern w:val="2"/>
                <w:sz w:val="24"/>
                <w:szCs w:val="24"/>
              </w:rPr>
            </w:pPr>
            <w:r>
              <w:rPr>
                <w:rFonts w:hint="eastAsia" w:hAnsi="宋体" w:cs="Courier New"/>
                <w:kern w:val="2"/>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jc w:val="center"/>
              <w:rPr>
                <w:rFonts w:hAnsi="宋体" w:cs="Courier New"/>
                <w:kern w:val="2"/>
                <w:sz w:val="24"/>
                <w:szCs w:val="24"/>
              </w:rPr>
            </w:pPr>
          </w:p>
        </w:tc>
        <w:tc>
          <w:tcPr>
            <w:tcW w:w="2143" w:type="dxa"/>
            <w:vAlign w:val="center"/>
          </w:tcPr>
          <w:p>
            <w:pPr>
              <w:pStyle w:val="26"/>
              <w:spacing w:line="600" w:lineRule="exact"/>
              <w:jc w:val="center"/>
              <w:rPr>
                <w:rFonts w:hAnsi="宋体" w:cs="Courier New"/>
                <w:kern w:val="2"/>
                <w:sz w:val="24"/>
                <w:szCs w:val="24"/>
              </w:rPr>
            </w:pPr>
          </w:p>
        </w:tc>
        <w:tc>
          <w:tcPr>
            <w:tcW w:w="1834" w:type="dxa"/>
            <w:vAlign w:val="center"/>
          </w:tcPr>
          <w:p>
            <w:pPr>
              <w:pStyle w:val="26"/>
              <w:spacing w:line="600" w:lineRule="exact"/>
              <w:jc w:val="center"/>
              <w:rPr>
                <w:rFonts w:hAnsi="宋体" w:cs="Courier New"/>
                <w:kern w:val="2"/>
                <w:sz w:val="24"/>
                <w:szCs w:val="24"/>
              </w:rPr>
            </w:pPr>
          </w:p>
        </w:tc>
        <w:tc>
          <w:tcPr>
            <w:tcW w:w="2181" w:type="dxa"/>
            <w:vAlign w:val="center"/>
          </w:tcPr>
          <w:p>
            <w:pPr>
              <w:pStyle w:val="26"/>
              <w:spacing w:line="600" w:lineRule="exact"/>
              <w:jc w:val="center"/>
              <w:rPr>
                <w:rFonts w:hAnsi="宋体" w:cs="Courier New"/>
                <w:kern w:val="2"/>
                <w:sz w:val="24"/>
                <w:szCs w:val="24"/>
              </w:rPr>
            </w:pPr>
          </w:p>
        </w:tc>
        <w:tc>
          <w:tcPr>
            <w:tcW w:w="1934" w:type="dxa"/>
            <w:vAlign w:val="center"/>
          </w:tcPr>
          <w:p>
            <w:pPr>
              <w:pStyle w:val="26"/>
              <w:spacing w:line="600" w:lineRule="exact"/>
              <w:jc w:val="center"/>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bl>
    <w:p>
      <w:pPr>
        <w:pStyle w:val="17"/>
        <w:spacing w:line="360" w:lineRule="auto"/>
        <w:contextualSpacing/>
        <w:rPr>
          <w:rFonts w:ascii="宋体" w:hAnsi="宋体"/>
        </w:rPr>
      </w:pPr>
      <w:r>
        <w:rPr>
          <w:rFonts w:hint="eastAsia" w:ascii="宋体" w:hAnsi="宋体"/>
        </w:rPr>
        <w:t>注：</w:t>
      </w:r>
    </w:p>
    <w:p>
      <w:pPr>
        <w:pStyle w:val="20"/>
        <w:spacing w:line="360" w:lineRule="auto"/>
        <w:ind w:firstLine="0" w:firstLineChars="0"/>
        <w:contextualSpacing/>
        <w:rPr>
          <w:rFonts w:hAnsi="仿宋_GB2312" w:cs="仿宋_GB2312"/>
          <w:szCs w:val="32"/>
        </w:rPr>
      </w:pPr>
      <w:r>
        <w:rPr>
          <w:rFonts w:hint="eastAsia" w:ascii="宋体" w:hAnsi="宋体" w:eastAsia="宋体"/>
          <w:sz w:val="24"/>
          <w:szCs w:val="24"/>
        </w:rPr>
        <w:t>1. 说明：应对照招标文件“第二章 采购需求”中的“商务要求”逐条作明确的投标响应，并作出偏离说明。</w:t>
      </w:r>
    </w:p>
    <w:p>
      <w:pPr>
        <w:pStyle w:val="17"/>
        <w:spacing w:line="360" w:lineRule="auto"/>
        <w:contextualSpacing/>
        <w:rPr>
          <w:rFonts w:ascii="宋体" w:hAnsi="宋体"/>
        </w:rPr>
      </w:pPr>
      <w:r>
        <w:rPr>
          <w:rFonts w:ascii="宋体" w:hAnsi="宋体"/>
          <w:b w:val="0"/>
          <w:bCs w:val="0"/>
        </w:rPr>
        <w:t>2.</w:t>
      </w:r>
      <w:r>
        <w:rPr>
          <w:rFonts w:hint="eastAsia" w:ascii="宋体" w:hAnsi="宋体"/>
          <w:b w:val="0"/>
          <w:bCs w:val="0"/>
        </w:rPr>
        <w:t>投标人应根据自身的承诺，对照招标文件要求，在“偏离说明”中注明“</w:t>
      </w:r>
      <w:r>
        <w:rPr>
          <w:rFonts w:hint="eastAsia" w:ascii="宋体" w:hAnsi="宋体"/>
        </w:rPr>
        <w:t>正偏离</w:t>
      </w:r>
      <w:r>
        <w:rPr>
          <w:rFonts w:hint="eastAsia" w:ascii="宋体" w:hAnsi="宋体"/>
          <w:b w:val="0"/>
          <w:bCs w:val="0"/>
        </w:rPr>
        <w:t>”、“</w:t>
      </w:r>
      <w:bookmarkStart w:id="581" w:name="_GoBack"/>
      <w:bookmarkEnd w:id="581"/>
      <w:r>
        <w:rPr>
          <w:rFonts w:hint="eastAsia" w:ascii="宋体" w:hAnsi="宋体"/>
        </w:rPr>
        <w:t>负偏离</w:t>
      </w:r>
      <w:r>
        <w:rPr>
          <w:rFonts w:hint="eastAsia" w:ascii="宋体" w:hAnsi="宋体"/>
          <w:b w:val="0"/>
          <w:bCs w:val="0"/>
        </w:rPr>
        <w:t>”或者“</w:t>
      </w:r>
      <w:r>
        <w:rPr>
          <w:rFonts w:hint="eastAsia" w:ascii="宋体" w:hAnsi="宋体"/>
        </w:rPr>
        <w:t>无偏离</w:t>
      </w:r>
      <w:r>
        <w:rPr>
          <w:rFonts w:hint="eastAsia" w:ascii="宋体" w:hAnsi="宋体"/>
          <w:b w:val="0"/>
          <w:bCs w:val="0"/>
        </w:rPr>
        <w:t>”。既不属于“</w:t>
      </w:r>
      <w:r>
        <w:rPr>
          <w:rFonts w:hint="eastAsia" w:ascii="宋体" w:hAnsi="宋体"/>
        </w:rPr>
        <w:t>正偏离</w:t>
      </w:r>
      <w:r>
        <w:rPr>
          <w:rFonts w:hint="eastAsia" w:ascii="宋体" w:hAnsi="宋体"/>
          <w:b w:val="0"/>
          <w:bCs w:val="0"/>
        </w:rPr>
        <w:t>”也不属于“</w:t>
      </w:r>
      <w:r>
        <w:rPr>
          <w:rFonts w:hint="eastAsia" w:ascii="宋体" w:hAnsi="宋体"/>
        </w:rPr>
        <w:t>负偏离</w:t>
      </w:r>
      <w:r>
        <w:rPr>
          <w:rFonts w:hint="eastAsia" w:ascii="宋体" w:hAnsi="宋体"/>
          <w:b w:val="0"/>
          <w:bCs w:val="0"/>
        </w:rPr>
        <w:t>”即为“</w:t>
      </w:r>
      <w:r>
        <w:rPr>
          <w:rFonts w:hint="eastAsia" w:ascii="宋体" w:hAnsi="宋体"/>
        </w:rPr>
        <w:t>无偏离</w:t>
      </w:r>
      <w:r>
        <w:rPr>
          <w:rFonts w:hint="eastAsia" w:ascii="宋体" w:hAnsi="宋体"/>
          <w:b w:val="0"/>
          <w:bCs w:val="0"/>
        </w:rPr>
        <w:t>”。</w:t>
      </w:r>
    </w:p>
    <w:p>
      <w:pPr>
        <w:pStyle w:val="20"/>
        <w:spacing w:line="360" w:lineRule="auto"/>
        <w:ind w:firstLine="0" w:firstLineChars="0"/>
        <w:contextualSpacing/>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 xml:space="preserve"> 如技术偏离表中的投标响应与佐证材料不一致的，以佐证材料为准。</w:t>
      </w:r>
    </w:p>
    <w:p>
      <w:pPr>
        <w:pStyle w:val="17"/>
        <w:spacing w:line="360" w:lineRule="auto"/>
        <w:contextualSpacing/>
        <w:rPr>
          <w:rFonts w:ascii="宋体" w:hAnsi="宋体"/>
          <w:spacing w:val="20"/>
        </w:rPr>
      </w:pPr>
    </w:p>
    <w:p>
      <w:pPr>
        <w:spacing w:line="360" w:lineRule="auto"/>
        <w:contextualSpacing/>
        <w:rPr>
          <w:rFonts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（签字或电子签名）：</w:t>
      </w:r>
      <w:r>
        <w:rPr>
          <w:rFonts w:hint="eastAsia" w:ascii="宋体" w:hAnsi="宋体"/>
          <w:spacing w:val="20"/>
          <w:sz w:val="24"/>
          <w:u w:val="single"/>
        </w:rPr>
        <w:t xml:space="preserve">        </w:t>
      </w:r>
    </w:p>
    <w:p>
      <w:pPr>
        <w:spacing w:line="360" w:lineRule="auto"/>
        <w:contextualSpacing/>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napToGrid w:val="0"/>
        <w:spacing w:before="120" w:beforeLines="50" w:after="50"/>
        <w:ind w:left="142"/>
        <w:jc w:val="left"/>
        <w:rPr>
          <w:rFonts w:ascii="宋体" w:hAnsi="宋体"/>
          <w:b/>
          <w:sz w:val="24"/>
        </w:rPr>
      </w:pP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r>
        <w:rPr>
          <w:rFonts w:ascii="宋体" w:hAnsi="宋体"/>
          <w:sz w:val="24"/>
        </w:rPr>
        <w:br w:type="page"/>
      </w:r>
      <w:r>
        <w:rPr>
          <w:rFonts w:hint="eastAsia" w:ascii="宋体" w:hAnsi="宋体"/>
          <w:b/>
          <w:sz w:val="24"/>
        </w:rPr>
        <w:t>7.项目实施人员一览表格式</w:t>
      </w:r>
    </w:p>
    <w:p>
      <w:pPr>
        <w:snapToGrid w:val="0"/>
        <w:spacing w:before="120" w:beforeLines="50" w:after="50"/>
        <w:ind w:left="142"/>
        <w:jc w:val="left"/>
        <w:rPr>
          <w:rFonts w:ascii="宋体" w:hAnsi="宋体"/>
          <w:b/>
          <w:sz w:val="24"/>
        </w:rPr>
      </w:pPr>
    </w:p>
    <w:p>
      <w:pPr>
        <w:snapToGrid w:val="0"/>
        <w:spacing w:before="120" w:beforeLines="50" w:after="50"/>
        <w:ind w:left="142"/>
        <w:jc w:val="center"/>
        <w:rPr>
          <w:rFonts w:ascii="宋体" w:hAnsi="宋体"/>
          <w:b/>
          <w:sz w:val="32"/>
          <w:szCs w:val="32"/>
        </w:rPr>
      </w:pPr>
      <w:r>
        <w:rPr>
          <w:rFonts w:hint="eastAsia" w:ascii="宋体" w:hAnsi="宋体"/>
          <w:b/>
          <w:sz w:val="32"/>
          <w:szCs w:val="32"/>
        </w:rPr>
        <w:t>项目实施人员一览表</w:t>
      </w:r>
    </w:p>
    <w:p>
      <w:pPr>
        <w:pStyle w:val="26"/>
        <w:rPr>
          <w:sz w:val="24"/>
          <w:szCs w:val="24"/>
        </w:rPr>
      </w:pPr>
    </w:p>
    <w:tbl>
      <w:tblPr>
        <w:tblStyle w:val="48"/>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2217"/>
        <w:gridCol w:w="1180"/>
        <w:gridCol w:w="2362"/>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snapToGrid w:val="0"/>
              <w:spacing w:before="50" w:after="120" w:afterLines="50"/>
              <w:jc w:val="center"/>
              <w:rPr>
                <w:rFonts w:ascii="宋体" w:hAnsi="宋体"/>
                <w:sz w:val="24"/>
                <w:szCs w:val="20"/>
              </w:rPr>
            </w:pPr>
            <w:r>
              <w:rPr>
                <w:rFonts w:hint="eastAsia" w:ascii="宋体" w:hAnsi="宋体"/>
                <w:sz w:val="24"/>
                <w:szCs w:val="20"/>
              </w:rPr>
              <w:t>姓名</w:t>
            </w:r>
          </w:p>
        </w:tc>
        <w:tc>
          <w:tcPr>
            <w:tcW w:w="2217" w:type="dxa"/>
            <w:vAlign w:val="center"/>
          </w:tcPr>
          <w:p>
            <w:pPr>
              <w:snapToGrid w:val="0"/>
              <w:spacing w:before="50" w:after="120" w:afterLines="50"/>
              <w:jc w:val="center"/>
              <w:rPr>
                <w:rFonts w:ascii="宋体" w:hAnsi="宋体"/>
                <w:sz w:val="24"/>
                <w:szCs w:val="20"/>
              </w:rPr>
            </w:pPr>
            <w:r>
              <w:rPr>
                <w:rFonts w:hint="eastAsia" w:ascii="宋体" w:hAnsi="宋体"/>
                <w:sz w:val="24"/>
                <w:szCs w:val="20"/>
              </w:rPr>
              <w:t>身份证号</w:t>
            </w:r>
          </w:p>
        </w:tc>
        <w:tc>
          <w:tcPr>
            <w:tcW w:w="1180" w:type="dxa"/>
            <w:vAlign w:val="center"/>
          </w:tcPr>
          <w:p>
            <w:pPr>
              <w:snapToGrid w:val="0"/>
              <w:spacing w:before="50" w:after="120" w:afterLines="50"/>
              <w:jc w:val="center"/>
              <w:rPr>
                <w:rFonts w:ascii="宋体" w:hAnsi="宋体"/>
                <w:sz w:val="24"/>
                <w:szCs w:val="20"/>
              </w:rPr>
            </w:pPr>
            <w:r>
              <w:rPr>
                <w:rFonts w:hint="eastAsia" w:ascii="宋体" w:hAnsi="宋体"/>
                <w:sz w:val="24"/>
                <w:szCs w:val="20"/>
              </w:rPr>
              <w:t>职务</w:t>
            </w:r>
          </w:p>
        </w:tc>
        <w:tc>
          <w:tcPr>
            <w:tcW w:w="2362" w:type="dxa"/>
            <w:vAlign w:val="center"/>
          </w:tcPr>
          <w:p>
            <w:pPr>
              <w:snapToGrid w:val="0"/>
              <w:spacing w:before="50" w:after="120" w:afterLines="50"/>
              <w:jc w:val="center"/>
              <w:rPr>
                <w:rFonts w:ascii="宋体" w:hAnsi="宋体"/>
                <w:sz w:val="24"/>
                <w:szCs w:val="20"/>
              </w:rPr>
            </w:pPr>
            <w:r>
              <w:rPr>
                <w:rFonts w:hint="eastAsia" w:ascii="宋体" w:hAnsi="宋体"/>
                <w:sz w:val="24"/>
                <w:szCs w:val="20"/>
              </w:rPr>
              <w:t>专业技术资格（职称）或者职业资格或者执业资格证或者其他证书</w:t>
            </w:r>
          </w:p>
        </w:tc>
        <w:tc>
          <w:tcPr>
            <w:tcW w:w="2030" w:type="dxa"/>
            <w:vAlign w:val="center"/>
          </w:tcPr>
          <w:p>
            <w:pPr>
              <w:snapToGrid w:val="0"/>
              <w:spacing w:before="50" w:after="120" w:afterLines="50"/>
              <w:jc w:val="center"/>
              <w:rPr>
                <w:rFonts w:ascii="宋体" w:hAnsi="宋体"/>
                <w:sz w:val="24"/>
                <w:szCs w:val="20"/>
              </w:rPr>
            </w:pPr>
            <w:r>
              <w:rPr>
                <w:rFonts w:hint="eastAsia" w:ascii="宋体" w:hAnsi="宋体"/>
                <w:sz w:val="24"/>
                <w:szCs w:val="20"/>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snapToGrid w:val="0"/>
              <w:spacing w:before="50" w:after="120" w:afterLines="50"/>
              <w:jc w:val="center"/>
              <w:rPr>
                <w:rFonts w:ascii="宋体" w:hAnsi="宋体"/>
                <w:sz w:val="24"/>
                <w:szCs w:val="20"/>
              </w:rPr>
            </w:pPr>
          </w:p>
        </w:tc>
        <w:tc>
          <w:tcPr>
            <w:tcW w:w="2217" w:type="dxa"/>
            <w:vAlign w:val="center"/>
          </w:tcPr>
          <w:p>
            <w:pPr>
              <w:snapToGrid w:val="0"/>
              <w:spacing w:before="50" w:after="120" w:afterLines="50"/>
              <w:jc w:val="center"/>
              <w:rPr>
                <w:rFonts w:ascii="宋体" w:hAnsi="宋体"/>
                <w:sz w:val="24"/>
                <w:szCs w:val="20"/>
              </w:rPr>
            </w:pPr>
          </w:p>
        </w:tc>
        <w:tc>
          <w:tcPr>
            <w:tcW w:w="1180" w:type="dxa"/>
            <w:vAlign w:val="center"/>
          </w:tcPr>
          <w:p>
            <w:pPr>
              <w:snapToGrid w:val="0"/>
              <w:spacing w:before="50" w:after="120" w:afterLines="50"/>
              <w:jc w:val="center"/>
              <w:rPr>
                <w:rFonts w:ascii="宋体" w:hAnsi="宋体"/>
                <w:sz w:val="24"/>
                <w:szCs w:val="20"/>
              </w:rPr>
            </w:pPr>
          </w:p>
        </w:tc>
        <w:tc>
          <w:tcPr>
            <w:tcW w:w="2362" w:type="dxa"/>
            <w:vAlign w:val="center"/>
          </w:tcPr>
          <w:p>
            <w:pPr>
              <w:snapToGrid w:val="0"/>
              <w:spacing w:before="50" w:after="120" w:afterLines="50"/>
              <w:jc w:val="center"/>
              <w:rPr>
                <w:rFonts w:ascii="宋体" w:hAnsi="宋体"/>
                <w:sz w:val="24"/>
                <w:szCs w:val="20"/>
              </w:rPr>
            </w:pPr>
          </w:p>
        </w:tc>
        <w:tc>
          <w:tcPr>
            <w:tcW w:w="2030" w:type="dxa"/>
            <w:vAlign w:val="center"/>
          </w:tcPr>
          <w:p>
            <w:pPr>
              <w:snapToGrid w:val="0"/>
              <w:spacing w:before="50" w:after="120" w:afterLines="50"/>
              <w:jc w:val="center"/>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snapToGrid w:val="0"/>
              <w:spacing w:before="50" w:after="120" w:afterLines="50"/>
              <w:jc w:val="center"/>
              <w:rPr>
                <w:rFonts w:ascii="宋体" w:hAnsi="宋体"/>
                <w:sz w:val="24"/>
                <w:szCs w:val="20"/>
              </w:rPr>
            </w:pPr>
          </w:p>
        </w:tc>
        <w:tc>
          <w:tcPr>
            <w:tcW w:w="2217" w:type="dxa"/>
            <w:vAlign w:val="center"/>
          </w:tcPr>
          <w:p>
            <w:pPr>
              <w:snapToGrid w:val="0"/>
              <w:spacing w:before="50" w:after="120" w:afterLines="50"/>
              <w:jc w:val="center"/>
              <w:rPr>
                <w:rFonts w:ascii="宋体" w:hAnsi="宋体"/>
                <w:sz w:val="24"/>
                <w:szCs w:val="20"/>
              </w:rPr>
            </w:pPr>
          </w:p>
        </w:tc>
        <w:tc>
          <w:tcPr>
            <w:tcW w:w="1180" w:type="dxa"/>
            <w:vAlign w:val="center"/>
          </w:tcPr>
          <w:p>
            <w:pPr>
              <w:snapToGrid w:val="0"/>
              <w:spacing w:before="50" w:after="120" w:afterLines="50"/>
              <w:jc w:val="center"/>
              <w:rPr>
                <w:rFonts w:ascii="宋体" w:hAnsi="宋体"/>
                <w:sz w:val="24"/>
                <w:szCs w:val="20"/>
              </w:rPr>
            </w:pPr>
          </w:p>
        </w:tc>
        <w:tc>
          <w:tcPr>
            <w:tcW w:w="2362" w:type="dxa"/>
            <w:vAlign w:val="center"/>
          </w:tcPr>
          <w:p>
            <w:pPr>
              <w:snapToGrid w:val="0"/>
              <w:spacing w:before="50" w:after="120" w:afterLines="50"/>
              <w:jc w:val="center"/>
              <w:rPr>
                <w:rFonts w:ascii="宋体" w:hAnsi="宋体"/>
                <w:sz w:val="24"/>
                <w:szCs w:val="20"/>
              </w:rPr>
            </w:pPr>
          </w:p>
        </w:tc>
        <w:tc>
          <w:tcPr>
            <w:tcW w:w="2030" w:type="dxa"/>
            <w:vAlign w:val="center"/>
          </w:tcPr>
          <w:p>
            <w:pPr>
              <w:snapToGrid w:val="0"/>
              <w:spacing w:before="50" w:after="120" w:afterLines="50"/>
              <w:jc w:val="center"/>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snapToGrid w:val="0"/>
              <w:spacing w:before="50" w:after="120" w:afterLines="50"/>
              <w:jc w:val="center"/>
              <w:rPr>
                <w:rFonts w:ascii="宋体" w:hAnsi="宋体"/>
                <w:sz w:val="24"/>
                <w:szCs w:val="20"/>
              </w:rPr>
            </w:pPr>
          </w:p>
        </w:tc>
        <w:tc>
          <w:tcPr>
            <w:tcW w:w="2217" w:type="dxa"/>
            <w:vAlign w:val="center"/>
          </w:tcPr>
          <w:p>
            <w:pPr>
              <w:snapToGrid w:val="0"/>
              <w:spacing w:before="50" w:after="120" w:afterLines="50"/>
              <w:jc w:val="center"/>
              <w:rPr>
                <w:rFonts w:ascii="宋体" w:hAnsi="宋体"/>
                <w:sz w:val="24"/>
                <w:szCs w:val="20"/>
              </w:rPr>
            </w:pPr>
          </w:p>
        </w:tc>
        <w:tc>
          <w:tcPr>
            <w:tcW w:w="1180" w:type="dxa"/>
            <w:vAlign w:val="center"/>
          </w:tcPr>
          <w:p>
            <w:pPr>
              <w:snapToGrid w:val="0"/>
              <w:spacing w:before="50" w:after="120" w:afterLines="50"/>
              <w:jc w:val="center"/>
              <w:rPr>
                <w:rFonts w:ascii="宋体" w:hAnsi="宋体"/>
                <w:sz w:val="24"/>
                <w:szCs w:val="20"/>
              </w:rPr>
            </w:pPr>
          </w:p>
        </w:tc>
        <w:tc>
          <w:tcPr>
            <w:tcW w:w="2362" w:type="dxa"/>
            <w:vAlign w:val="center"/>
          </w:tcPr>
          <w:p>
            <w:pPr>
              <w:snapToGrid w:val="0"/>
              <w:spacing w:before="50" w:after="120" w:afterLines="50"/>
              <w:jc w:val="center"/>
              <w:rPr>
                <w:rFonts w:ascii="宋体" w:hAnsi="宋体"/>
                <w:sz w:val="24"/>
                <w:szCs w:val="20"/>
              </w:rPr>
            </w:pPr>
          </w:p>
        </w:tc>
        <w:tc>
          <w:tcPr>
            <w:tcW w:w="2030" w:type="dxa"/>
            <w:vAlign w:val="center"/>
          </w:tcPr>
          <w:p>
            <w:pPr>
              <w:snapToGrid w:val="0"/>
              <w:spacing w:before="50" w:after="120" w:afterLines="50"/>
              <w:jc w:val="center"/>
              <w:rPr>
                <w:rFonts w:ascii="宋体" w:hAnsi="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snapToGrid w:val="0"/>
              <w:spacing w:before="50" w:after="120" w:afterLines="50"/>
              <w:jc w:val="center"/>
              <w:rPr>
                <w:rFonts w:ascii="宋体" w:hAnsi="宋体"/>
                <w:sz w:val="24"/>
                <w:szCs w:val="20"/>
              </w:rPr>
            </w:pPr>
            <w:r>
              <w:rPr>
                <w:rFonts w:ascii="宋体" w:hAnsi="宋体"/>
                <w:sz w:val="24"/>
                <w:szCs w:val="20"/>
              </w:rPr>
              <w:t>……</w:t>
            </w:r>
          </w:p>
        </w:tc>
        <w:tc>
          <w:tcPr>
            <w:tcW w:w="2217" w:type="dxa"/>
            <w:vAlign w:val="center"/>
          </w:tcPr>
          <w:p>
            <w:pPr>
              <w:snapToGrid w:val="0"/>
              <w:spacing w:before="50" w:after="120" w:afterLines="50"/>
              <w:jc w:val="center"/>
              <w:rPr>
                <w:rFonts w:ascii="宋体" w:hAnsi="宋体"/>
                <w:sz w:val="24"/>
                <w:szCs w:val="20"/>
              </w:rPr>
            </w:pPr>
          </w:p>
        </w:tc>
        <w:tc>
          <w:tcPr>
            <w:tcW w:w="1180" w:type="dxa"/>
            <w:vAlign w:val="center"/>
          </w:tcPr>
          <w:p>
            <w:pPr>
              <w:snapToGrid w:val="0"/>
              <w:spacing w:before="50" w:after="120" w:afterLines="50"/>
              <w:jc w:val="center"/>
              <w:rPr>
                <w:rFonts w:ascii="宋体" w:hAnsi="宋体"/>
                <w:sz w:val="24"/>
                <w:szCs w:val="20"/>
              </w:rPr>
            </w:pPr>
          </w:p>
        </w:tc>
        <w:tc>
          <w:tcPr>
            <w:tcW w:w="2362" w:type="dxa"/>
            <w:vAlign w:val="center"/>
          </w:tcPr>
          <w:p>
            <w:pPr>
              <w:snapToGrid w:val="0"/>
              <w:spacing w:before="50" w:after="120" w:afterLines="50"/>
              <w:jc w:val="center"/>
              <w:rPr>
                <w:rFonts w:ascii="宋体" w:hAnsi="宋体"/>
                <w:sz w:val="24"/>
                <w:szCs w:val="20"/>
              </w:rPr>
            </w:pPr>
          </w:p>
        </w:tc>
        <w:tc>
          <w:tcPr>
            <w:tcW w:w="2030" w:type="dxa"/>
            <w:vAlign w:val="center"/>
          </w:tcPr>
          <w:p>
            <w:pPr>
              <w:snapToGrid w:val="0"/>
              <w:spacing w:before="50" w:after="120" w:afterLines="50"/>
              <w:jc w:val="center"/>
              <w:rPr>
                <w:rFonts w:ascii="宋体" w:hAnsi="宋体"/>
                <w:sz w:val="24"/>
                <w:szCs w:val="20"/>
              </w:rPr>
            </w:pPr>
          </w:p>
        </w:tc>
      </w:tr>
    </w:tbl>
    <w:p>
      <w:pPr>
        <w:spacing w:line="360" w:lineRule="auto"/>
        <w:contextualSpacing/>
        <w:jc w:val="left"/>
        <w:rPr>
          <w:rFonts w:ascii="宋体" w:hAnsi="宋体"/>
          <w:sz w:val="24"/>
          <w:szCs w:val="20"/>
        </w:rPr>
      </w:pPr>
    </w:p>
    <w:p>
      <w:pPr>
        <w:spacing w:line="360" w:lineRule="auto"/>
        <w:contextualSpacing/>
        <w:jc w:val="left"/>
        <w:rPr>
          <w:rFonts w:ascii="宋体" w:hAnsi="宋体"/>
          <w:sz w:val="24"/>
          <w:szCs w:val="20"/>
        </w:rPr>
      </w:pPr>
      <w:r>
        <w:rPr>
          <w:rFonts w:hint="eastAsia" w:ascii="宋体" w:hAnsi="宋体"/>
          <w:sz w:val="24"/>
          <w:szCs w:val="20"/>
        </w:rPr>
        <w:t>注：</w:t>
      </w:r>
    </w:p>
    <w:p>
      <w:pPr>
        <w:spacing w:line="360" w:lineRule="auto"/>
        <w:contextualSpacing/>
        <w:jc w:val="left"/>
        <w:rPr>
          <w:rFonts w:ascii="宋体" w:hAnsi="宋体"/>
          <w:sz w:val="24"/>
          <w:szCs w:val="20"/>
        </w:rPr>
      </w:pPr>
      <w:r>
        <w:rPr>
          <w:rFonts w:hint="eastAsia" w:ascii="宋体" w:hAnsi="宋体"/>
          <w:sz w:val="24"/>
          <w:szCs w:val="20"/>
        </w:rPr>
        <w:t>1.在填写时，如本表格不适合投标单位的实际情况，可根据本表格式自行制表填写。</w:t>
      </w:r>
    </w:p>
    <w:p>
      <w:pPr>
        <w:spacing w:line="360" w:lineRule="auto"/>
        <w:contextualSpacing/>
        <w:jc w:val="left"/>
        <w:rPr>
          <w:rFonts w:ascii="宋体" w:hAnsi="宋体"/>
          <w:b/>
          <w:sz w:val="24"/>
          <w:szCs w:val="20"/>
        </w:rPr>
      </w:pPr>
      <w:r>
        <w:rPr>
          <w:rFonts w:hint="eastAsia" w:ascii="宋体" w:hAnsi="宋体"/>
          <w:b/>
          <w:sz w:val="24"/>
          <w:szCs w:val="20"/>
        </w:rPr>
        <w:t>2.投标人应当附本表所列证书的复印件及评标办法要求的其他证明材料并加盖投标人电子签章。</w:t>
      </w:r>
    </w:p>
    <w:p>
      <w:pPr>
        <w:spacing w:line="360" w:lineRule="auto"/>
        <w:contextualSpacing/>
        <w:rPr>
          <w:rFonts w:ascii="宋体" w:hAnsi="宋体"/>
          <w:spacing w:val="20"/>
          <w:sz w:val="24"/>
          <w:szCs w:val="20"/>
          <w:u w:val="single"/>
        </w:rPr>
      </w:pPr>
      <w:r>
        <w:rPr>
          <w:rFonts w:hint="eastAsia" w:ascii="宋体" w:hAnsi="宋体"/>
          <w:sz w:val="24"/>
        </w:rPr>
        <w:t>法定代表人或者委托代理人</w:t>
      </w:r>
      <w:r>
        <w:rPr>
          <w:rFonts w:hint="eastAsia" w:ascii="宋体" w:hAnsi="宋体"/>
          <w:spacing w:val="20"/>
          <w:sz w:val="24"/>
        </w:rPr>
        <w:t>（签字或者电子签名）：</w:t>
      </w:r>
      <w:r>
        <w:rPr>
          <w:rFonts w:hint="eastAsia" w:ascii="宋体" w:hAnsi="宋体"/>
          <w:spacing w:val="20"/>
          <w:sz w:val="24"/>
          <w:u w:val="single"/>
        </w:rPr>
        <w:t xml:space="preserve">        </w:t>
      </w:r>
    </w:p>
    <w:p>
      <w:pPr>
        <w:spacing w:line="360" w:lineRule="auto"/>
        <w:contextualSpacing/>
        <w:jc w:val="left"/>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pacing w:line="360" w:lineRule="auto"/>
        <w:contextualSpacing/>
        <w:jc w:val="left"/>
        <w:rPr>
          <w:rFonts w:ascii="宋体" w:hAnsi="宋体"/>
          <w:sz w:val="24"/>
          <w:szCs w:val="20"/>
        </w:rPr>
      </w:pPr>
      <w:r>
        <w:rPr>
          <w:rFonts w:hint="eastAsia" w:ascii="宋体" w:hAnsi="宋体"/>
          <w:spacing w:val="20"/>
          <w:sz w:val="24"/>
        </w:rPr>
        <w:t>日 期：</w:t>
      </w:r>
      <w:r>
        <w:rPr>
          <w:rFonts w:hint="eastAsia" w:ascii="宋体" w:hAnsi="宋体"/>
          <w:spacing w:val="20"/>
          <w:sz w:val="24"/>
          <w:u w:val="single"/>
        </w:rPr>
        <w:t xml:space="preserve">         </w:t>
      </w:r>
    </w:p>
    <w:p>
      <w:pPr>
        <w:spacing w:line="360" w:lineRule="auto"/>
        <w:contextualSpacing/>
        <w:jc w:val="left"/>
        <w:rPr>
          <w:rFonts w:ascii="宋体" w:hAnsi="宋体"/>
          <w:sz w:val="24"/>
          <w:szCs w:val="20"/>
        </w:rPr>
      </w:pPr>
    </w:p>
    <w:p>
      <w:pPr>
        <w:spacing w:line="360" w:lineRule="auto"/>
        <w:contextualSpacing/>
        <w:rPr>
          <w:rFonts w:ascii="宋体" w:hAnsi="宋体"/>
          <w:spacing w:val="20"/>
          <w:sz w:val="24"/>
          <w:szCs w:val="20"/>
          <w:u w:val="single"/>
        </w:rPr>
      </w:pPr>
      <w:r>
        <w:rPr>
          <w:rFonts w:hint="eastAsia" w:ascii="宋体" w:hAnsi="宋体"/>
          <w:sz w:val="24"/>
        </w:rPr>
        <w:t>法定代表人或者委托代理人</w:t>
      </w:r>
      <w:r>
        <w:rPr>
          <w:rFonts w:hint="eastAsia" w:ascii="宋体" w:hAnsi="宋体"/>
          <w:spacing w:val="20"/>
          <w:sz w:val="24"/>
        </w:rPr>
        <w:t>（签字或电子签名）：</w:t>
      </w:r>
      <w:r>
        <w:rPr>
          <w:rFonts w:hint="eastAsia" w:ascii="宋体" w:hAnsi="宋体"/>
          <w:spacing w:val="20"/>
          <w:sz w:val="24"/>
          <w:u w:val="single"/>
        </w:rPr>
        <w:t xml:space="preserve">        </w:t>
      </w:r>
    </w:p>
    <w:p>
      <w:pPr>
        <w:spacing w:line="360" w:lineRule="auto"/>
        <w:contextualSpacing/>
        <w:jc w:val="left"/>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napToGrid w:val="0"/>
        <w:spacing w:before="50" w:after="120" w:afterLines="50"/>
        <w:jc w:val="left"/>
        <w:rPr>
          <w:rFonts w:hAnsi="宋体"/>
          <w:sz w:val="24"/>
        </w:rPr>
      </w:pP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p>
    <w:p>
      <w:pPr>
        <w:snapToGrid w:val="0"/>
        <w:spacing w:before="50" w:after="120" w:afterLines="50"/>
        <w:jc w:val="left"/>
        <w:rPr>
          <w:rFonts w:hAnsi="宋体"/>
          <w:sz w:val="24"/>
        </w:rPr>
      </w:pPr>
    </w:p>
    <w:p>
      <w:pPr>
        <w:snapToGrid w:val="0"/>
        <w:spacing w:before="120" w:beforeLines="50" w:after="50"/>
        <w:ind w:left="142"/>
        <w:jc w:val="left"/>
        <w:rPr>
          <w:rFonts w:hAnsi="宋体"/>
          <w:sz w:val="24"/>
        </w:rPr>
        <w:sectPr>
          <w:footerReference r:id="rId19" w:type="first"/>
          <w:headerReference r:id="rId16" w:type="default"/>
          <w:footerReference r:id="rId17" w:type="default"/>
          <w:footerReference r:id="rId18" w:type="even"/>
          <w:pgSz w:w="11906" w:h="16838"/>
          <w:pgMar w:top="1134" w:right="1503" w:bottom="1559" w:left="1678" w:header="851" w:footer="992" w:gutter="0"/>
          <w:cols w:space="720" w:num="1"/>
          <w:titlePg/>
          <w:docGrid w:linePitch="312" w:charSpace="0"/>
        </w:sectPr>
      </w:pPr>
    </w:p>
    <w:p>
      <w:pPr>
        <w:snapToGrid w:val="0"/>
        <w:spacing w:before="120" w:beforeLines="50" w:after="50"/>
        <w:ind w:left="142"/>
        <w:jc w:val="left"/>
        <w:rPr>
          <w:rFonts w:ascii="宋体" w:hAnsi="宋体"/>
          <w:b/>
          <w:sz w:val="24"/>
        </w:rPr>
      </w:pPr>
      <w:r>
        <w:rPr>
          <w:rFonts w:hint="eastAsia" w:ascii="宋体" w:hAnsi="宋体"/>
          <w:b/>
          <w:sz w:val="24"/>
        </w:rPr>
        <w:t>8. 投标人系统维护的业绩证明文件</w:t>
      </w:r>
    </w:p>
    <w:p>
      <w:pPr>
        <w:pStyle w:val="36"/>
        <w:snapToGrid w:val="0"/>
        <w:ind w:left="480" w:hanging="480"/>
        <w:rPr>
          <w:rFonts w:ascii="宋体" w:hAnsi="宋体"/>
          <w:color w:val="000000"/>
          <w:sz w:val="24"/>
        </w:rPr>
      </w:pPr>
    </w:p>
    <w:p>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sz w:val="24"/>
        </w:rPr>
        <w:t>附表 ：相关项目业绩一览表（投标人同类项目合同复印件、用户验收报告、用户评价意见格式自拟）</w:t>
      </w:r>
    </w:p>
    <w:tbl>
      <w:tblPr>
        <w:tblStyle w:val="48"/>
        <w:tblW w:w="14567"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合同</w:t>
            </w:r>
          </w:p>
          <w:p>
            <w:pPr>
              <w:snapToGrid w:val="0"/>
              <w:spacing w:line="240" w:lineRule="exact"/>
              <w:jc w:val="center"/>
              <w:rPr>
                <w:rFonts w:ascii="宋体" w:hAnsi="宋体"/>
                <w:color w:val="000000"/>
                <w:sz w:val="24"/>
              </w:rPr>
            </w:pPr>
            <w:r>
              <w:rPr>
                <w:rFonts w:hint="eastAsia" w:ascii="宋体" w:hAnsi="宋体"/>
                <w:color w:val="000000"/>
                <w:sz w:val="24"/>
              </w:rPr>
              <w:t>金额</w:t>
            </w:r>
          </w:p>
          <w:p>
            <w:pPr>
              <w:snapToGrid w:val="0"/>
              <w:spacing w:line="240" w:lineRule="exact"/>
              <w:jc w:val="center"/>
              <w:rPr>
                <w:rFonts w:ascii="宋体" w:hAnsi="宋体"/>
                <w:color w:val="000000"/>
                <w:sz w:val="24"/>
              </w:rPr>
            </w:pPr>
            <w:r>
              <w:rPr>
                <w:rFonts w:hint="eastAsia" w:ascii="宋体" w:hAnsi="宋体"/>
                <w:color w:val="000000"/>
                <w:sz w:val="24"/>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采购人联系人及</w:t>
            </w:r>
          </w:p>
          <w:p>
            <w:pPr>
              <w:snapToGrid w:val="0"/>
              <w:spacing w:line="240" w:lineRule="exact"/>
              <w:jc w:val="center"/>
              <w:rPr>
                <w:rFonts w:ascii="宋体" w:hAnsi="宋体"/>
                <w:color w:val="000000"/>
                <w:sz w:val="24"/>
              </w:rPr>
            </w:pPr>
            <w:r>
              <w:rPr>
                <w:rFonts w:hint="eastAsia" w:ascii="宋体" w:hAnsi="宋体"/>
                <w:color w:val="000000"/>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合同</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验收报告</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000000"/>
                <w:sz w:val="24"/>
              </w:rPr>
            </w:pPr>
            <w:r>
              <w:rPr>
                <w:rFonts w:hint="eastAsia" w:ascii="宋体" w:hAnsi="宋体"/>
                <w:color w:val="000000"/>
                <w:sz w:val="24"/>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141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宋体" w:hAnsi="宋体"/>
                <w:color w:val="000000"/>
                <w:sz w:val="24"/>
              </w:rPr>
            </w:pPr>
          </w:p>
        </w:tc>
      </w:tr>
    </w:tbl>
    <w:p>
      <w:pPr>
        <w:spacing w:line="360" w:lineRule="auto"/>
        <w:ind w:left="72"/>
        <w:rPr>
          <w:szCs w:val="20"/>
        </w:rPr>
      </w:pPr>
      <w:r>
        <w:rPr>
          <w:rFonts w:hint="eastAsia"/>
          <w:szCs w:val="20"/>
        </w:rPr>
        <w:t>注：投标人可按上述的格式自行编制，须随表提交相应的合同复印件和用户单位验收证明并注明所在投标人商务技术文件页码。</w:t>
      </w:r>
    </w:p>
    <w:p>
      <w:pPr>
        <w:snapToGrid w:val="0"/>
        <w:spacing w:line="360" w:lineRule="auto"/>
        <w:ind w:firstLine="4935" w:firstLineChars="2350"/>
        <w:rPr>
          <w:rFonts w:hAnsi="宋体"/>
          <w:color w:val="000000"/>
          <w:szCs w:val="21"/>
        </w:rPr>
      </w:pPr>
      <w:r>
        <w:rPr>
          <w:rFonts w:hAnsi="宋体"/>
          <w:color w:val="000000"/>
          <w:szCs w:val="21"/>
        </w:rPr>
        <w:t xml:space="preserve"> </w:t>
      </w:r>
    </w:p>
    <w:p>
      <w:pPr>
        <w:snapToGrid w:val="0"/>
        <w:spacing w:line="360" w:lineRule="auto"/>
        <w:ind w:firstLine="4935" w:firstLineChars="2350"/>
        <w:rPr>
          <w:rFonts w:hAnsi="宋体"/>
          <w:color w:val="000000"/>
          <w:szCs w:val="21"/>
        </w:rPr>
      </w:pPr>
    </w:p>
    <w:p>
      <w:pPr>
        <w:snapToGrid w:val="0"/>
        <w:spacing w:line="360" w:lineRule="auto"/>
        <w:ind w:firstLine="10080" w:firstLineChars="4800"/>
        <w:rPr>
          <w:rFonts w:ascii="仿宋_GB2312" w:hAnsi="仿宋" w:eastAsia="仿宋_GB2312" w:cs="仿宋_GB2312"/>
          <w:kern w:val="0"/>
          <w:sz w:val="24"/>
          <w:lang w:val="zh-CN"/>
        </w:rPr>
      </w:pPr>
      <w:r>
        <w:rPr>
          <w:rFonts w:hAnsi="宋体"/>
          <w:color w:val="000000"/>
          <w:szCs w:val="21"/>
        </w:rPr>
        <w:t xml:space="preserve"> </w:t>
      </w:r>
      <w:r>
        <w:rPr>
          <w:rFonts w:hint="eastAsia" w:ascii="仿宋_GB2312" w:hAnsi="仿宋" w:eastAsia="仿宋_GB2312" w:cs="仿宋_GB2312"/>
          <w:kern w:val="0"/>
          <w:sz w:val="24"/>
          <w:lang w:val="zh-CN"/>
        </w:rPr>
        <w:t>投标人名称(电子签章)</w:t>
      </w:r>
    </w:p>
    <w:p>
      <w:pPr>
        <w:snapToGrid w:val="0"/>
        <w:spacing w:line="360" w:lineRule="auto"/>
        <w:ind w:firstLine="10320" w:firstLineChars="4300"/>
        <w:rPr>
          <w:rFonts w:ascii="仿宋_GB2312" w:hAnsi="仿宋" w:eastAsia="仿宋_GB2312" w:cs="仿宋_GB2312"/>
          <w:kern w:val="0"/>
          <w:sz w:val="24"/>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before="120" w:beforeLines="50" w:after="50"/>
        <w:ind w:firstLine="566" w:firstLineChars="236"/>
        <w:jc w:val="center"/>
        <w:rPr>
          <w:rFonts w:ascii="宋体" w:hAnsi="宋体"/>
          <w:sz w:val="24"/>
        </w:rPr>
        <w:sectPr>
          <w:pgSz w:w="16838" w:h="11906" w:orient="landscape"/>
          <w:pgMar w:top="1503" w:right="1559" w:bottom="1678" w:left="1134" w:header="851" w:footer="992" w:gutter="0"/>
          <w:cols w:space="720" w:num="1"/>
          <w:titlePg/>
          <w:docGrid w:linePitch="312" w:charSpace="0"/>
        </w:sectPr>
      </w:pPr>
    </w:p>
    <w:p>
      <w:pPr>
        <w:snapToGrid w:val="0"/>
        <w:spacing w:before="120" w:beforeLines="50" w:after="50" w:line="360" w:lineRule="auto"/>
        <w:outlineLvl w:val="1"/>
        <w:rPr>
          <w:rFonts w:ascii="宋体" w:hAnsi="宋体"/>
          <w:b/>
          <w:bCs/>
          <w:sz w:val="28"/>
          <w:szCs w:val="28"/>
        </w:rPr>
      </w:pPr>
      <w:r>
        <w:rPr>
          <w:rFonts w:hint="eastAsia" w:ascii="宋体" w:hAnsi="宋体"/>
          <w:b/>
          <w:bCs/>
          <w:sz w:val="28"/>
          <w:szCs w:val="28"/>
        </w:rPr>
        <w:t>五、技术文件格式</w:t>
      </w:r>
      <w:bookmarkEnd w:id="577"/>
    </w:p>
    <w:p>
      <w:pPr>
        <w:snapToGrid w:val="0"/>
        <w:spacing w:before="120" w:beforeLines="50" w:after="50"/>
        <w:ind w:left="142"/>
        <w:jc w:val="left"/>
        <w:rPr>
          <w:rFonts w:ascii="宋体" w:hAnsi="宋体"/>
          <w:b/>
          <w:sz w:val="24"/>
        </w:rPr>
      </w:pPr>
    </w:p>
    <w:p>
      <w:pPr>
        <w:snapToGrid w:val="0"/>
        <w:spacing w:before="120" w:beforeLines="50" w:after="50"/>
        <w:ind w:left="142"/>
        <w:jc w:val="left"/>
        <w:rPr>
          <w:rFonts w:ascii="宋体" w:hAnsi="宋体"/>
          <w:b/>
          <w:sz w:val="24"/>
        </w:rPr>
      </w:pPr>
      <w:r>
        <w:rPr>
          <w:rFonts w:hint="eastAsia" w:ascii="宋体" w:hAnsi="宋体"/>
          <w:b/>
          <w:sz w:val="24"/>
        </w:rPr>
        <w:t xml:space="preserve">1. 技术文件封面格式： </w:t>
      </w:r>
    </w:p>
    <w:p>
      <w:pPr>
        <w:snapToGrid w:val="0"/>
        <w:spacing w:before="120" w:beforeLines="50" w:after="50"/>
        <w:rPr>
          <w:rFonts w:ascii="宋体" w:hAnsi="宋体"/>
          <w:b/>
          <w:bCs/>
          <w:sz w:val="32"/>
          <w:szCs w:val="20"/>
        </w:rPr>
      </w:pPr>
      <w:r>
        <w:rPr>
          <w:rFonts w:hint="eastAsia" w:ascii="宋体" w:hAnsi="宋体"/>
          <w:sz w:val="24"/>
        </w:rPr>
        <w:t xml:space="preserve">                                                   </w:t>
      </w:r>
      <w:r>
        <w:rPr>
          <w:rFonts w:ascii="宋体" w:hAnsi="宋体" w:cs="宋体"/>
          <w:spacing w:val="-2"/>
          <w:szCs w:val="21"/>
        </w:rPr>
        <w:t>全流程电子文件</w:t>
      </w:r>
    </w:p>
    <w:p>
      <w:pPr>
        <w:snapToGrid w:val="0"/>
        <w:spacing w:before="120" w:beforeLines="50" w:after="50"/>
        <w:rPr>
          <w:rFonts w:ascii="宋体" w:hAnsi="宋体"/>
          <w:sz w:val="24"/>
          <w:szCs w:val="20"/>
        </w:rPr>
      </w:pPr>
    </w:p>
    <w:p>
      <w:pPr>
        <w:snapToGrid w:val="0"/>
        <w:spacing w:before="120" w:beforeLines="50" w:after="50"/>
        <w:jc w:val="center"/>
        <w:rPr>
          <w:rFonts w:ascii="宋体" w:hAnsi="宋体"/>
          <w:b/>
          <w:bCs/>
          <w:sz w:val="32"/>
          <w:szCs w:val="32"/>
        </w:rPr>
      </w:pPr>
      <w:r>
        <w:rPr>
          <w:rFonts w:hint="eastAsia" w:ascii="宋体" w:hAnsi="宋体"/>
          <w:b/>
          <w:bCs/>
          <w:sz w:val="32"/>
          <w:szCs w:val="32"/>
        </w:rPr>
        <w:t>技术文件</w:t>
      </w:r>
    </w:p>
    <w:p>
      <w:pPr>
        <w:snapToGrid w:val="0"/>
        <w:spacing w:before="120" w:beforeLines="50" w:after="50"/>
        <w:rPr>
          <w:rFonts w:ascii="宋体" w:hAnsi="宋体"/>
          <w:bCs/>
          <w:sz w:val="24"/>
          <w:szCs w:val="20"/>
        </w:rPr>
      </w:pPr>
    </w:p>
    <w:p>
      <w:pPr>
        <w:snapToGrid w:val="0"/>
        <w:spacing w:before="120" w:beforeLines="50" w:after="50" w:line="400" w:lineRule="exact"/>
        <w:ind w:firstLine="360" w:firstLineChars="150"/>
        <w:rPr>
          <w:rFonts w:ascii="宋体" w:hAnsi="宋体"/>
          <w:bCs/>
          <w:sz w:val="24"/>
          <w:szCs w:val="20"/>
        </w:rPr>
      </w:pPr>
      <w:r>
        <w:rPr>
          <w:rFonts w:hint="eastAsia" w:ascii="宋体" w:hAnsi="宋体"/>
          <w:bCs/>
          <w:sz w:val="24"/>
        </w:rPr>
        <w:t xml:space="preserve">项目名称： </w:t>
      </w: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 xml:space="preserve">项目编号： </w:t>
      </w: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所投分标：</w:t>
      </w: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投标人名称：</w:t>
      </w:r>
    </w:p>
    <w:p>
      <w:pPr>
        <w:snapToGrid w:val="0"/>
        <w:spacing w:before="120" w:beforeLines="50" w:after="50" w:line="400" w:lineRule="exact"/>
        <w:ind w:firstLine="360" w:firstLineChars="150"/>
        <w:rPr>
          <w:rFonts w:ascii="宋体" w:hAnsi="宋体"/>
          <w:bCs/>
          <w:sz w:val="24"/>
        </w:rPr>
      </w:pPr>
      <w:r>
        <w:rPr>
          <w:rFonts w:hint="eastAsia" w:ascii="宋体" w:hAnsi="宋体"/>
          <w:bCs/>
          <w:sz w:val="24"/>
        </w:rPr>
        <w:t>投标人地址：</w:t>
      </w:r>
    </w:p>
    <w:p>
      <w:pPr>
        <w:snapToGrid w:val="0"/>
        <w:spacing w:before="120" w:beforeLines="50" w:after="50"/>
        <w:ind w:firstLine="645"/>
        <w:jc w:val="center"/>
        <w:rPr>
          <w:rFonts w:ascii="宋体" w:hAnsi="宋体"/>
          <w:sz w:val="24"/>
        </w:rPr>
      </w:pPr>
      <w:r>
        <w:rPr>
          <w:rFonts w:hint="eastAsia" w:ascii="宋体" w:hAnsi="宋体"/>
          <w:sz w:val="24"/>
        </w:rPr>
        <w:t xml:space="preserve">                        年    月    日</w:t>
      </w:r>
    </w:p>
    <w:p>
      <w:pPr>
        <w:snapToGrid w:val="0"/>
        <w:spacing w:before="120" w:beforeLines="50" w:after="50"/>
        <w:ind w:firstLine="645"/>
        <w:jc w:val="center"/>
        <w:rPr>
          <w:rFonts w:ascii="宋体" w:hAnsi="宋体"/>
          <w:sz w:val="24"/>
          <w:szCs w:val="20"/>
        </w:rPr>
      </w:pPr>
    </w:p>
    <w:p>
      <w:pPr>
        <w:snapToGrid w:val="0"/>
        <w:spacing w:before="120" w:beforeLines="50" w:after="50"/>
        <w:ind w:left="142"/>
        <w:jc w:val="left"/>
        <w:rPr>
          <w:rFonts w:ascii="宋体" w:hAnsi="宋体"/>
          <w:b/>
          <w:bCs/>
          <w:sz w:val="24"/>
        </w:rPr>
      </w:pPr>
      <w:r>
        <w:rPr>
          <w:rFonts w:ascii="宋体" w:hAnsi="宋体"/>
          <w:b/>
          <w:bCs/>
          <w:sz w:val="24"/>
        </w:rPr>
        <w:br w:type="page"/>
      </w:r>
      <w:r>
        <w:rPr>
          <w:rFonts w:hint="eastAsia" w:ascii="宋体" w:hAnsi="宋体"/>
          <w:b/>
          <w:bCs/>
          <w:sz w:val="24"/>
        </w:rPr>
        <w:t>2. 技术文件目录</w:t>
      </w:r>
    </w:p>
    <w:p>
      <w:pPr>
        <w:snapToGrid w:val="0"/>
        <w:spacing w:before="50" w:after="120" w:afterLines="50" w:line="280" w:lineRule="exact"/>
        <w:ind w:left="283" w:leftChars="135"/>
        <w:jc w:val="left"/>
        <w:rPr>
          <w:rFonts w:ascii="宋体" w:hAnsi="宋体"/>
          <w:sz w:val="24"/>
          <w:szCs w:val="20"/>
        </w:rPr>
      </w:pPr>
      <w:r>
        <w:rPr>
          <w:rFonts w:hint="eastAsia" w:ascii="宋体" w:hAnsi="宋体"/>
          <w:szCs w:val="21"/>
        </w:rPr>
        <w:t>根据招标文件规定及投标人提供的材料自行编写目录。</w:t>
      </w:r>
    </w:p>
    <w:p>
      <w:pPr>
        <w:snapToGrid w:val="0"/>
        <w:spacing w:before="120" w:beforeLines="50" w:after="50"/>
        <w:jc w:val="left"/>
        <w:rPr>
          <w:rFonts w:ascii="宋体" w:hAnsi="宋体"/>
          <w:b/>
          <w:sz w:val="24"/>
        </w:rPr>
      </w:pPr>
    </w:p>
    <w:p>
      <w:pPr>
        <w:snapToGrid w:val="0"/>
        <w:spacing w:before="120" w:beforeLines="50" w:after="50"/>
        <w:ind w:left="142"/>
        <w:jc w:val="left"/>
        <w:rPr>
          <w:rFonts w:ascii="宋体" w:hAnsi="宋体"/>
          <w:b/>
          <w:sz w:val="24"/>
        </w:rPr>
      </w:pPr>
      <w:r>
        <w:rPr>
          <w:rFonts w:ascii="宋体" w:hAnsi="宋体"/>
          <w:b/>
          <w:sz w:val="24"/>
        </w:rPr>
        <w:br w:type="page"/>
      </w:r>
      <w:r>
        <w:rPr>
          <w:rFonts w:hint="eastAsia" w:ascii="宋体" w:hAnsi="宋体"/>
          <w:b/>
          <w:sz w:val="24"/>
        </w:rPr>
        <w:t>3. 技术偏离表格式</w:t>
      </w:r>
    </w:p>
    <w:p>
      <w:pPr>
        <w:snapToGrid w:val="0"/>
        <w:spacing w:before="120" w:beforeLines="50" w:after="50"/>
        <w:ind w:left="142"/>
        <w:jc w:val="left"/>
        <w:rPr>
          <w:rFonts w:ascii="宋体" w:hAnsi="宋体"/>
          <w:b/>
          <w:sz w:val="24"/>
        </w:rPr>
      </w:pPr>
    </w:p>
    <w:p>
      <w:pPr>
        <w:snapToGrid w:val="0"/>
        <w:spacing w:before="120" w:beforeLines="50" w:after="50"/>
        <w:ind w:left="142"/>
        <w:jc w:val="center"/>
        <w:rPr>
          <w:rFonts w:ascii="宋体" w:hAnsi="宋体"/>
          <w:b/>
          <w:sz w:val="32"/>
          <w:szCs w:val="32"/>
        </w:rPr>
      </w:pPr>
      <w:r>
        <w:rPr>
          <w:rFonts w:hint="eastAsia" w:ascii="宋体" w:hAnsi="宋体"/>
          <w:b/>
          <w:sz w:val="32"/>
          <w:szCs w:val="32"/>
        </w:rPr>
        <w:t>技术偏离表</w:t>
      </w:r>
    </w:p>
    <w:p>
      <w:pPr>
        <w:pStyle w:val="26"/>
        <w:rPr>
          <w:rFonts w:hAnsi="宋体"/>
          <w:sz w:val="24"/>
          <w:szCs w:val="24"/>
        </w:rPr>
      </w:pPr>
      <w:r>
        <w:rPr>
          <w:rFonts w:hint="eastAsia" w:hAnsi="宋体"/>
          <w:sz w:val="24"/>
          <w:szCs w:val="24"/>
        </w:rPr>
        <w:t>所投分标：</w:t>
      </w:r>
      <w:r>
        <w:rPr>
          <w:rFonts w:hint="eastAsia" w:hAnsi="宋体"/>
          <w:sz w:val="24"/>
          <w:szCs w:val="24"/>
          <w:u w:val="single"/>
        </w:rPr>
        <w:t xml:space="preserve">     </w:t>
      </w:r>
      <w:r>
        <w:rPr>
          <w:rFonts w:hint="eastAsia" w:hAnsi="宋体"/>
          <w:sz w:val="24"/>
          <w:szCs w:val="24"/>
        </w:rPr>
        <w:t>分标</w:t>
      </w:r>
    </w:p>
    <w:tbl>
      <w:tblPr>
        <w:tblStyle w:val="48"/>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52" w:type="dxa"/>
            <w:vAlign w:val="center"/>
          </w:tcPr>
          <w:p>
            <w:pPr>
              <w:pStyle w:val="26"/>
              <w:spacing w:line="400" w:lineRule="exact"/>
              <w:jc w:val="center"/>
              <w:rPr>
                <w:rFonts w:hAnsi="宋体" w:cs="Courier New"/>
                <w:kern w:val="2"/>
                <w:sz w:val="24"/>
                <w:szCs w:val="24"/>
              </w:rPr>
            </w:pPr>
            <w:r>
              <w:rPr>
                <w:rFonts w:hint="eastAsia" w:hAnsi="宋体" w:cs="Courier New"/>
                <w:kern w:val="2"/>
                <w:sz w:val="24"/>
                <w:szCs w:val="24"/>
              </w:rPr>
              <w:t>项号</w:t>
            </w:r>
          </w:p>
        </w:tc>
        <w:tc>
          <w:tcPr>
            <w:tcW w:w="2143" w:type="dxa"/>
            <w:vAlign w:val="center"/>
          </w:tcPr>
          <w:p>
            <w:pPr>
              <w:snapToGrid w:val="0"/>
              <w:spacing w:before="120" w:beforeLines="50"/>
              <w:jc w:val="center"/>
              <w:rPr>
                <w:rFonts w:ascii="宋体" w:hAnsi="宋体"/>
                <w:sz w:val="24"/>
              </w:rPr>
            </w:pPr>
            <w:r>
              <w:rPr>
                <w:rFonts w:hint="eastAsia" w:ascii="宋体" w:hAnsi="宋体"/>
                <w:sz w:val="24"/>
              </w:rPr>
              <w:t>项目</w:t>
            </w:r>
          </w:p>
        </w:tc>
        <w:tc>
          <w:tcPr>
            <w:tcW w:w="1834" w:type="dxa"/>
            <w:vAlign w:val="center"/>
          </w:tcPr>
          <w:p>
            <w:pPr>
              <w:snapToGrid w:val="0"/>
              <w:spacing w:before="120" w:beforeLines="50"/>
              <w:jc w:val="center"/>
              <w:rPr>
                <w:rFonts w:ascii="宋体" w:hAnsi="宋体"/>
                <w:sz w:val="24"/>
              </w:rPr>
            </w:pPr>
            <w:r>
              <w:rPr>
                <w:rFonts w:hint="eastAsia" w:ascii="宋体" w:hAnsi="宋体"/>
                <w:sz w:val="24"/>
              </w:rPr>
              <w:t>招标文件商务条款要求</w:t>
            </w:r>
          </w:p>
        </w:tc>
        <w:tc>
          <w:tcPr>
            <w:tcW w:w="2181" w:type="dxa"/>
            <w:vAlign w:val="center"/>
          </w:tcPr>
          <w:p>
            <w:pPr>
              <w:snapToGrid w:val="0"/>
              <w:spacing w:before="120" w:beforeLines="50"/>
              <w:jc w:val="center"/>
              <w:rPr>
                <w:rFonts w:ascii="宋体" w:hAnsi="宋体"/>
                <w:sz w:val="24"/>
              </w:rPr>
            </w:pPr>
            <w:r>
              <w:rPr>
                <w:rFonts w:hint="eastAsia" w:ascii="宋体" w:hAnsi="宋体"/>
                <w:sz w:val="24"/>
              </w:rPr>
              <w:t>投标人的承诺</w:t>
            </w:r>
          </w:p>
        </w:tc>
        <w:tc>
          <w:tcPr>
            <w:tcW w:w="1934" w:type="dxa"/>
            <w:vAlign w:val="center"/>
          </w:tcPr>
          <w:p>
            <w:pPr>
              <w:pStyle w:val="26"/>
              <w:spacing w:line="400" w:lineRule="exact"/>
              <w:jc w:val="center"/>
              <w:rPr>
                <w:rFonts w:hAnsi="宋体" w:cs="Courier New"/>
                <w:kern w:val="2"/>
                <w:sz w:val="24"/>
                <w:szCs w:val="24"/>
              </w:rPr>
            </w:pPr>
            <w:r>
              <w:rPr>
                <w:rFonts w:hint="eastAsia" w:hAnsi="宋体" w:cs="Courier New"/>
                <w:kern w:val="2"/>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jc w:val="center"/>
              <w:rPr>
                <w:rFonts w:hAnsi="宋体" w:cs="Courier New"/>
                <w:kern w:val="2"/>
                <w:sz w:val="24"/>
                <w:szCs w:val="24"/>
              </w:rPr>
            </w:pPr>
          </w:p>
        </w:tc>
        <w:tc>
          <w:tcPr>
            <w:tcW w:w="2143" w:type="dxa"/>
            <w:vAlign w:val="center"/>
          </w:tcPr>
          <w:p>
            <w:pPr>
              <w:pStyle w:val="26"/>
              <w:spacing w:line="600" w:lineRule="exact"/>
              <w:jc w:val="center"/>
              <w:rPr>
                <w:rFonts w:hAnsi="宋体" w:cs="Courier New"/>
                <w:kern w:val="2"/>
                <w:sz w:val="24"/>
                <w:szCs w:val="24"/>
              </w:rPr>
            </w:pPr>
          </w:p>
        </w:tc>
        <w:tc>
          <w:tcPr>
            <w:tcW w:w="1834" w:type="dxa"/>
            <w:vAlign w:val="center"/>
          </w:tcPr>
          <w:p>
            <w:pPr>
              <w:pStyle w:val="26"/>
              <w:spacing w:line="600" w:lineRule="exact"/>
              <w:jc w:val="center"/>
              <w:rPr>
                <w:rFonts w:hAnsi="宋体" w:cs="Courier New"/>
                <w:kern w:val="2"/>
                <w:sz w:val="24"/>
                <w:szCs w:val="24"/>
              </w:rPr>
            </w:pPr>
          </w:p>
        </w:tc>
        <w:tc>
          <w:tcPr>
            <w:tcW w:w="2181" w:type="dxa"/>
            <w:vAlign w:val="center"/>
          </w:tcPr>
          <w:p>
            <w:pPr>
              <w:pStyle w:val="26"/>
              <w:spacing w:line="600" w:lineRule="exact"/>
              <w:jc w:val="center"/>
              <w:rPr>
                <w:rFonts w:hAnsi="宋体" w:cs="Courier New"/>
                <w:kern w:val="2"/>
                <w:sz w:val="24"/>
                <w:szCs w:val="24"/>
              </w:rPr>
            </w:pPr>
          </w:p>
        </w:tc>
        <w:tc>
          <w:tcPr>
            <w:tcW w:w="1934" w:type="dxa"/>
            <w:vAlign w:val="center"/>
          </w:tcPr>
          <w:p>
            <w:pPr>
              <w:pStyle w:val="26"/>
              <w:spacing w:line="600" w:lineRule="exact"/>
              <w:jc w:val="center"/>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pPr>
              <w:pStyle w:val="26"/>
              <w:spacing w:line="600" w:lineRule="exact"/>
              <w:rPr>
                <w:rFonts w:hAnsi="宋体" w:cs="Courier New"/>
                <w:kern w:val="2"/>
                <w:sz w:val="24"/>
                <w:szCs w:val="24"/>
              </w:rPr>
            </w:pPr>
          </w:p>
        </w:tc>
        <w:tc>
          <w:tcPr>
            <w:tcW w:w="2143" w:type="dxa"/>
          </w:tcPr>
          <w:p>
            <w:pPr>
              <w:pStyle w:val="26"/>
              <w:spacing w:line="600" w:lineRule="exact"/>
              <w:rPr>
                <w:rFonts w:hAnsi="宋体" w:cs="Courier New"/>
                <w:kern w:val="2"/>
                <w:sz w:val="24"/>
                <w:szCs w:val="24"/>
              </w:rPr>
            </w:pPr>
          </w:p>
        </w:tc>
        <w:tc>
          <w:tcPr>
            <w:tcW w:w="1834" w:type="dxa"/>
          </w:tcPr>
          <w:p>
            <w:pPr>
              <w:pStyle w:val="26"/>
              <w:spacing w:line="600" w:lineRule="exact"/>
              <w:rPr>
                <w:rFonts w:hAnsi="宋体" w:cs="Courier New"/>
                <w:kern w:val="2"/>
                <w:sz w:val="24"/>
                <w:szCs w:val="24"/>
              </w:rPr>
            </w:pPr>
          </w:p>
        </w:tc>
        <w:tc>
          <w:tcPr>
            <w:tcW w:w="2181" w:type="dxa"/>
          </w:tcPr>
          <w:p>
            <w:pPr>
              <w:pStyle w:val="26"/>
              <w:spacing w:line="600" w:lineRule="exact"/>
              <w:rPr>
                <w:rFonts w:hAnsi="宋体" w:cs="Courier New"/>
                <w:kern w:val="2"/>
                <w:sz w:val="24"/>
                <w:szCs w:val="24"/>
              </w:rPr>
            </w:pPr>
          </w:p>
        </w:tc>
        <w:tc>
          <w:tcPr>
            <w:tcW w:w="1934" w:type="dxa"/>
          </w:tcPr>
          <w:p>
            <w:pPr>
              <w:pStyle w:val="26"/>
              <w:spacing w:line="600" w:lineRule="exact"/>
              <w:rPr>
                <w:rFonts w:hAnsi="宋体" w:cs="Courier New"/>
                <w:kern w:val="2"/>
                <w:sz w:val="24"/>
                <w:szCs w:val="24"/>
              </w:rPr>
            </w:pPr>
          </w:p>
        </w:tc>
      </w:tr>
    </w:tbl>
    <w:p>
      <w:pPr>
        <w:pStyle w:val="17"/>
        <w:spacing w:line="360" w:lineRule="auto"/>
        <w:contextualSpacing/>
        <w:rPr>
          <w:rFonts w:ascii="宋体" w:hAnsi="宋体"/>
        </w:rPr>
      </w:pPr>
      <w:r>
        <w:rPr>
          <w:rFonts w:hint="eastAsia" w:ascii="宋体" w:hAnsi="宋体"/>
        </w:rPr>
        <w:t>注：</w:t>
      </w:r>
    </w:p>
    <w:p>
      <w:pPr>
        <w:pStyle w:val="20"/>
        <w:spacing w:line="360" w:lineRule="auto"/>
        <w:ind w:firstLine="0" w:firstLineChars="0"/>
        <w:contextualSpacing/>
        <w:rPr>
          <w:rFonts w:hAnsi="仿宋_GB2312" w:cs="仿宋_GB2312"/>
          <w:szCs w:val="32"/>
        </w:rPr>
      </w:pPr>
      <w:r>
        <w:rPr>
          <w:rFonts w:hint="eastAsia" w:ascii="宋体" w:hAnsi="宋体" w:eastAsia="宋体"/>
          <w:sz w:val="24"/>
          <w:szCs w:val="24"/>
        </w:rPr>
        <w:t>1. 说明：应对照招标文件“第二章 采购需求”中的“技术要求”逐条作明确的投标响应，并作出偏离说明。</w:t>
      </w:r>
    </w:p>
    <w:p>
      <w:pPr>
        <w:pStyle w:val="17"/>
        <w:spacing w:line="360" w:lineRule="auto"/>
        <w:contextualSpacing/>
        <w:rPr>
          <w:rFonts w:ascii="宋体" w:hAnsi="宋体"/>
        </w:rPr>
      </w:pPr>
      <w:r>
        <w:rPr>
          <w:rFonts w:ascii="宋体" w:hAnsi="宋体"/>
          <w:b w:val="0"/>
          <w:bCs w:val="0"/>
        </w:rPr>
        <w:t>2.</w:t>
      </w:r>
      <w:r>
        <w:rPr>
          <w:rFonts w:hint="eastAsia" w:ascii="宋体" w:hAnsi="宋体"/>
          <w:b w:val="0"/>
          <w:bCs w:val="0"/>
        </w:rPr>
        <w:t>投标人应根据自身的承诺，对照招标文件要求，在“偏离说明”中注明“</w:t>
      </w:r>
      <w:r>
        <w:rPr>
          <w:rFonts w:hint="eastAsia" w:ascii="宋体" w:hAnsi="宋体"/>
        </w:rPr>
        <w:t>正偏离</w:t>
      </w:r>
      <w:r>
        <w:rPr>
          <w:rFonts w:hint="eastAsia" w:ascii="宋体" w:hAnsi="宋体"/>
          <w:b w:val="0"/>
          <w:bCs w:val="0"/>
        </w:rPr>
        <w:t>”、“</w:t>
      </w:r>
      <w:r>
        <w:rPr>
          <w:rFonts w:hint="eastAsia" w:ascii="宋体" w:hAnsi="宋体"/>
        </w:rPr>
        <w:t>负偏离</w:t>
      </w:r>
      <w:r>
        <w:rPr>
          <w:rFonts w:hint="eastAsia" w:ascii="宋体" w:hAnsi="宋体"/>
          <w:b w:val="0"/>
          <w:bCs w:val="0"/>
        </w:rPr>
        <w:t>”或者“</w:t>
      </w:r>
      <w:r>
        <w:rPr>
          <w:rFonts w:hint="eastAsia" w:ascii="宋体" w:hAnsi="宋体"/>
        </w:rPr>
        <w:t>无偏离</w:t>
      </w:r>
      <w:r>
        <w:rPr>
          <w:rFonts w:hint="eastAsia" w:ascii="宋体" w:hAnsi="宋体"/>
          <w:b w:val="0"/>
          <w:bCs w:val="0"/>
        </w:rPr>
        <w:t>”。既不属于“</w:t>
      </w:r>
      <w:r>
        <w:rPr>
          <w:rFonts w:hint="eastAsia" w:ascii="宋体" w:hAnsi="宋体"/>
        </w:rPr>
        <w:t>正偏离</w:t>
      </w:r>
      <w:r>
        <w:rPr>
          <w:rFonts w:hint="eastAsia" w:ascii="宋体" w:hAnsi="宋体"/>
          <w:b w:val="0"/>
          <w:bCs w:val="0"/>
        </w:rPr>
        <w:t>”也不属于“</w:t>
      </w:r>
      <w:r>
        <w:rPr>
          <w:rFonts w:hint="eastAsia" w:ascii="宋体" w:hAnsi="宋体"/>
        </w:rPr>
        <w:t>负偏离</w:t>
      </w:r>
      <w:r>
        <w:rPr>
          <w:rFonts w:hint="eastAsia" w:ascii="宋体" w:hAnsi="宋体"/>
          <w:b w:val="0"/>
          <w:bCs w:val="0"/>
        </w:rPr>
        <w:t>”即为“</w:t>
      </w:r>
      <w:r>
        <w:rPr>
          <w:rFonts w:hint="eastAsia" w:ascii="宋体" w:hAnsi="宋体"/>
        </w:rPr>
        <w:t>无偏离</w:t>
      </w:r>
      <w:r>
        <w:rPr>
          <w:rFonts w:hint="eastAsia" w:ascii="宋体" w:hAnsi="宋体"/>
          <w:b w:val="0"/>
          <w:bCs w:val="0"/>
        </w:rPr>
        <w:t>”。</w:t>
      </w:r>
    </w:p>
    <w:p>
      <w:pPr>
        <w:pStyle w:val="20"/>
        <w:spacing w:line="360" w:lineRule="auto"/>
        <w:ind w:firstLine="0" w:firstLineChars="0"/>
        <w:contextualSpacing/>
        <w:rPr>
          <w:rFonts w:ascii="宋体" w:hAnsi="宋体" w:eastAsia="宋体"/>
          <w:sz w:val="24"/>
          <w:szCs w:val="24"/>
        </w:rPr>
      </w:pPr>
      <w:r>
        <w:rPr>
          <w:rFonts w:hint="eastAsia" w:ascii="宋体" w:hAnsi="宋体" w:eastAsia="宋体"/>
          <w:sz w:val="24"/>
          <w:szCs w:val="24"/>
        </w:rPr>
        <w:t>3</w:t>
      </w:r>
      <w:r>
        <w:rPr>
          <w:rFonts w:ascii="宋体" w:hAnsi="宋体" w:eastAsia="宋体"/>
          <w:sz w:val="24"/>
          <w:szCs w:val="24"/>
        </w:rPr>
        <w:t>.</w:t>
      </w:r>
      <w:r>
        <w:rPr>
          <w:rFonts w:hint="eastAsia" w:ascii="宋体" w:hAnsi="宋体" w:eastAsia="宋体"/>
          <w:sz w:val="24"/>
          <w:szCs w:val="24"/>
        </w:rPr>
        <w:t xml:space="preserve"> 如技术偏离表中的投标响应与佐证材料不一致的，以佐证材料为准。</w:t>
      </w:r>
    </w:p>
    <w:p>
      <w:pPr>
        <w:pStyle w:val="17"/>
        <w:spacing w:line="360" w:lineRule="auto"/>
        <w:contextualSpacing/>
        <w:rPr>
          <w:rFonts w:ascii="宋体" w:hAnsi="宋体"/>
          <w:spacing w:val="20"/>
        </w:rPr>
      </w:pPr>
    </w:p>
    <w:p>
      <w:pPr>
        <w:spacing w:line="360" w:lineRule="auto"/>
        <w:contextualSpacing/>
        <w:rPr>
          <w:rFonts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（签字或电子签名）：</w:t>
      </w:r>
      <w:r>
        <w:rPr>
          <w:rFonts w:hint="eastAsia" w:ascii="宋体" w:hAnsi="宋体"/>
          <w:spacing w:val="20"/>
          <w:sz w:val="24"/>
          <w:u w:val="single"/>
        </w:rPr>
        <w:t xml:space="preserve">        </w:t>
      </w:r>
    </w:p>
    <w:p>
      <w:pPr>
        <w:spacing w:line="360" w:lineRule="auto"/>
        <w:contextualSpacing/>
        <w:rPr>
          <w:rFonts w:ascii="宋体" w:hAnsi="宋体"/>
          <w:spacing w:val="20"/>
          <w:sz w:val="24"/>
        </w:rPr>
      </w:pPr>
      <w:r>
        <w:rPr>
          <w:rFonts w:hint="eastAsia" w:ascii="宋体" w:hAnsi="宋体"/>
          <w:spacing w:val="20"/>
          <w:sz w:val="24"/>
        </w:rPr>
        <w:t>投标人名称（电子签章）：</w:t>
      </w:r>
      <w:r>
        <w:rPr>
          <w:rFonts w:hint="eastAsia" w:ascii="宋体" w:hAnsi="宋体"/>
          <w:spacing w:val="20"/>
          <w:sz w:val="24"/>
          <w:u w:val="single"/>
        </w:rPr>
        <w:t xml:space="preserve">            </w:t>
      </w:r>
      <w:r>
        <w:rPr>
          <w:rFonts w:hint="eastAsia" w:ascii="宋体" w:hAnsi="宋体"/>
          <w:spacing w:val="20"/>
          <w:sz w:val="24"/>
        </w:rPr>
        <w:t xml:space="preserve">              </w:t>
      </w:r>
    </w:p>
    <w:p>
      <w:pPr>
        <w:spacing w:line="360" w:lineRule="auto"/>
        <w:contextualSpacing/>
        <w:rPr>
          <w:rFonts w:ascii="宋体" w:hAnsi="宋体"/>
          <w:sz w:val="24"/>
          <w:szCs w:val="20"/>
        </w:rPr>
      </w:pP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p>
    <w:p>
      <w:pPr>
        <w:snapToGrid w:val="0"/>
        <w:spacing w:before="120" w:beforeLines="50" w:after="50" w:line="360" w:lineRule="auto"/>
        <w:outlineLvl w:val="1"/>
        <w:rPr>
          <w:rFonts w:ascii="宋体" w:hAnsi="宋体"/>
          <w:b/>
          <w:bCs/>
          <w:sz w:val="28"/>
          <w:szCs w:val="28"/>
        </w:rPr>
      </w:pPr>
      <w:r>
        <w:rPr>
          <w:rFonts w:ascii="宋体" w:hAnsi="宋体"/>
          <w:b/>
          <w:sz w:val="24"/>
        </w:rPr>
        <w:br w:type="page"/>
      </w:r>
      <w:bookmarkStart w:id="578" w:name="_Toc19686840"/>
      <w:r>
        <w:rPr>
          <w:rFonts w:hint="eastAsia" w:ascii="宋体" w:hAnsi="宋体"/>
          <w:b/>
          <w:bCs/>
          <w:sz w:val="28"/>
          <w:szCs w:val="28"/>
        </w:rPr>
        <w:t>六、其他文书、文件格式</w:t>
      </w:r>
      <w:bookmarkEnd w:id="578"/>
    </w:p>
    <w:p>
      <w:pPr>
        <w:spacing w:before="120" w:beforeLines="50" w:after="120" w:afterLines="50" w:line="400" w:lineRule="exact"/>
        <w:rPr>
          <w:rFonts w:ascii="宋体" w:hAnsi="宋体"/>
          <w:sz w:val="24"/>
        </w:rPr>
      </w:pPr>
    </w:p>
    <w:p>
      <w:pPr>
        <w:snapToGrid w:val="0"/>
        <w:spacing w:before="120" w:beforeLines="50" w:after="50"/>
        <w:ind w:left="142"/>
        <w:jc w:val="left"/>
        <w:rPr>
          <w:rFonts w:ascii="宋体" w:hAnsi="宋体"/>
          <w:b/>
          <w:spacing w:val="20"/>
          <w:sz w:val="24"/>
        </w:rPr>
      </w:pPr>
      <w:r>
        <w:rPr>
          <w:rFonts w:hint="eastAsia" w:ascii="宋体" w:hAnsi="宋体"/>
          <w:b/>
          <w:spacing w:val="20"/>
          <w:sz w:val="24"/>
        </w:rPr>
        <w:t>1.联合投标协议书格式</w:t>
      </w:r>
    </w:p>
    <w:p>
      <w:pPr>
        <w:pStyle w:val="7"/>
        <w:overflowPunct w:val="0"/>
        <w:jc w:val="center"/>
        <w:rPr>
          <w:rFonts w:ascii="宋体" w:hAnsi="宋体"/>
          <w:b/>
          <w:bCs/>
          <w:sz w:val="32"/>
          <w:szCs w:val="32"/>
        </w:rPr>
      </w:pPr>
      <w:r>
        <w:rPr>
          <w:rFonts w:hint="eastAsia" w:ascii="宋体" w:hAnsi="宋体"/>
          <w:b/>
          <w:bCs/>
          <w:sz w:val="32"/>
          <w:szCs w:val="32"/>
        </w:rPr>
        <w:t>联合体协议书</w:t>
      </w:r>
    </w:p>
    <w:p>
      <w:pPr>
        <w:pStyle w:val="7"/>
        <w:overflowPunct w:val="0"/>
        <w:spacing w:line="360" w:lineRule="auto"/>
        <w:ind w:firstLine="0"/>
        <w:contextualSpacing/>
        <w:rPr>
          <w:rFonts w:ascii="宋体" w:hAnsi="宋体"/>
          <w:sz w:val="24"/>
        </w:rPr>
      </w:pPr>
    </w:p>
    <w:p>
      <w:pPr>
        <w:pStyle w:val="7"/>
        <w:overflowPunct w:val="0"/>
        <w:spacing w:line="360" w:lineRule="auto"/>
        <w:contextualSpacing/>
        <w:rPr>
          <w:rFonts w:ascii="宋体" w:hAnsi="宋体"/>
          <w:sz w:val="24"/>
        </w:rPr>
      </w:pPr>
      <w:r>
        <w:rPr>
          <w:rFonts w:ascii="宋体" w:hAnsi="宋体"/>
          <w:sz w:val="24"/>
          <w:u w:val="single"/>
        </w:rPr>
        <w:t xml:space="preserve"> </w:t>
      </w:r>
      <w:r>
        <w:rPr>
          <w:rFonts w:ascii="宋体" w:hAnsi="宋体"/>
          <w:sz w:val="24"/>
          <w:u w:val="single"/>
        </w:rPr>
        <w:tab/>
      </w:r>
      <w:r>
        <w:rPr>
          <w:rFonts w:hint="eastAsia" w:ascii="宋体" w:hAnsi="宋体"/>
          <w:sz w:val="24"/>
        </w:rPr>
        <w:t>（所有成员单位名称）自愿组成</w:t>
      </w:r>
      <w:r>
        <w:rPr>
          <w:rFonts w:ascii="宋体" w:hAnsi="宋体"/>
          <w:sz w:val="24"/>
          <w:u w:val="single"/>
        </w:rPr>
        <w:t xml:space="preserve"> </w:t>
      </w:r>
      <w:r>
        <w:rPr>
          <w:rFonts w:ascii="宋体" w:hAnsi="宋体"/>
          <w:sz w:val="24"/>
          <w:u w:val="single"/>
        </w:rPr>
        <w:tab/>
      </w:r>
      <w:r>
        <w:rPr>
          <w:rFonts w:hint="eastAsia" w:ascii="宋体" w:hAnsi="宋体"/>
          <w:sz w:val="24"/>
        </w:rPr>
        <w:t>（联合体名称）联合体，共同参加</w:t>
      </w:r>
      <w:r>
        <w:rPr>
          <w:rFonts w:ascii="宋体" w:hAnsi="宋体"/>
          <w:sz w:val="24"/>
          <w:u w:val="single"/>
        </w:rPr>
        <w:t xml:space="preserve"> </w:t>
      </w:r>
      <w:r>
        <w:rPr>
          <w:rFonts w:ascii="宋体" w:hAnsi="宋体"/>
          <w:sz w:val="24"/>
          <w:u w:val="single"/>
        </w:rPr>
        <w:tab/>
      </w:r>
      <w:r>
        <w:rPr>
          <w:rFonts w:hint="eastAsia" w:ascii="宋体" w:hAnsi="宋体"/>
          <w:sz w:val="24"/>
          <w:u w:val="single"/>
        </w:rPr>
        <w:t>（项</w:t>
      </w:r>
      <w:r>
        <w:rPr>
          <w:rFonts w:hint="eastAsia" w:ascii="宋体" w:hAnsi="宋体"/>
          <w:sz w:val="24"/>
        </w:rPr>
        <w:t>目名称）采购招标项目投标。现就联合体投标事宜订立如下协议。</w:t>
      </w:r>
    </w:p>
    <w:p>
      <w:pPr>
        <w:pStyle w:val="7"/>
        <w:overflowPunct w:val="0"/>
        <w:spacing w:line="360" w:lineRule="auto"/>
        <w:contextualSpacing/>
        <w:rPr>
          <w:rFonts w:ascii="宋体" w:hAnsi="宋体"/>
          <w:sz w:val="24"/>
        </w:rPr>
      </w:pPr>
    </w:p>
    <w:p>
      <w:pPr>
        <w:pStyle w:val="7"/>
        <w:overflowPunct w:val="0"/>
        <w:spacing w:line="360" w:lineRule="auto"/>
        <w:ind w:firstLineChars="175"/>
        <w:contextualSpacing/>
        <w:rPr>
          <w:rFonts w:ascii="宋体" w:hAnsi="宋体"/>
          <w:sz w:val="24"/>
        </w:rPr>
      </w:pPr>
      <w:r>
        <w:rPr>
          <w:rFonts w:ascii="宋体" w:hAnsi="宋体"/>
          <w:sz w:val="24"/>
        </w:rPr>
        <w:t xml:space="preserve">1.  </w:t>
      </w:r>
      <w:r>
        <w:rPr>
          <w:rFonts w:ascii="宋体" w:hAnsi="宋体"/>
          <w:sz w:val="24"/>
          <w:u w:val="single"/>
        </w:rPr>
        <w:t xml:space="preserve"> </w:t>
      </w:r>
      <w:r>
        <w:rPr>
          <w:rFonts w:ascii="宋体" w:hAnsi="宋体"/>
          <w:sz w:val="24"/>
          <w:u w:val="single"/>
        </w:rPr>
        <w:tab/>
      </w:r>
      <w:r>
        <w:rPr>
          <w:rFonts w:hint="eastAsia" w:ascii="宋体" w:hAnsi="宋体"/>
          <w:sz w:val="24"/>
        </w:rPr>
        <w:t>（某成员单位名称）为</w:t>
      </w:r>
      <w:r>
        <w:rPr>
          <w:rFonts w:ascii="宋体" w:hAnsi="宋体"/>
          <w:sz w:val="24"/>
          <w:u w:val="single"/>
        </w:rPr>
        <w:t xml:space="preserve"> </w:t>
      </w:r>
      <w:r>
        <w:rPr>
          <w:rFonts w:ascii="宋体" w:hAnsi="宋体"/>
          <w:sz w:val="24"/>
          <w:u w:val="single"/>
        </w:rPr>
        <w:tab/>
      </w:r>
      <w:r>
        <w:rPr>
          <w:rFonts w:hint="eastAsia" w:ascii="宋体" w:hAnsi="宋体"/>
          <w:sz w:val="24"/>
        </w:rPr>
        <w:t>（联合体名称）牵头人。</w:t>
      </w:r>
    </w:p>
    <w:p>
      <w:pPr>
        <w:pStyle w:val="7"/>
        <w:overflowPunct w:val="0"/>
        <w:spacing w:line="360" w:lineRule="auto"/>
        <w:ind w:firstLineChars="175"/>
        <w:contextualSpacing/>
        <w:rPr>
          <w:rFonts w:ascii="宋体" w:hAnsi="宋体"/>
          <w:sz w:val="24"/>
        </w:rPr>
      </w:pPr>
      <w:r>
        <w:rPr>
          <w:rFonts w:ascii="宋体" w:hAnsi="宋体"/>
          <w:sz w:val="24"/>
        </w:rPr>
        <w:t>2.</w:t>
      </w:r>
      <w:r>
        <w:rPr>
          <w:rFonts w:hint="eastAsia" w:ascii="宋体" w:hAnsi="宋体"/>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pPr>
        <w:pStyle w:val="7"/>
        <w:overflowPunct w:val="0"/>
        <w:spacing w:line="360" w:lineRule="auto"/>
        <w:ind w:firstLineChars="175"/>
        <w:contextualSpacing/>
        <w:rPr>
          <w:rFonts w:ascii="宋体" w:hAnsi="宋体"/>
          <w:sz w:val="24"/>
        </w:rPr>
      </w:pPr>
      <w:r>
        <w:rPr>
          <w:rFonts w:ascii="宋体" w:hAnsi="宋体"/>
          <w:sz w:val="24"/>
        </w:rPr>
        <w:t>3.</w:t>
      </w:r>
      <w:r>
        <w:rPr>
          <w:rFonts w:hint="eastAsia" w:ascii="宋体" w:hAnsi="宋体"/>
          <w:sz w:val="24"/>
        </w:rPr>
        <w:t>联合体牵头人在本项目中签署和盖章的一切文件和处理的一切事宜，联合体各成员均予以承认。</w:t>
      </w:r>
      <w:r>
        <w:rPr>
          <w:rFonts w:ascii="宋体" w:hAnsi="宋体"/>
          <w:sz w:val="24"/>
        </w:rPr>
        <w:t xml:space="preserve"> </w:t>
      </w:r>
      <w:r>
        <w:rPr>
          <w:rFonts w:hint="eastAsia" w:ascii="宋体" w:hAnsi="宋体"/>
          <w:sz w:val="24"/>
        </w:rPr>
        <w:t>联合体各成员将严格按照招标文件、投标文件和合同的要求全面履行义务，并向招标人承担连带责任。</w:t>
      </w:r>
    </w:p>
    <w:p>
      <w:pPr>
        <w:pStyle w:val="7"/>
        <w:overflowPunct w:val="0"/>
        <w:spacing w:line="360" w:lineRule="auto"/>
        <w:ind w:firstLineChars="175"/>
        <w:contextualSpacing/>
        <w:rPr>
          <w:rFonts w:ascii="宋体" w:hAnsi="宋体"/>
          <w:sz w:val="24"/>
        </w:rPr>
      </w:pPr>
      <w:r>
        <w:rPr>
          <w:rFonts w:ascii="宋体" w:hAnsi="宋体"/>
          <w:sz w:val="24"/>
        </w:rPr>
        <w:t>4.</w:t>
      </w:r>
      <w:r>
        <w:rPr>
          <w:rFonts w:hint="eastAsia" w:ascii="宋体" w:hAnsi="宋体"/>
          <w:sz w:val="24"/>
        </w:rPr>
        <w:t>联合体各成员单位内部的职责分工如下：</w:t>
      </w:r>
      <w:r>
        <w:rPr>
          <w:rFonts w:ascii="宋体" w:hAnsi="宋体"/>
          <w:sz w:val="24"/>
          <w:u w:val="single"/>
        </w:rPr>
        <w:t xml:space="preserve"> </w:t>
      </w:r>
      <w:r>
        <w:rPr>
          <w:rFonts w:ascii="宋体" w:hAnsi="宋体"/>
          <w:sz w:val="24"/>
          <w:u w:val="single"/>
        </w:rPr>
        <w:tab/>
      </w:r>
      <w:r>
        <w:rPr>
          <w:rFonts w:hint="eastAsia" w:ascii="宋体" w:hAnsi="宋体"/>
          <w:sz w:val="24"/>
        </w:rPr>
        <w:t>。</w:t>
      </w:r>
    </w:p>
    <w:p>
      <w:pPr>
        <w:pStyle w:val="7"/>
        <w:overflowPunct w:val="0"/>
        <w:spacing w:line="360" w:lineRule="auto"/>
        <w:ind w:firstLineChars="175"/>
        <w:contextualSpacing/>
        <w:rPr>
          <w:rFonts w:ascii="宋体" w:hAnsi="宋体"/>
          <w:sz w:val="24"/>
        </w:rPr>
      </w:pPr>
      <w:r>
        <w:rPr>
          <w:rFonts w:ascii="宋体" w:hAnsi="宋体"/>
          <w:sz w:val="24"/>
        </w:rPr>
        <w:t>5.</w:t>
      </w:r>
      <w:r>
        <w:rPr>
          <w:rFonts w:hint="eastAsia" w:ascii="宋体" w:hAnsi="宋体"/>
          <w:sz w:val="24"/>
        </w:rPr>
        <w:t>本协议书自所有成员单位法定代表人或者其委托代理人签字</w:t>
      </w:r>
      <w:r>
        <w:rPr>
          <w:rFonts w:hint="eastAsia" w:ascii="宋体" w:hAnsi="宋体"/>
          <w:spacing w:val="20"/>
          <w:sz w:val="24"/>
        </w:rPr>
        <w:t>或电子签名</w:t>
      </w:r>
      <w:r>
        <w:rPr>
          <w:rFonts w:hint="eastAsia" w:ascii="宋体" w:hAnsi="宋体"/>
          <w:sz w:val="24"/>
        </w:rPr>
        <w:t>或者盖公章或电子签章之日起生效，合同履行完毕后自动失效。</w:t>
      </w:r>
    </w:p>
    <w:p>
      <w:pPr>
        <w:pStyle w:val="7"/>
        <w:overflowPunct w:val="0"/>
        <w:spacing w:line="360" w:lineRule="auto"/>
        <w:ind w:firstLineChars="175"/>
        <w:contextualSpacing/>
        <w:rPr>
          <w:rFonts w:ascii="宋体" w:hAnsi="宋体"/>
          <w:sz w:val="24"/>
        </w:rPr>
      </w:pPr>
      <w:r>
        <w:rPr>
          <w:rFonts w:ascii="宋体" w:hAnsi="宋体"/>
          <w:sz w:val="24"/>
        </w:rPr>
        <w:t>6.</w:t>
      </w:r>
      <w:r>
        <w:rPr>
          <w:rFonts w:hint="eastAsia" w:ascii="宋体" w:hAnsi="宋体"/>
          <w:sz w:val="24"/>
        </w:rPr>
        <w:t>本协议书一式</w:t>
      </w:r>
      <w:r>
        <w:rPr>
          <w:rFonts w:ascii="宋体" w:hAnsi="宋体"/>
          <w:sz w:val="24"/>
          <w:u w:val="single"/>
        </w:rPr>
        <w:t xml:space="preserve"> </w:t>
      </w:r>
      <w:r>
        <w:rPr>
          <w:rFonts w:ascii="宋体" w:hAnsi="宋体"/>
          <w:sz w:val="24"/>
          <w:u w:val="single"/>
        </w:rPr>
        <w:tab/>
      </w:r>
      <w:r>
        <w:rPr>
          <w:rFonts w:hint="eastAsia" w:ascii="宋体" w:hAnsi="宋体"/>
          <w:sz w:val="24"/>
        </w:rPr>
        <w:t>份，联合体成员和招标人各执一份。</w:t>
      </w:r>
    </w:p>
    <w:p>
      <w:pPr>
        <w:pStyle w:val="7"/>
        <w:overflowPunct w:val="0"/>
        <w:spacing w:line="360" w:lineRule="auto"/>
        <w:ind w:firstLineChars="175"/>
        <w:contextualSpacing/>
        <w:rPr>
          <w:rFonts w:ascii="宋体" w:hAnsi="宋体"/>
          <w:sz w:val="24"/>
        </w:rPr>
      </w:pPr>
      <w:r>
        <w:rPr>
          <w:rFonts w:hint="eastAsia" w:ascii="宋体" w:hAnsi="宋体"/>
          <w:sz w:val="24"/>
        </w:rPr>
        <w:t>注：</w:t>
      </w:r>
      <w:r>
        <w:rPr>
          <w:rFonts w:hint="eastAsia" w:ascii="宋体" w:hAnsi="宋体" w:cs="仿宋_GB2312"/>
          <w:sz w:val="24"/>
          <w:szCs w:val="24"/>
        </w:rPr>
        <w:t>本协议书由法定代表人签字</w:t>
      </w:r>
      <w:r>
        <w:rPr>
          <w:rFonts w:hint="eastAsia" w:ascii="宋体" w:hAnsi="宋体" w:cs="宋体"/>
          <w:sz w:val="24"/>
        </w:rPr>
        <w:t>或电子签名</w:t>
      </w:r>
      <w:r>
        <w:rPr>
          <w:rFonts w:hint="eastAsia" w:ascii="宋体" w:hAnsi="宋体" w:cs="仿宋_GB2312"/>
          <w:sz w:val="24"/>
          <w:szCs w:val="24"/>
        </w:rPr>
        <w:t>的，应附法定代表人身份证明书；由委托代理人签字</w:t>
      </w:r>
      <w:r>
        <w:rPr>
          <w:rFonts w:hint="eastAsia" w:ascii="宋体" w:hAnsi="宋体" w:cs="宋体"/>
          <w:sz w:val="24"/>
        </w:rPr>
        <w:t>或电子签名</w:t>
      </w:r>
      <w:r>
        <w:rPr>
          <w:rFonts w:hint="eastAsia" w:ascii="宋体" w:hAnsi="宋体" w:cs="仿宋_GB2312"/>
          <w:sz w:val="24"/>
          <w:szCs w:val="24"/>
        </w:rPr>
        <w:t>的，应附联合体协议签订授权委托书（格式自拟）</w:t>
      </w:r>
      <w:r>
        <w:rPr>
          <w:rFonts w:hint="eastAsia" w:ascii="宋体" w:hAnsi="宋体"/>
          <w:sz w:val="24"/>
        </w:rPr>
        <w:t>。</w:t>
      </w:r>
    </w:p>
    <w:p>
      <w:pPr>
        <w:pStyle w:val="7"/>
        <w:overflowPunct w:val="0"/>
        <w:spacing w:line="360" w:lineRule="auto"/>
        <w:ind w:firstLineChars="175"/>
        <w:contextualSpacing/>
        <w:rPr>
          <w:rFonts w:ascii="宋体" w:hAnsi="宋体"/>
          <w:sz w:val="24"/>
        </w:rPr>
      </w:pPr>
    </w:p>
    <w:p>
      <w:pPr>
        <w:pStyle w:val="7"/>
        <w:overflowPunct w:val="0"/>
        <w:spacing w:line="360" w:lineRule="auto"/>
        <w:ind w:firstLineChars="175"/>
        <w:contextualSpacing/>
        <w:rPr>
          <w:rFonts w:ascii="宋体" w:hAnsi="宋体"/>
          <w:sz w:val="24"/>
        </w:rPr>
      </w:pPr>
      <w:r>
        <w:rPr>
          <w:rFonts w:hint="eastAsia" w:ascii="宋体" w:hAnsi="宋体"/>
          <w:sz w:val="24"/>
        </w:rPr>
        <w:t>联合体牵头人名称（盖公章或电子签章）：</w:t>
      </w:r>
    </w:p>
    <w:p>
      <w:pPr>
        <w:pStyle w:val="7"/>
        <w:overflowPunct w:val="0"/>
        <w:spacing w:line="360" w:lineRule="auto"/>
        <w:ind w:firstLineChars="175"/>
        <w:contextualSpacing/>
        <w:rPr>
          <w:rFonts w:ascii="宋体" w:hAnsi="宋体"/>
          <w:sz w:val="24"/>
        </w:rPr>
      </w:pPr>
      <w:r>
        <w:rPr>
          <w:rFonts w:hint="eastAsia" w:ascii="宋体" w:hAnsi="宋体"/>
          <w:sz w:val="24"/>
        </w:rPr>
        <w:t>法定代表人或者其委托代理人：</w:t>
      </w:r>
      <w:r>
        <w:rPr>
          <w:rFonts w:ascii="宋体" w:hAnsi="宋体"/>
          <w:sz w:val="24"/>
        </w:rPr>
        <w:t xml:space="preserve"> </w:t>
      </w:r>
      <w:r>
        <w:rPr>
          <w:rFonts w:ascii="宋体" w:hAnsi="宋体"/>
          <w:sz w:val="24"/>
        </w:rPr>
        <w:tab/>
      </w:r>
      <w:r>
        <w:rPr>
          <w:rFonts w:hint="eastAsia" w:ascii="宋体" w:hAnsi="宋体"/>
          <w:sz w:val="24"/>
        </w:rPr>
        <w:t>（签字</w:t>
      </w:r>
      <w:r>
        <w:rPr>
          <w:rFonts w:hint="eastAsia" w:ascii="宋体" w:hAnsi="宋体"/>
          <w:spacing w:val="20"/>
          <w:sz w:val="24"/>
        </w:rPr>
        <w:t>或电子签名</w:t>
      </w:r>
      <w:r>
        <w:rPr>
          <w:rFonts w:hint="eastAsia" w:ascii="宋体" w:hAnsi="宋体"/>
          <w:sz w:val="24"/>
        </w:rPr>
        <w:t>）</w:t>
      </w:r>
    </w:p>
    <w:p>
      <w:pPr>
        <w:pStyle w:val="7"/>
        <w:overflowPunct w:val="0"/>
        <w:spacing w:line="360" w:lineRule="auto"/>
        <w:ind w:firstLine="0"/>
        <w:contextualSpacing/>
        <w:rPr>
          <w:rFonts w:ascii="宋体" w:hAnsi="宋体"/>
          <w:sz w:val="24"/>
        </w:rPr>
      </w:pPr>
    </w:p>
    <w:p>
      <w:pPr>
        <w:pStyle w:val="7"/>
        <w:overflowPunct w:val="0"/>
        <w:spacing w:line="360" w:lineRule="auto"/>
        <w:ind w:firstLineChars="175"/>
        <w:contextualSpacing/>
        <w:rPr>
          <w:rFonts w:ascii="宋体" w:hAnsi="宋体"/>
          <w:sz w:val="24"/>
        </w:rPr>
      </w:pPr>
      <w:r>
        <w:rPr>
          <w:rFonts w:hint="eastAsia" w:ascii="宋体" w:hAnsi="宋体"/>
          <w:sz w:val="24"/>
        </w:rPr>
        <w:t>联合体成员名称（盖公章或电子签章）：</w:t>
      </w:r>
    </w:p>
    <w:p>
      <w:pPr>
        <w:pStyle w:val="7"/>
        <w:overflowPunct w:val="0"/>
        <w:spacing w:line="360" w:lineRule="auto"/>
        <w:ind w:firstLineChars="175"/>
        <w:contextualSpacing/>
        <w:rPr>
          <w:rFonts w:ascii="宋体" w:hAnsi="宋体"/>
          <w:sz w:val="24"/>
        </w:rPr>
      </w:pPr>
      <w:r>
        <w:rPr>
          <w:rFonts w:hint="eastAsia" w:ascii="宋体" w:hAnsi="宋体"/>
          <w:sz w:val="24"/>
        </w:rPr>
        <w:t>法定代表人或者其委托代理人：</w:t>
      </w:r>
      <w:r>
        <w:rPr>
          <w:rFonts w:ascii="宋体" w:hAnsi="宋体"/>
          <w:sz w:val="24"/>
        </w:rPr>
        <w:t xml:space="preserve"> </w:t>
      </w:r>
      <w:r>
        <w:rPr>
          <w:rFonts w:ascii="宋体" w:hAnsi="宋体"/>
          <w:sz w:val="24"/>
        </w:rPr>
        <w:tab/>
      </w:r>
      <w:r>
        <w:rPr>
          <w:rFonts w:hint="eastAsia" w:ascii="宋体" w:hAnsi="宋体"/>
          <w:sz w:val="24"/>
        </w:rPr>
        <w:t>（签字</w:t>
      </w:r>
      <w:r>
        <w:rPr>
          <w:rFonts w:hint="eastAsia" w:ascii="宋体" w:hAnsi="宋体"/>
          <w:spacing w:val="20"/>
          <w:sz w:val="24"/>
        </w:rPr>
        <w:t>或电子签名</w:t>
      </w:r>
      <w:r>
        <w:rPr>
          <w:rFonts w:hint="eastAsia" w:ascii="宋体" w:hAnsi="宋体"/>
          <w:sz w:val="24"/>
        </w:rPr>
        <w:t>）</w:t>
      </w:r>
    </w:p>
    <w:p>
      <w:pPr>
        <w:pStyle w:val="7"/>
        <w:overflowPunct w:val="0"/>
        <w:spacing w:line="360" w:lineRule="auto"/>
        <w:ind w:firstLineChars="175"/>
        <w:contextualSpacing/>
        <w:rPr>
          <w:rFonts w:ascii="宋体" w:hAnsi="宋体"/>
          <w:sz w:val="24"/>
        </w:rPr>
      </w:pPr>
      <w:r>
        <w:rPr>
          <w:rFonts w:ascii="宋体" w:hAnsi="宋体"/>
          <w:sz w:val="24"/>
        </w:rPr>
        <w:t>……</w:t>
      </w:r>
    </w:p>
    <w:p>
      <w:pPr>
        <w:pStyle w:val="7"/>
        <w:overflowPunct w:val="0"/>
        <w:spacing w:line="360" w:lineRule="auto"/>
        <w:ind w:firstLineChars="175"/>
        <w:contextualSpacing/>
        <w:rPr>
          <w:rFonts w:ascii="宋体" w:hAnsi="宋体"/>
          <w:sz w:val="24"/>
        </w:rPr>
      </w:pPr>
    </w:p>
    <w:p>
      <w:pPr>
        <w:pStyle w:val="7"/>
        <w:overflowPunct w:val="0"/>
        <w:spacing w:line="360" w:lineRule="auto"/>
        <w:ind w:firstLineChars="175"/>
        <w:contextualSpacing/>
        <w:jc w:val="right"/>
        <w:rPr>
          <w:rFonts w:ascii="宋体" w:hAnsi="宋体"/>
          <w:sz w:val="24"/>
        </w:rPr>
      </w:pPr>
      <w:r>
        <w:rPr>
          <w:rFonts w:ascii="宋体" w:hAnsi="宋体"/>
          <w:sz w:val="24"/>
        </w:rPr>
        <w:t xml:space="preserve"> </w:t>
      </w:r>
      <w:r>
        <w:rPr>
          <w:rFonts w:ascii="宋体" w:hAnsi="宋体"/>
          <w:sz w:val="24"/>
        </w:rPr>
        <w:tab/>
      </w:r>
      <w:r>
        <w:rPr>
          <w:rFonts w:hint="eastAsia" w:ascii="宋体" w:hAnsi="宋体"/>
          <w:sz w:val="24"/>
        </w:rPr>
        <w:t>年</w:t>
      </w:r>
      <w:r>
        <w:rPr>
          <w:rFonts w:ascii="宋体" w:hAnsi="宋体"/>
          <w:sz w:val="24"/>
        </w:rPr>
        <w:t xml:space="preserve"> </w:t>
      </w:r>
      <w:r>
        <w:rPr>
          <w:rFonts w:ascii="宋体" w:hAnsi="宋体"/>
          <w:sz w:val="24"/>
        </w:rPr>
        <w:tab/>
      </w:r>
      <w:r>
        <w:rPr>
          <w:rFonts w:hint="eastAsia" w:ascii="宋体" w:hAnsi="宋体"/>
          <w:sz w:val="24"/>
        </w:rPr>
        <w:t>月</w:t>
      </w:r>
      <w:r>
        <w:rPr>
          <w:rFonts w:ascii="宋体" w:hAnsi="宋体"/>
          <w:sz w:val="24"/>
        </w:rPr>
        <w:t xml:space="preserve"> </w:t>
      </w:r>
      <w:r>
        <w:rPr>
          <w:rFonts w:ascii="宋体" w:hAnsi="宋体"/>
          <w:sz w:val="24"/>
        </w:rPr>
        <w:tab/>
      </w:r>
      <w:r>
        <w:rPr>
          <w:rFonts w:hint="eastAsia" w:ascii="宋体" w:hAnsi="宋体"/>
          <w:sz w:val="24"/>
        </w:rPr>
        <w:t>日</w:t>
      </w:r>
    </w:p>
    <w:p>
      <w:pPr>
        <w:spacing w:line="360" w:lineRule="auto"/>
        <w:contextualSpacing/>
        <w:jc w:val="left"/>
        <w:rPr>
          <w:rFonts w:ascii="宋体" w:hAnsi="宋体"/>
          <w:b/>
          <w:sz w:val="24"/>
        </w:rPr>
      </w:pPr>
      <w:r>
        <w:rPr>
          <w:rFonts w:hint="eastAsia" w:ascii="宋体" w:hAnsi="宋体"/>
          <w:b/>
          <w:sz w:val="24"/>
        </w:rPr>
        <w:t xml:space="preserve"> </w:t>
      </w:r>
    </w:p>
    <w:p>
      <w:pPr>
        <w:spacing w:line="360" w:lineRule="auto"/>
        <w:contextualSpacing/>
        <w:jc w:val="left"/>
        <w:rPr>
          <w:rFonts w:ascii="宋体" w:hAnsi="宋体"/>
          <w:b/>
          <w:sz w:val="24"/>
        </w:rPr>
      </w:pPr>
    </w:p>
    <w:p>
      <w:pPr>
        <w:snapToGrid w:val="0"/>
        <w:spacing w:before="120" w:beforeLines="50" w:after="50"/>
        <w:jc w:val="left"/>
      </w:pPr>
      <w:r>
        <w:rPr>
          <w:rFonts w:hint="eastAsia" w:ascii="宋体" w:hAnsi="宋体"/>
          <w:b/>
          <w:sz w:val="24"/>
        </w:rPr>
        <w:t xml:space="preserve"> 2.中小企业声明函格式</w:t>
      </w:r>
    </w:p>
    <w:p/>
    <w:p>
      <w:pPr>
        <w:spacing w:line="588" w:lineRule="exact"/>
        <w:jc w:val="center"/>
        <w:rPr>
          <w:rFonts w:ascii="宋体" w:hAnsi="宋体"/>
          <w:b/>
          <w:spacing w:val="6"/>
          <w:sz w:val="32"/>
          <w:szCs w:val="32"/>
        </w:rPr>
      </w:pPr>
      <w:r>
        <w:rPr>
          <w:rFonts w:ascii="宋体" w:hAnsi="宋体"/>
          <w:b/>
          <w:spacing w:val="6"/>
          <w:sz w:val="32"/>
          <w:szCs w:val="32"/>
        </w:rPr>
        <w:t>中小企业声明函（</w:t>
      </w:r>
      <w:r>
        <w:rPr>
          <w:rFonts w:hint="eastAsia" w:ascii="宋体" w:hAnsi="宋体"/>
          <w:b/>
          <w:spacing w:val="6"/>
          <w:sz w:val="32"/>
          <w:szCs w:val="32"/>
        </w:rPr>
        <w:t>服务</w:t>
      </w:r>
      <w:r>
        <w:rPr>
          <w:rFonts w:ascii="宋体" w:hAnsi="宋体"/>
          <w:b/>
          <w:spacing w:val="6"/>
          <w:sz w:val="32"/>
          <w:szCs w:val="32"/>
        </w:rPr>
        <w:t>）</w:t>
      </w:r>
    </w:p>
    <w:p>
      <w:pPr>
        <w:spacing w:before="2" w:line="500" w:lineRule="exact"/>
        <w:rPr>
          <w:rFonts w:ascii="宋体" w:hAnsi="宋体" w:cs="宋体"/>
          <w:b/>
          <w:bCs/>
          <w:sz w:val="24"/>
        </w:rPr>
      </w:pPr>
    </w:p>
    <w:p>
      <w:pPr>
        <w:pStyle w:val="19"/>
        <w:spacing w:line="500" w:lineRule="exact"/>
        <w:ind w:right="142" w:firstLine="480" w:firstLineChars="200"/>
        <w:rPr>
          <w:rFonts w:ascii="宋体" w:hAnsi="宋体"/>
        </w:rPr>
      </w:pPr>
      <w:r>
        <w:rPr>
          <w:rFonts w:ascii="宋体" w:hAnsi="宋体"/>
        </w:rPr>
        <w:t>本公司（联合体）郑重声明，根据《政府采购促进中小企业发展管理办法》（财库﹝2020﹞46号）的规定，本公司（联合体）参加</w:t>
      </w:r>
      <w:r>
        <w:rPr>
          <w:rFonts w:ascii="宋体" w:hAnsi="宋体"/>
          <w:u w:val="single"/>
        </w:rPr>
        <w:t>（单位名称）</w:t>
      </w:r>
      <w:r>
        <w:rPr>
          <w:rFonts w:ascii="宋体" w:hAnsi="宋体"/>
        </w:rPr>
        <w:t>的</w:t>
      </w:r>
      <w:r>
        <w:rPr>
          <w:rFonts w:ascii="宋体" w:hAnsi="宋体"/>
          <w:u w:val="single"/>
        </w:rPr>
        <w:t>（项目名称）</w:t>
      </w:r>
      <w:r>
        <w:rPr>
          <w:rFonts w:ascii="宋体" w:hAnsi="宋体"/>
        </w:rPr>
        <w:t>采购活动，</w:t>
      </w:r>
      <w:r>
        <w:rPr>
          <w:rFonts w:hint="eastAsia" w:ascii="宋体" w:hAnsi="宋体"/>
        </w:rPr>
        <w:t>服务全部由符合政策要求的中小企业承接。相关企业（含联合体中的中小企业、签订分包意向协议的中小企业）的具体情况如下：</w:t>
      </w:r>
    </w:p>
    <w:p>
      <w:pPr>
        <w:tabs>
          <w:tab w:val="left" w:pos="1384"/>
          <w:tab w:val="left" w:pos="4562"/>
          <w:tab w:val="left" w:pos="6803"/>
        </w:tabs>
        <w:spacing w:before="13" w:line="500" w:lineRule="exact"/>
        <w:ind w:right="142" w:firstLine="686" w:firstLineChars="286"/>
        <w:rPr>
          <w:rFonts w:ascii="宋体" w:hAnsi="宋体"/>
          <w:sz w:val="24"/>
        </w:rPr>
      </w:pPr>
      <w:r>
        <w:rPr>
          <w:rFonts w:ascii="宋体" w:hAnsi="宋体"/>
          <w:sz w:val="24"/>
        </w:rPr>
        <w:t>1.</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w:t>
      </w:r>
      <w:r>
        <w:rPr>
          <w:rFonts w:ascii="宋体" w:hAnsi="宋体"/>
          <w:sz w:val="24"/>
          <w:u w:val="single"/>
        </w:rPr>
        <w:t>业）</w:t>
      </w:r>
      <w:r>
        <w:rPr>
          <w:rFonts w:ascii="宋体" w:hAnsi="宋体"/>
          <w:sz w:val="24"/>
        </w:rPr>
        <w:t>；</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pPr>
        <w:tabs>
          <w:tab w:val="left" w:pos="1065"/>
          <w:tab w:val="left" w:pos="4262"/>
          <w:tab w:val="left" w:pos="6477"/>
        </w:tabs>
        <w:spacing w:before="20" w:line="500" w:lineRule="exact"/>
        <w:ind w:right="84" w:firstLine="686" w:firstLineChars="286"/>
        <w:rPr>
          <w:rFonts w:ascii="宋体" w:hAnsi="宋体"/>
          <w:sz w:val="24"/>
          <w:u w:val="single"/>
        </w:rPr>
      </w:pPr>
      <w:r>
        <w:rPr>
          <w:rFonts w:ascii="宋体" w:hAnsi="宋体"/>
          <w:sz w:val="24"/>
        </w:rPr>
        <w:t>2.</w:t>
      </w:r>
      <w:r>
        <w:rPr>
          <w:rFonts w:ascii="宋体" w:hAnsi="宋体"/>
          <w:sz w:val="24"/>
          <w:u w:val="single"/>
        </w:rPr>
        <w:t>（标的名称）</w:t>
      </w:r>
      <w:r>
        <w:rPr>
          <w:rFonts w:ascii="宋体" w:hAnsi="宋体"/>
          <w:sz w:val="24"/>
        </w:rPr>
        <w:t>，属于</w:t>
      </w:r>
      <w:r>
        <w:rPr>
          <w:rFonts w:ascii="宋体" w:hAnsi="宋体"/>
          <w:sz w:val="24"/>
          <w:u w:val="single"/>
        </w:rPr>
        <w:t>（采购文件中明确的所属</w:t>
      </w:r>
      <w:r>
        <w:rPr>
          <w:rFonts w:hint="eastAsia" w:ascii="宋体" w:hAnsi="宋体"/>
          <w:sz w:val="24"/>
          <w:u w:val="single"/>
        </w:rPr>
        <w:t>行业</w:t>
      </w:r>
      <w:r>
        <w:rPr>
          <w:rFonts w:ascii="宋体" w:hAnsi="宋体"/>
          <w:sz w:val="24"/>
          <w:u w:val="single"/>
        </w:rPr>
        <w:t>）</w:t>
      </w:r>
      <w:r>
        <w:rPr>
          <w:rFonts w:ascii="宋体" w:hAnsi="宋体"/>
          <w:sz w:val="24"/>
        </w:rPr>
        <w:t>；</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pPr>
        <w:pStyle w:val="19"/>
        <w:spacing w:before="34" w:line="500" w:lineRule="exact"/>
        <w:ind w:left="765" w:right="142" w:hanging="5"/>
        <w:rPr>
          <w:rFonts w:ascii="宋体" w:hAnsi="宋体"/>
        </w:rPr>
      </w:pPr>
      <w:r>
        <w:rPr>
          <w:rFonts w:ascii="宋体" w:hAnsi="宋体"/>
        </w:rPr>
        <w:t xml:space="preserve">…… </w:t>
      </w:r>
    </w:p>
    <w:p>
      <w:pPr>
        <w:pStyle w:val="19"/>
        <w:spacing w:before="34" w:line="500" w:lineRule="exact"/>
        <w:ind w:right="142" w:firstLine="480" w:firstLineChars="200"/>
        <w:rPr>
          <w:rFonts w:ascii="宋体" w:hAnsi="宋体"/>
        </w:rPr>
      </w:pPr>
      <w:r>
        <w:rPr>
          <w:rFonts w:ascii="宋体" w:hAnsi="宋体"/>
        </w:rPr>
        <w:t>以上企业，不属于大企业的分支机构，不存在控股股东为大企业的情形，也不存在与大企业的负责人为同一人的情形。</w:t>
      </w:r>
    </w:p>
    <w:p>
      <w:pPr>
        <w:pStyle w:val="19"/>
        <w:spacing w:before="34" w:line="500" w:lineRule="exact"/>
        <w:ind w:right="142" w:firstLine="480" w:firstLineChars="200"/>
        <w:rPr>
          <w:rFonts w:ascii="宋体" w:hAnsi="宋体"/>
        </w:rPr>
      </w:pPr>
      <w:r>
        <w:rPr>
          <w:rFonts w:ascii="宋体" w:hAnsi="宋体"/>
        </w:rPr>
        <w:t>本企业对上述声明内容的真实性负责。如有虚假，将依法承担相应责任。</w:t>
      </w:r>
    </w:p>
    <w:p>
      <w:pPr>
        <w:pStyle w:val="19"/>
        <w:spacing w:before="56" w:line="500" w:lineRule="exact"/>
        <w:ind w:left="3960" w:right="1808"/>
        <w:rPr>
          <w:rFonts w:ascii="宋体" w:hAnsi="宋体"/>
        </w:rPr>
      </w:pPr>
      <w:r>
        <w:rPr>
          <w:rFonts w:ascii="宋体" w:hAnsi="宋体"/>
        </w:rPr>
        <w:t>企业名称（</w:t>
      </w:r>
      <w:r>
        <w:rPr>
          <w:rFonts w:hint="eastAsia" w:ascii="宋体" w:hAnsi="宋体"/>
          <w:kern w:val="24"/>
        </w:rPr>
        <w:t>电子签章</w:t>
      </w:r>
      <w:r>
        <w:rPr>
          <w:rFonts w:ascii="宋体" w:hAnsi="宋体"/>
        </w:rPr>
        <w:t xml:space="preserve">）： </w:t>
      </w:r>
    </w:p>
    <w:p>
      <w:pPr>
        <w:pStyle w:val="19"/>
        <w:spacing w:before="56" w:line="500" w:lineRule="exact"/>
        <w:ind w:left="3960" w:right="1808"/>
        <w:rPr>
          <w:rFonts w:ascii="宋体" w:hAnsi="宋体"/>
        </w:rPr>
      </w:pPr>
      <w:r>
        <w:rPr>
          <w:rFonts w:ascii="宋体" w:hAnsi="宋体"/>
        </w:rPr>
        <w:t>日 期：</w:t>
      </w:r>
    </w:p>
    <w:p>
      <w:pPr>
        <w:rPr>
          <w:rFonts w:ascii="宋体" w:hAnsi="宋体"/>
          <w:sz w:val="24"/>
        </w:rPr>
      </w:pPr>
      <w:r>
        <w:rPr>
          <w:rFonts w:hint="eastAsia" w:ascii="宋体" w:hAnsi="宋体"/>
          <w:spacing w:val="6"/>
          <w:sz w:val="24"/>
        </w:rPr>
        <w:t xml:space="preserve"> </w:t>
      </w:r>
    </w:p>
    <w:p>
      <w:pPr>
        <w:rPr>
          <w:rFonts w:ascii="宋体" w:hAnsi="宋体"/>
          <w:b/>
          <w:sz w:val="24"/>
        </w:rPr>
      </w:pPr>
      <w:r>
        <w:rPr>
          <w:rFonts w:hint="eastAsia" w:ascii="宋体" w:hAnsi="宋体"/>
          <w:sz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br w:type="page"/>
      </w:r>
      <w:r>
        <w:rPr>
          <w:rFonts w:hint="eastAsia" w:ascii="宋体" w:hAnsi="宋体"/>
          <w:b/>
          <w:sz w:val="24"/>
        </w:rPr>
        <w:t>3.残疾人福利性单位声明函格式</w:t>
      </w:r>
    </w:p>
    <w:p>
      <w:pPr>
        <w:spacing w:line="588" w:lineRule="exact"/>
        <w:jc w:val="center"/>
        <w:rPr>
          <w:rFonts w:ascii="仿宋_GB2312" w:eastAsia="仿宋_GB2312"/>
          <w:b/>
          <w:spacing w:val="6"/>
          <w:sz w:val="32"/>
          <w:szCs w:val="32"/>
        </w:rPr>
      </w:pPr>
      <w:bookmarkStart w:id="579" w:name="OLE_LINK14"/>
      <w:bookmarkStart w:id="580" w:name="OLE_LINK13"/>
    </w:p>
    <w:p>
      <w:pPr>
        <w:spacing w:line="588" w:lineRule="exact"/>
        <w:jc w:val="center"/>
        <w:rPr>
          <w:rFonts w:ascii="宋体" w:hAnsi="宋体"/>
          <w:b/>
          <w:spacing w:val="6"/>
          <w:sz w:val="32"/>
          <w:szCs w:val="32"/>
        </w:rPr>
      </w:pPr>
      <w:r>
        <w:rPr>
          <w:rFonts w:hint="eastAsia" w:ascii="宋体" w:hAnsi="宋体"/>
          <w:b/>
          <w:spacing w:val="6"/>
          <w:sz w:val="32"/>
          <w:szCs w:val="32"/>
        </w:rPr>
        <w:t>残疾人福利性单位声明函</w:t>
      </w:r>
    </w:p>
    <w:bookmarkEnd w:id="579"/>
    <w:bookmarkEnd w:id="580"/>
    <w:p>
      <w:pPr>
        <w:spacing w:line="588" w:lineRule="exact"/>
        <w:rPr>
          <w:rFonts w:ascii="仿宋_GB2312" w:eastAsia="仿宋_GB2312"/>
          <w:b/>
          <w:spacing w:val="6"/>
          <w:sz w:val="30"/>
          <w:szCs w:val="30"/>
        </w:rPr>
      </w:pPr>
    </w:p>
    <w:p>
      <w:pPr>
        <w:spacing w:line="360" w:lineRule="auto"/>
        <w:ind w:firstLine="504" w:firstLineChars="200"/>
        <w:contextualSpacing/>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w:t>
      </w:r>
      <w:r>
        <w:rPr>
          <w:rFonts w:hint="eastAsia" w:ascii="宋体" w:hAnsi="宋体"/>
          <w:sz w:val="24"/>
        </w:rPr>
        <w:t>〔2017〕 141</w:t>
      </w:r>
      <w:r>
        <w:rPr>
          <w:rFonts w:hint="eastAsia" w:ascii="宋体" w:hAnsi="宋体"/>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宋体" w:hAnsi="宋体"/>
          <w:spacing w:val="-6"/>
          <w:sz w:val="24"/>
        </w:rPr>
        <w:t>疾人福利性单位制造的货物（不包括使用非残疾人福利性单位注册商标的货物）。</w:t>
      </w:r>
    </w:p>
    <w:p>
      <w:pPr>
        <w:spacing w:line="360" w:lineRule="auto"/>
        <w:ind w:firstLine="504" w:firstLineChars="200"/>
        <w:contextualSpacing/>
        <w:rPr>
          <w:rFonts w:ascii="宋体" w:hAnsi="宋体"/>
          <w:spacing w:val="6"/>
          <w:sz w:val="24"/>
        </w:rPr>
      </w:pPr>
      <w:r>
        <w:rPr>
          <w:rFonts w:hint="eastAsia" w:ascii="宋体" w:hAnsi="宋体"/>
          <w:spacing w:val="6"/>
          <w:sz w:val="24"/>
        </w:rPr>
        <w:t>本单位对上述声明的真实性负责。如有虚假，将依法承担相应责任。</w:t>
      </w:r>
    </w:p>
    <w:p>
      <w:pPr>
        <w:spacing w:line="360" w:lineRule="auto"/>
        <w:ind w:firstLine="504" w:firstLineChars="200"/>
        <w:contextualSpacing/>
        <w:rPr>
          <w:rFonts w:ascii="宋体" w:hAnsi="宋体"/>
          <w:spacing w:val="6"/>
          <w:sz w:val="24"/>
        </w:rPr>
      </w:pPr>
    </w:p>
    <w:p>
      <w:pPr>
        <w:spacing w:line="360" w:lineRule="auto"/>
        <w:ind w:firstLine="504" w:firstLineChars="200"/>
        <w:contextualSpacing/>
        <w:rPr>
          <w:rFonts w:ascii="宋体" w:hAnsi="宋体"/>
          <w:spacing w:val="6"/>
          <w:sz w:val="24"/>
        </w:rPr>
      </w:pPr>
    </w:p>
    <w:p>
      <w:pPr>
        <w:tabs>
          <w:tab w:val="left" w:pos="4860"/>
        </w:tabs>
        <w:spacing w:line="360" w:lineRule="auto"/>
        <w:ind w:right="1560" w:firstLine="504" w:firstLineChars="200"/>
        <w:contextualSpacing/>
        <w:jc w:val="center"/>
        <w:rPr>
          <w:rFonts w:ascii="宋体" w:hAnsi="宋体"/>
          <w:spacing w:val="6"/>
          <w:sz w:val="24"/>
        </w:rPr>
      </w:pPr>
      <w:r>
        <w:rPr>
          <w:rFonts w:hint="eastAsia" w:ascii="宋体" w:hAnsi="宋体"/>
          <w:spacing w:val="6"/>
          <w:sz w:val="24"/>
        </w:rPr>
        <w:t>单位名称（电子签章）：</w:t>
      </w:r>
    </w:p>
    <w:p>
      <w:pPr>
        <w:tabs>
          <w:tab w:val="left" w:pos="4860"/>
        </w:tabs>
        <w:spacing w:line="360" w:lineRule="auto"/>
        <w:ind w:right="1560" w:firstLine="504" w:firstLineChars="200"/>
        <w:contextualSpacing/>
        <w:jc w:val="center"/>
        <w:rPr>
          <w:rFonts w:ascii="宋体" w:hAnsi="宋体"/>
          <w:spacing w:val="6"/>
          <w:sz w:val="24"/>
        </w:rPr>
      </w:pPr>
      <w:r>
        <w:rPr>
          <w:rFonts w:hint="eastAsia" w:ascii="宋体" w:hAnsi="宋体"/>
          <w:spacing w:val="6"/>
          <w:sz w:val="24"/>
        </w:rPr>
        <w:t>日  期：</w:t>
      </w:r>
    </w:p>
    <w:p>
      <w:pPr>
        <w:spacing w:line="360" w:lineRule="auto"/>
        <w:contextualSpacing/>
        <w:rPr>
          <w:rFonts w:ascii="宋体" w:hAnsi="宋体"/>
          <w:sz w:val="24"/>
        </w:rPr>
      </w:pPr>
    </w:p>
    <w:p>
      <w:pPr>
        <w:spacing w:line="360" w:lineRule="auto"/>
        <w:contextualSpacing/>
        <w:rPr>
          <w:rFonts w:ascii="宋体" w:hAnsi="宋体"/>
          <w:sz w:val="24"/>
        </w:rPr>
      </w:pPr>
    </w:p>
    <w:p>
      <w:pPr>
        <w:spacing w:line="360" w:lineRule="auto"/>
        <w:contextualSpacing/>
        <w:rPr>
          <w:rFonts w:ascii="宋体" w:hAnsi="宋体"/>
          <w:sz w:val="24"/>
        </w:rPr>
      </w:pPr>
    </w:p>
    <w:p>
      <w:pPr>
        <w:spacing w:line="360" w:lineRule="auto"/>
        <w:contextualSpacing/>
        <w:rPr>
          <w:rFonts w:ascii="宋体" w:hAnsi="宋体"/>
          <w:sz w:val="24"/>
        </w:rPr>
      </w:pPr>
      <w:r>
        <w:rPr>
          <w:rFonts w:hint="eastAsia" w:ascii="宋体" w:hAnsi="宋体"/>
          <w:sz w:val="24"/>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ascii="宋体" w:hAnsi="宋体"/>
          <w:b/>
          <w:bCs/>
          <w:sz w:val="32"/>
          <w:szCs w:val="32"/>
        </w:rPr>
      </w:pPr>
      <w:r>
        <w:rPr>
          <w:rFonts w:ascii="宋体" w:hAnsi="宋体"/>
          <w:sz w:val="24"/>
        </w:rPr>
        <w:br w:type="page"/>
      </w:r>
      <w:r>
        <w:rPr>
          <w:rFonts w:hint="eastAsia" w:ascii="宋体" w:hAnsi="宋体"/>
          <w:b/>
          <w:sz w:val="24"/>
        </w:rPr>
        <w:t>4.质疑函（格式）</w:t>
      </w:r>
    </w:p>
    <w:p>
      <w:pPr>
        <w:spacing w:line="360" w:lineRule="auto"/>
        <w:jc w:val="center"/>
        <w:rPr>
          <w:rFonts w:ascii="宋体" w:hAnsi="宋体"/>
          <w:b/>
          <w:bCs/>
          <w:sz w:val="32"/>
          <w:szCs w:val="32"/>
        </w:rPr>
      </w:pPr>
      <w:r>
        <w:rPr>
          <w:rFonts w:hint="eastAsia" w:ascii="宋体" w:hAnsi="宋体"/>
          <w:b/>
          <w:bCs/>
          <w:sz w:val="32"/>
          <w:szCs w:val="32"/>
        </w:rPr>
        <w:t>质疑函（格式）</w:t>
      </w:r>
    </w:p>
    <w:p>
      <w:pPr>
        <w:pStyle w:val="26"/>
        <w:snapToGrid w:val="0"/>
        <w:spacing w:line="360" w:lineRule="auto"/>
        <w:ind w:firstLine="482" w:firstLineChars="200"/>
        <w:rPr>
          <w:rFonts w:hAnsi="宋体"/>
          <w:b/>
          <w:bCs/>
          <w:sz w:val="24"/>
          <w:szCs w:val="24"/>
        </w:rPr>
      </w:pPr>
      <w:r>
        <w:rPr>
          <w:rFonts w:hint="eastAsia" w:hAnsi="宋体"/>
          <w:b/>
          <w:bCs/>
          <w:sz w:val="24"/>
          <w:szCs w:val="24"/>
        </w:rPr>
        <w:t>一、质疑供应商基本信息：</w:t>
      </w:r>
    </w:p>
    <w:p>
      <w:pPr>
        <w:pStyle w:val="26"/>
        <w:snapToGrid w:val="0"/>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pPr>
        <w:pStyle w:val="26"/>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6"/>
        <w:snapToGrid w:val="0"/>
        <w:spacing w:line="360" w:lineRule="auto"/>
        <w:ind w:firstLine="480" w:firstLineChars="200"/>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pPr>
        <w:pStyle w:val="26"/>
        <w:snapToGrid w:val="0"/>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pPr>
        <w:pStyle w:val="26"/>
        <w:snapToGrid w:val="0"/>
        <w:spacing w:line="360" w:lineRule="auto"/>
        <w:ind w:firstLine="480" w:firstLineChars="200"/>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6"/>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6"/>
        <w:snapToGrid w:val="0"/>
        <w:spacing w:line="360" w:lineRule="auto"/>
        <w:ind w:firstLine="482" w:firstLineChars="200"/>
        <w:rPr>
          <w:rFonts w:hAnsi="宋体"/>
          <w:b/>
          <w:bCs/>
          <w:sz w:val="24"/>
          <w:szCs w:val="24"/>
        </w:rPr>
      </w:pPr>
      <w:r>
        <w:rPr>
          <w:rFonts w:hint="eastAsia" w:hAnsi="宋体"/>
          <w:b/>
          <w:bCs/>
          <w:sz w:val="24"/>
          <w:szCs w:val="24"/>
        </w:rPr>
        <w:t>二、质疑项目基本情况：</w:t>
      </w:r>
    </w:p>
    <w:p>
      <w:pPr>
        <w:pStyle w:val="26"/>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pPr>
        <w:pStyle w:val="26"/>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pPr>
        <w:pStyle w:val="26"/>
        <w:spacing w:line="360" w:lineRule="auto"/>
        <w:ind w:left="25" w:leftChars="12" w:firstLine="472" w:firstLineChars="197"/>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pPr>
        <w:pStyle w:val="26"/>
        <w:spacing w:line="360" w:lineRule="auto"/>
        <w:ind w:left="25" w:leftChars="12" w:firstLine="472" w:firstLineChars="197"/>
        <w:rPr>
          <w:rFonts w:hAnsi="宋体"/>
          <w:sz w:val="24"/>
          <w:szCs w:val="24"/>
        </w:rPr>
      </w:pPr>
      <w:r>
        <w:rPr>
          <w:rFonts w:hint="eastAsia" w:hAnsi="宋体"/>
          <w:sz w:val="24"/>
          <w:szCs w:val="24"/>
        </w:rPr>
        <w:t>质疑事项：</w:t>
      </w:r>
    </w:p>
    <w:p>
      <w:pPr>
        <w:pStyle w:val="26"/>
        <w:spacing w:line="360" w:lineRule="auto"/>
        <w:ind w:left="25" w:leftChars="12" w:firstLine="352" w:firstLineChars="147"/>
        <w:rPr>
          <w:rFonts w:hAnsi="宋体"/>
          <w:sz w:val="24"/>
          <w:szCs w:val="24"/>
        </w:rPr>
      </w:pPr>
      <w:r>
        <w:rPr>
          <w:rFonts w:hint="eastAsia" w:hAnsi="宋体"/>
          <w:sz w:val="24"/>
          <w:szCs w:val="24"/>
        </w:rPr>
        <w:t>□招标文件   招标文件获取日期：</w:t>
      </w:r>
      <w:r>
        <w:rPr>
          <w:rFonts w:hint="eastAsia" w:hAnsi="宋体"/>
          <w:bCs/>
          <w:sz w:val="24"/>
          <w:szCs w:val="24"/>
          <w:u w:val="single"/>
        </w:rPr>
        <w:t xml:space="preserve">                                   </w:t>
      </w:r>
    </w:p>
    <w:p>
      <w:pPr>
        <w:pStyle w:val="26"/>
        <w:spacing w:line="360" w:lineRule="auto"/>
        <w:ind w:left="25" w:leftChars="12" w:firstLine="352" w:firstLineChars="147"/>
        <w:rPr>
          <w:rFonts w:hAnsi="宋体"/>
          <w:sz w:val="24"/>
          <w:szCs w:val="24"/>
        </w:rPr>
      </w:pPr>
      <w:r>
        <w:rPr>
          <w:rFonts w:hint="eastAsia" w:hAnsi="宋体"/>
          <w:sz w:val="24"/>
          <w:szCs w:val="24"/>
        </w:rPr>
        <w:t xml:space="preserve">□采购过程   </w:t>
      </w:r>
    </w:p>
    <w:p>
      <w:pPr>
        <w:pStyle w:val="26"/>
        <w:spacing w:line="360" w:lineRule="auto"/>
        <w:ind w:left="25" w:leftChars="12" w:firstLine="352" w:firstLineChars="147"/>
        <w:rPr>
          <w:rFonts w:hAnsi="宋体"/>
          <w:bCs/>
          <w:sz w:val="24"/>
          <w:szCs w:val="24"/>
          <w:u w:val="single"/>
        </w:rPr>
      </w:pPr>
      <w:r>
        <w:rPr>
          <w:rFonts w:hint="eastAsia" w:hAnsi="宋体"/>
          <w:sz w:val="24"/>
          <w:szCs w:val="24"/>
        </w:rPr>
        <w:t xml:space="preserve">□中标结果   </w:t>
      </w:r>
    </w:p>
    <w:p>
      <w:pPr>
        <w:pStyle w:val="26"/>
        <w:spacing w:line="360" w:lineRule="auto"/>
        <w:ind w:left="25" w:leftChars="12" w:firstLine="472" w:firstLineChars="196"/>
        <w:rPr>
          <w:rFonts w:hAnsi="宋体"/>
          <w:b/>
          <w:sz w:val="24"/>
          <w:szCs w:val="24"/>
        </w:rPr>
      </w:pPr>
      <w:r>
        <w:rPr>
          <w:rFonts w:hint="eastAsia" w:hAnsi="宋体"/>
          <w:b/>
          <w:sz w:val="24"/>
          <w:szCs w:val="24"/>
        </w:rPr>
        <w:t>三、质疑事项具体内容</w:t>
      </w:r>
    </w:p>
    <w:p>
      <w:pPr>
        <w:pStyle w:val="26"/>
        <w:spacing w:line="360" w:lineRule="auto"/>
        <w:ind w:left="25" w:leftChars="12" w:firstLine="472" w:firstLineChars="197"/>
        <w:rPr>
          <w:rFonts w:hAnsi="宋体"/>
          <w:sz w:val="24"/>
          <w:szCs w:val="24"/>
        </w:rPr>
      </w:pPr>
      <w:r>
        <w:rPr>
          <w:rFonts w:hint="eastAsia" w:hAnsi="宋体"/>
          <w:sz w:val="24"/>
          <w:szCs w:val="24"/>
        </w:rPr>
        <w:t>质疑事项1：</w:t>
      </w:r>
      <w:r>
        <w:rPr>
          <w:rFonts w:hint="eastAsia" w:hAnsi="宋体"/>
          <w:bCs/>
          <w:sz w:val="24"/>
          <w:szCs w:val="24"/>
          <w:u w:val="single"/>
        </w:rPr>
        <w:t xml:space="preserve">                                                                    </w:t>
      </w:r>
    </w:p>
    <w:p>
      <w:pPr>
        <w:pStyle w:val="26"/>
        <w:spacing w:line="360" w:lineRule="auto"/>
        <w:ind w:left="25" w:leftChars="12" w:firstLine="472" w:firstLineChars="197"/>
        <w:rPr>
          <w:rFonts w:hAnsi="宋体"/>
          <w:sz w:val="24"/>
          <w:szCs w:val="24"/>
        </w:rPr>
      </w:pPr>
      <w:r>
        <w:rPr>
          <w:rFonts w:hint="eastAsia" w:hAnsi="宋体"/>
          <w:sz w:val="24"/>
          <w:szCs w:val="24"/>
        </w:rPr>
        <w:t>事实依据：</w:t>
      </w:r>
      <w:r>
        <w:rPr>
          <w:rFonts w:hint="eastAsia" w:hAnsi="宋体"/>
          <w:bCs/>
          <w:sz w:val="24"/>
          <w:szCs w:val="24"/>
          <w:u w:val="single"/>
        </w:rPr>
        <w:t xml:space="preserve">                                                                      </w:t>
      </w:r>
    </w:p>
    <w:p>
      <w:pPr>
        <w:pStyle w:val="26"/>
        <w:spacing w:line="360" w:lineRule="auto"/>
        <w:ind w:left="25" w:leftChars="12" w:firstLine="472" w:firstLineChars="197"/>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pPr>
        <w:pStyle w:val="26"/>
        <w:spacing w:line="360" w:lineRule="auto"/>
        <w:ind w:left="25" w:leftChars="12" w:firstLine="472" w:firstLineChars="197"/>
        <w:rPr>
          <w:rFonts w:hAnsi="宋体"/>
          <w:sz w:val="24"/>
          <w:szCs w:val="24"/>
        </w:rPr>
      </w:pPr>
      <w:r>
        <w:rPr>
          <w:rFonts w:hint="eastAsia" w:hAnsi="宋体"/>
          <w:sz w:val="24"/>
          <w:szCs w:val="24"/>
        </w:rPr>
        <w:t>质疑事项2</w:t>
      </w:r>
    </w:p>
    <w:p>
      <w:pPr>
        <w:pStyle w:val="26"/>
        <w:spacing w:line="360" w:lineRule="auto"/>
        <w:ind w:left="25" w:leftChars="12" w:firstLine="472" w:firstLineChars="197"/>
        <w:rPr>
          <w:rFonts w:hAnsi="宋体"/>
          <w:sz w:val="24"/>
          <w:szCs w:val="24"/>
        </w:rPr>
      </w:pPr>
      <w:r>
        <w:rPr>
          <w:rFonts w:hAnsi="宋体"/>
          <w:sz w:val="24"/>
          <w:szCs w:val="24"/>
        </w:rPr>
        <w:t>……</w:t>
      </w:r>
    </w:p>
    <w:p>
      <w:pPr>
        <w:pStyle w:val="26"/>
        <w:spacing w:line="360" w:lineRule="auto"/>
        <w:ind w:left="25" w:leftChars="12" w:firstLine="472" w:firstLineChars="197"/>
        <w:rPr>
          <w:rFonts w:hAnsi="宋体"/>
          <w:sz w:val="24"/>
          <w:szCs w:val="24"/>
        </w:rPr>
      </w:pPr>
      <w:r>
        <w:rPr>
          <w:rFonts w:hint="eastAsia" w:hAnsi="宋体"/>
          <w:sz w:val="24"/>
          <w:szCs w:val="24"/>
        </w:rPr>
        <w:t>四、与质疑事项相关的质疑请求：</w:t>
      </w:r>
    </w:p>
    <w:p>
      <w:pPr>
        <w:pStyle w:val="26"/>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26"/>
        <w:spacing w:line="360" w:lineRule="auto"/>
        <w:ind w:left="25" w:leftChars="12" w:firstLine="352" w:firstLineChars="147"/>
        <w:rPr>
          <w:rFonts w:hAnsi="宋体"/>
          <w:sz w:val="24"/>
          <w:szCs w:val="24"/>
        </w:rPr>
      </w:pPr>
    </w:p>
    <w:p>
      <w:pPr>
        <w:pStyle w:val="26"/>
        <w:spacing w:line="360" w:lineRule="auto"/>
        <w:ind w:left="25" w:leftChars="12" w:firstLine="472" w:firstLineChars="197"/>
        <w:rPr>
          <w:rFonts w:hAnsi="宋体"/>
          <w:sz w:val="24"/>
          <w:szCs w:val="24"/>
        </w:rPr>
      </w:pPr>
      <w:r>
        <w:rPr>
          <w:rFonts w:hint="eastAsia" w:hAnsi="宋体"/>
          <w:sz w:val="24"/>
          <w:szCs w:val="24"/>
        </w:rPr>
        <w:t>签字（签章）：                                       公章：</w:t>
      </w:r>
    </w:p>
    <w:p>
      <w:pPr>
        <w:pStyle w:val="26"/>
        <w:spacing w:line="360" w:lineRule="auto"/>
        <w:ind w:left="25" w:leftChars="12" w:firstLine="352" w:firstLineChars="147"/>
        <w:rPr>
          <w:rFonts w:hAnsi="宋体"/>
          <w:sz w:val="24"/>
          <w:szCs w:val="24"/>
        </w:rPr>
      </w:pPr>
    </w:p>
    <w:p>
      <w:pPr>
        <w:pStyle w:val="26"/>
        <w:spacing w:line="360" w:lineRule="auto"/>
        <w:ind w:left="25" w:leftChars="12" w:firstLine="472" w:firstLineChars="197"/>
        <w:rPr>
          <w:rFonts w:hAnsi="宋体"/>
          <w:sz w:val="24"/>
          <w:szCs w:val="24"/>
        </w:rPr>
      </w:pPr>
      <w:r>
        <w:rPr>
          <w:rFonts w:hint="eastAsia" w:hAnsi="宋体"/>
          <w:sz w:val="24"/>
          <w:szCs w:val="24"/>
        </w:rPr>
        <w:t>日期：</w:t>
      </w:r>
    </w:p>
    <w:p>
      <w:pPr>
        <w:pStyle w:val="26"/>
        <w:snapToGrid w:val="0"/>
        <w:spacing w:line="360" w:lineRule="auto"/>
        <w:rPr>
          <w:rFonts w:hAnsi="宋体"/>
          <w:b/>
          <w:sz w:val="24"/>
          <w:szCs w:val="24"/>
        </w:rPr>
      </w:pPr>
    </w:p>
    <w:p>
      <w:pPr>
        <w:pStyle w:val="26"/>
        <w:snapToGrid w:val="0"/>
        <w:spacing w:line="360" w:lineRule="auto"/>
        <w:rPr>
          <w:rFonts w:hAnsi="宋体"/>
          <w:b/>
          <w:sz w:val="24"/>
          <w:szCs w:val="24"/>
        </w:rPr>
      </w:pPr>
      <w:r>
        <w:rPr>
          <w:rFonts w:hint="eastAsia" w:hAnsi="宋体"/>
          <w:b/>
          <w:sz w:val="24"/>
          <w:szCs w:val="24"/>
        </w:rPr>
        <w:t>说明：</w:t>
      </w:r>
    </w:p>
    <w:p>
      <w:pPr>
        <w:pStyle w:val="26"/>
        <w:spacing w:line="360" w:lineRule="auto"/>
        <w:ind w:left="25" w:leftChars="12" w:firstLine="354" w:firstLineChars="147"/>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pPr>
        <w:pStyle w:val="26"/>
        <w:spacing w:line="360" w:lineRule="auto"/>
        <w:ind w:left="25" w:leftChars="12" w:firstLine="354" w:firstLineChars="147"/>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6"/>
        <w:spacing w:line="360" w:lineRule="auto"/>
        <w:ind w:left="25" w:leftChars="12" w:firstLine="354" w:firstLineChars="147"/>
        <w:rPr>
          <w:rFonts w:hAnsi="宋体"/>
          <w:b/>
          <w:sz w:val="24"/>
          <w:szCs w:val="24"/>
        </w:rPr>
      </w:pPr>
      <w:r>
        <w:rPr>
          <w:rFonts w:hint="eastAsia" w:hAnsi="宋体"/>
          <w:b/>
          <w:sz w:val="24"/>
          <w:szCs w:val="24"/>
        </w:rPr>
        <w:t>3.质疑函的质疑事项应具体、明确，并有必要的事实依据和法律依据。</w:t>
      </w:r>
    </w:p>
    <w:p>
      <w:pPr>
        <w:pStyle w:val="26"/>
        <w:spacing w:line="360" w:lineRule="auto"/>
        <w:ind w:left="25" w:leftChars="12" w:firstLine="354" w:firstLineChars="147"/>
        <w:rPr>
          <w:rFonts w:hAnsi="宋体"/>
          <w:b/>
          <w:sz w:val="24"/>
          <w:szCs w:val="24"/>
        </w:rPr>
      </w:pPr>
      <w:r>
        <w:rPr>
          <w:rFonts w:hint="eastAsia" w:hAnsi="宋体"/>
          <w:b/>
          <w:sz w:val="24"/>
          <w:szCs w:val="24"/>
        </w:rPr>
        <w:t>4.质疑函的质疑请求应与质疑事项相关。</w:t>
      </w:r>
    </w:p>
    <w:p>
      <w:pPr>
        <w:pStyle w:val="26"/>
        <w:spacing w:line="360" w:lineRule="auto"/>
        <w:ind w:left="25" w:leftChars="12" w:firstLine="354" w:firstLineChars="147"/>
        <w:rPr>
          <w:rFonts w:hAnsi="宋体"/>
          <w:b/>
        </w:rPr>
      </w:pPr>
      <w:r>
        <w:rPr>
          <w:rFonts w:hint="eastAsia" w:hAnsi="宋体"/>
          <w:b/>
          <w:sz w:val="24"/>
          <w:szCs w:val="24"/>
        </w:rPr>
        <w:t>5.质疑供应商为法人或者其他组织的，质疑函应由法定代表人、主要负责人，或者其授权代表签字或者盖章，并加盖公章。</w:t>
      </w:r>
    </w:p>
    <w:p>
      <w:pPr>
        <w:spacing w:line="460" w:lineRule="exact"/>
        <w:rPr>
          <w:rFonts w:eastAsia="隶书"/>
          <w:sz w:val="44"/>
        </w:rPr>
      </w:pPr>
    </w:p>
    <w:p>
      <w:pPr>
        <w:spacing w:line="360" w:lineRule="auto"/>
        <w:jc w:val="left"/>
        <w:rPr>
          <w:rFonts w:ascii="宋体" w:hAnsi="宋体"/>
          <w:b/>
          <w:sz w:val="24"/>
        </w:rPr>
      </w:pPr>
      <w:r>
        <w:rPr>
          <w:rFonts w:ascii="宋体" w:hAnsi="宋体"/>
          <w:b/>
          <w:sz w:val="24"/>
        </w:rPr>
        <w:br w:type="page"/>
      </w:r>
      <w:r>
        <w:rPr>
          <w:rFonts w:hint="eastAsia" w:ascii="宋体" w:hAnsi="宋体"/>
          <w:b/>
          <w:sz w:val="24"/>
        </w:rPr>
        <w:t>5.投诉书（格式）</w:t>
      </w:r>
    </w:p>
    <w:p>
      <w:pPr>
        <w:spacing w:line="360" w:lineRule="auto"/>
        <w:jc w:val="center"/>
        <w:rPr>
          <w:rFonts w:ascii="宋体" w:hAnsi="宋体"/>
          <w:b/>
          <w:bCs/>
          <w:sz w:val="32"/>
          <w:szCs w:val="32"/>
        </w:rPr>
      </w:pPr>
      <w:r>
        <w:rPr>
          <w:rFonts w:hint="eastAsia" w:ascii="宋体" w:hAnsi="宋体"/>
          <w:b/>
          <w:bCs/>
          <w:sz w:val="32"/>
          <w:szCs w:val="32"/>
        </w:rPr>
        <w:t>投诉书（格式）</w:t>
      </w:r>
    </w:p>
    <w:p>
      <w:pPr>
        <w:pStyle w:val="26"/>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pPr>
        <w:pStyle w:val="26"/>
        <w:snapToGrid w:val="0"/>
        <w:spacing w:line="360" w:lineRule="auto"/>
        <w:ind w:firstLine="480" w:firstLineChars="200"/>
        <w:jc w:val="left"/>
        <w:rPr>
          <w:rFonts w:hAnsi="宋体"/>
          <w:bCs/>
          <w:sz w:val="24"/>
          <w:szCs w:val="24"/>
          <w:u w:val="single"/>
        </w:rPr>
      </w:pPr>
      <w:r>
        <w:rPr>
          <w:rFonts w:hint="eastAsia" w:hAnsi="宋体"/>
          <w:bCs/>
          <w:sz w:val="24"/>
          <w:szCs w:val="24"/>
        </w:rPr>
        <w:t>投标人：</w:t>
      </w:r>
      <w:r>
        <w:rPr>
          <w:rFonts w:hint="eastAsia" w:hAnsi="宋体"/>
          <w:bCs/>
          <w:sz w:val="24"/>
          <w:szCs w:val="24"/>
          <w:u w:val="single"/>
        </w:rPr>
        <w:t xml:space="preserve">                                                                        </w:t>
      </w:r>
      <w:r>
        <w:rPr>
          <w:rFonts w:hint="eastAsia" w:hAnsi="宋体"/>
          <w:bCs/>
          <w:sz w:val="24"/>
          <w:szCs w:val="24"/>
        </w:rPr>
        <w:t xml:space="preserve">                 </w:t>
      </w:r>
    </w:p>
    <w:p>
      <w:pPr>
        <w:pStyle w:val="26"/>
        <w:snapToGrid w:val="0"/>
        <w:spacing w:line="360" w:lineRule="auto"/>
        <w:ind w:firstLine="480" w:firstLineChars="200"/>
        <w:jc w:val="left"/>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6"/>
        <w:snapToGrid w:val="0"/>
        <w:spacing w:line="360" w:lineRule="auto"/>
        <w:ind w:firstLine="480" w:firstLineChars="200"/>
        <w:jc w:val="left"/>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pPr>
        <w:pStyle w:val="26"/>
        <w:snapToGrid w:val="0"/>
        <w:spacing w:line="360" w:lineRule="auto"/>
        <w:ind w:firstLine="480" w:firstLineChars="200"/>
        <w:jc w:val="left"/>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pPr>
        <w:pStyle w:val="26"/>
        <w:snapToGrid w:val="0"/>
        <w:spacing w:line="360" w:lineRule="auto"/>
        <w:ind w:firstLine="480" w:firstLineChars="200"/>
        <w:jc w:val="left"/>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6"/>
        <w:snapToGrid w:val="0"/>
        <w:spacing w:line="360" w:lineRule="auto"/>
        <w:ind w:firstLine="480" w:firstLineChars="200"/>
        <w:jc w:val="left"/>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pPr>
        <w:pStyle w:val="26"/>
        <w:snapToGrid w:val="0"/>
        <w:spacing w:line="360" w:lineRule="auto"/>
        <w:ind w:firstLine="480" w:firstLineChars="200"/>
        <w:jc w:val="left"/>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6"/>
        <w:snapToGrid w:val="0"/>
        <w:spacing w:line="360" w:lineRule="auto"/>
        <w:ind w:firstLine="480" w:firstLineChars="200"/>
        <w:jc w:val="left"/>
        <w:rPr>
          <w:rFonts w:hAnsi="宋体"/>
          <w:bCs/>
          <w:sz w:val="24"/>
          <w:szCs w:val="24"/>
        </w:rPr>
      </w:pPr>
      <w:r>
        <w:rPr>
          <w:rFonts w:hint="eastAsia" w:hAnsi="宋体"/>
          <w:bCs/>
          <w:sz w:val="24"/>
          <w:szCs w:val="24"/>
        </w:rPr>
        <w:t>被投诉人1：</w:t>
      </w:r>
    </w:p>
    <w:p>
      <w:pPr>
        <w:pStyle w:val="26"/>
        <w:snapToGrid w:val="0"/>
        <w:spacing w:line="360" w:lineRule="auto"/>
        <w:ind w:firstLine="480" w:firstLineChars="200"/>
        <w:jc w:val="left"/>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26"/>
        <w:snapToGrid w:val="0"/>
        <w:spacing w:line="360" w:lineRule="auto"/>
        <w:ind w:firstLine="480" w:firstLineChars="200"/>
        <w:jc w:val="left"/>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6"/>
        <w:snapToGrid w:val="0"/>
        <w:spacing w:line="360" w:lineRule="auto"/>
        <w:ind w:firstLine="480" w:firstLineChars="200"/>
        <w:jc w:val="left"/>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6"/>
        <w:snapToGrid w:val="0"/>
        <w:spacing w:line="360" w:lineRule="auto"/>
        <w:ind w:firstLine="480" w:firstLineChars="200"/>
        <w:jc w:val="left"/>
        <w:rPr>
          <w:rFonts w:hAnsi="宋体"/>
          <w:bCs/>
          <w:sz w:val="24"/>
          <w:szCs w:val="24"/>
        </w:rPr>
      </w:pPr>
      <w:r>
        <w:rPr>
          <w:rFonts w:hint="eastAsia" w:hAnsi="宋体"/>
          <w:bCs/>
          <w:sz w:val="24"/>
          <w:szCs w:val="24"/>
        </w:rPr>
        <w:t>被投诉人2：</w:t>
      </w:r>
    </w:p>
    <w:p>
      <w:pPr>
        <w:pStyle w:val="26"/>
        <w:snapToGrid w:val="0"/>
        <w:spacing w:line="360" w:lineRule="auto"/>
        <w:ind w:firstLine="480" w:firstLineChars="200"/>
        <w:jc w:val="left"/>
        <w:rPr>
          <w:rFonts w:hAnsi="宋体"/>
          <w:bCs/>
          <w:sz w:val="24"/>
          <w:szCs w:val="24"/>
        </w:rPr>
      </w:pPr>
      <w:r>
        <w:rPr>
          <w:rFonts w:hAnsi="宋体"/>
          <w:bCs/>
          <w:sz w:val="24"/>
          <w:szCs w:val="24"/>
        </w:rPr>
        <w:t>……</w:t>
      </w:r>
    </w:p>
    <w:p>
      <w:pPr>
        <w:pStyle w:val="26"/>
        <w:snapToGrid w:val="0"/>
        <w:spacing w:line="360" w:lineRule="auto"/>
        <w:ind w:firstLine="480" w:firstLineChars="200"/>
        <w:jc w:val="left"/>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pPr>
        <w:pStyle w:val="26"/>
        <w:snapToGrid w:val="0"/>
        <w:spacing w:line="360" w:lineRule="auto"/>
        <w:ind w:firstLine="480" w:firstLineChars="200"/>
        <w:jc w:val="left"/>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pPr>
        <w:pStyle w:val="26"/>
        <w:snapToGrid w:val="0"/>
        <w:spacing w:line="360" w:lineRule="auto"/>
        <w:ind w:firstLine="480" w:firstLineChars="200"/>
        <w:jc w:val="left"/>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pPr>
        <w:pStyle w:val="26"/>
        <w:snapToGrid w:val="0"/>
        <w:spacing w:line="360" w:lineRule="auto"/>
        <w:ind w:firstLine="482" w:firstLineChars="200"/>
        <w:rPr>
          <w:rFonts w:hAnsi="宋体"/>
          <w:b/>
          <w:bCs/>
          <w:sz w:val="24"/>
          <w:szCs w:val="24"/>
        </w:rPr>
      </w:pPr>
      <w:r>
        <w:rPr>
          <w:rFonts w:hint="eastAsia" w:hAnsi="宋体"/>
          <w:b/>
          <w:bCs/>
          <w:sz w:val="24"/>
          <w:szCs w:val="24"/>
        </w:rPr>
        <w:t>二、投诉项目基本情况：</w:t>
      </w:r>
    </w:p>
    <w:p>
      <w:pPr>
        <w:pStyle w:val="26"/>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pPr>
        <w:pStyle w:val="26"/>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pPr>
        <w:pStyle w:val="26"/>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pPr>
        <w:pStyle w:val="26"/>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pPr>
        <w:pStyle w:val="26"/>
        <w:spacing w:line="360" w:lineRule="auto"/>
        <w:ind w:left="25" w:leftChars="12" w:firstLine="472" w:firstLineChars="197"/>
        <w:rPr>
          <w:rFonts w:hAnsi="宋体"/>
          <w:bCs/>
          <w:sz w:val="24"/>
          <w:szCs w:val="24"/>
          <w:u w:val="single"/>
        </w:rPr>
      </w:pPr>
      <w:r>
        <w:rPr>
          <w:rFonts w:hint="eastAsia" w:hAnsi="宋体"/>
          <w:bCs/>
          <w:sz w:val="24"/>
          <w:szCs w:val="24"/>
        </w:rPr>
        <w:t>招标文件公告：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26"/>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26"/>
        <w:spacing w:line="360" w:lineRule="auto"/>
        <w:ind w:left="25" w:leftChars="12" w:firstLine="472" w:firstLineChars="196"/>
        <w:rPr>
          <w:rFonts w:hAnsi="宋体"/>
          <w:b/>
          <w:sz w:val="24"/>
          <w:szCs w:val="24"/>
        </w:rPr>
      </w:pPr>
      <w:r>
        <w:rPr>
          <w:rFonts w:hint="eastAsia" w:hAnsi="宋体"/>
          <w:b/>
          <w:sz w:val="24"/>
          <w:szCs w:val="24"/>
        </w:rPr>
        <w:t>三、质疑基本情况</w:t>
      </w:r>
    </w:p>
    <w:p>
      <w:pPr>
        <w:pStyle w:val="26"/>
        <w:spacing w:line="360" w:lineRule="auto"/>
        <w:ind w:left="25" w:leftChars="12"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pPr>
        <w:pStyle w:val="26"/>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pPr>
        <w:pStyle w:val="26"/>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26"/>
        <w:spacing w:line="360" w:lineRule="auto"/>
        <w:ind w:firstLine="480" w:firstLineChars="200"/>
        <w:rPr>
          <w:rFonts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pPr>
        <w:pStyle w:val="26"/>
        <w:spacing w:line="360" w:lineRule="auto"/>
        <w:ind w:left="25" w:leftChars="12" w:firstLine="472" w:firstLineChars="196"/>
        <w:rPr>
          <w:rFonts w:hAnsi="宋体"/>
          <w:b/>
          <w:sz w:val="24"/>
          <w:szCs w:val="24"/>
        </w:rPr>
      </w:pPr>
      <w:r>
        <w:rPr>
          <w:rFonts w:hint="eastAsia" w:hAnsi="宋体"/>
          <w:b/>
          <w:sz w:val="24"/>
          <w:szCs w:val="24"/>
        </w:rPr>
        <w:t>四、投诉事项具体内容</w:t>
      </w:r>
    </w:p>
    <w:p>
      <w:pPr>
        <w:pStyle w:val="26"/>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pPr>
        <w:pStyle w:val="26"/>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pPr>
        <w:pStyle w:val="26"/>
        <w:spacing w:line="360" w:lineRule="auto"/>
        <w:ind w:left="25" w:leftChars="12" w:firstLine="472" w:firstLineChars="197"/>
        <w:rPr>
          <w:rFonts w:hAnsi="宋体"/>
          <w:sz w:val="24"/>
          <w:szCs w:val="24"/>
        </w:rPr>
      </w:pPr>
      <w:r>
        <w:rPr>
          <w:rFonts w:hint="eastAsia" w:hAnsi="宋体"/>
          <w:bCs/>
          <w:sz w:val="24"/>
          <w:szCs w:val="24"/>
          <w:u w:val="single"/>
        </w:rPr>
        <w:t xml:space="preserve">                                                                                        </w:t>
      </w:r>
    </w:p>
    <w:p>
      <w:pPr>
        <w:pStyle w:val="26"/>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pPr>
        <w:pStyle w:val="26"/>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26"/>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pPr>
        <w:pStyle w:val="26"/>
        <w:spacing w:line="360" w:lineRule="auto"/>
        <w:ind w:left="25" w:leftChars="12" w:firstLine="472" w:firstLineChars="197"/>
        <w:rPr>
          <w:rFonts w:hAnsi="宋体"/>
          <w:bCs/>
          <w:sz w:val="24"/>
          <w:szCs w:val="24"/>
        </w:rPr>
      </w:pPr>
      <w:r>
        <w:rPr>
          <w:rFonts w:hAnsi="宋体"/>
          <w:bCs/>
          <w:sz w:val="24"/>
          <w:szCs w:val="24"/>
        </w:rPr>
        <w:t>……</w:t>
      </w:r>
    </w:p>
    <w:p>
      <w:pPr>
        <w:pStyle w:val="26"/>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pPr>
        <w:pStyle w:val="26"/>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26"/>
        <w:spacing w:line="360" w:lineRule="auto"/>
        <w:ind w:left="25" w:leftChars="12" w:firstLine="352" w:firstLineChars="147"/>
        <w:rPr>
          <w:rFonts w:hAnsi="宋体"/>
          <w:sz w:val="24"/>
          <w:szCs w:val="24"/>
        </w:rPr>
      </w:pPr>
    </w:p>
    <w:p>
      <w:pPr>
        <w:pStyle w:val="26"/>
        <w:spacing w:line="360" w:lineRule="auto"/>
        <w:ind w:left="25" w:leftChars="12" w:firstLine="472" w:firstLineChars="197"/>
        <w:rPr>
          <w:rFonts w:hAnsi="宋体"/>
          <w:sz w:val="24"/>
          <w:szCs w:val="24"/>
        </w:rPr>
      </w:pPr>
      <w:r>
        <w:rPr>
          <w:rFonts w:hint="eastAsia" w:hAnsi="宋体"/>
          <w:sz w:val="24"/>
          <w:szCs w:val="24"/>
        </w:rPr>
        <w:t>签字（签章）：                                       公章：</w:t>
      </w:r>
    </w:p>
    <w:p>
      <w:pPr>
        <w:pStyle w:val="26"/>
        <w:spacing w:line="360" w:lineRule="auto"/>
        <w:ind w:left="25" w:leftChars="12" w:firstLine="352" w:firstLineChars="147"/>
        <w:rPr>
          <w:rFonts w:hAnsi="宋体"/>
          <w:sz w:val="24"/>
          <w:szCs w:val="24"/>
        </w:rPr>
      </w:pPr>
    </w:p>
    <w:p>
      <w:pPr>
        <w:pStyle w:val="26"/>
        <w:spacing w:line="360" w:lineRule="auto"/>
        <w:ind w:left="25" w:leftChars="12" w:firstLine="472" w:firstLineChars="197"/>
        <w:rPr>
          <w:rFonts w:hAnsi="宋体"/>
          <w:sz w:val="24"/>
          <w:szCs w:val="24"/>
        </w:rPr>
      </w:pPr>
      <w:r>
        <w:rPr>
          <w:rFonts w:hint="eastAsia" w:hAnsi="宋体"/>
          <w:sz w:val="24"/>
          <w:szCs w:val="24"/>
        </w:rPr>
        <w:t>日期：</w:t>
      </w:r>
    </w:p>
    <w:p>
      <w:pPr>
        <w:pStyle w:val="26"/>
        <w:spacing w:line="360" w:lineRule="auto"/>
        <w:ind w:left="25" w:leftChars="12" w:firstLine="472" w:firstLineChars="197"/>
        <w:rPr>
          <w:rFonts w:hAnsi="宋体"/>
          <w:b/>
          <w:sz w:val="24"/>
          <w:szCs w:val="24"/>
        </w:rPr>
      </w:pPr>
      <w:r>
        <w:rPr>
          <w:rFonts w:hint="eastAsia" w:hAnsi="宋体"/>
          <w:bCs/>
          <w:sz w:val="24"/>
          <w:szCs w:val="24"/>
        </w:rPr>
        <w:t xml:space="preserve">                                                                                </w:t>
      </w:r>
      <w:r>
        <w:rPr>
          <w:rFonts w:hint="eastAsia" w:hAnsi="宋体"/>
          <w:b/>
          <w:sz w:val="24"/>
          <w:szCs w:val="24"/>
        </w:rPr>
        <w:t>说明：</w:t>
      </w:r>
    </w:p>
    <w:p>
      <w:pPr>
        <w:pStyle w:val="26"/>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pPr>
        <w:pStyle w:val="26"/>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6"/>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pPr>
        <w:pStyle w:val="26"/>
        <w:spacing w:line="360" w:lineRule="auto"/>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pPr>
        <w:pStyle w:val="26"/>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pPr>
        <w:pStyle w:val="26"/>
        <w:spacing w:line="360" w:lineRule="auto"/>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sectPr>
      <w:pgSz w:w="11906" w:h="16838"/>
      <w:pgMar w:top="1134" w:right="1503" w:bottom="1559" w:left="167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38D6B0-96B9-4848-8F8F-73BEE3BDAB9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34433C7-9EE2-462F-9897-842E7167CA39}"/>
  </w:font>
  <w:font w:name="Arial">
    <w:panose1 w:val="020B0604020202020204"/>
    <w:charset w:val="00"/>
    <w:family w:val="swiss"/>
    <w:pitch w:val="default"/>
    <w:sig w:usb0="E0002EFF" w:usb1="C000785B" w:usb2="00000009" w:usb3="00000000" w:csb0="400001FF" w:csb1="FFFF0000"/>
    <w:embedRegular r:id="rId3" w:fontKey="{8935BE77-9E4D-4B5F-9A56-4F456548B7F3}"/>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7B4BB7B6-1124-4919-8974-53DCC20083C3}"/>
  </w:font>
  <w:font w:name="仿宋">
    <w:panose1 w:val="02010609060101010101"/>
    <w:charset w:val="86"/>
    <w:family w:val="modern"/>
    <w:pitch w:val="default"/>
    <w:sig w:usb0="800002BF" w:usb1="38CF7CFA" w:usb2="00000016" w:usb3="00000000" w:csb0="00040001" w:csb1="00000000"/>
    <w:embedRegular r:id="rId5" w:fontKey="{7211F6A5-9D61-4D99-9DAF-2D70CF3978CD}"/>
  </w:font>
  <w:font w:name="Courier New">
    <w:panose1 w:val="02070309020205020404"/>
    <w:charset w:val="00"/>
    <w:family w:val="modern"/>
    <w:pitch w:val="default"/>
    <w:sig w:usb0="E0002EFF" w:usb1="C0007843" w:usb2="00000009" w:usb3="00000000" w:csb0="400001FF" w:csb1="FFFF0000"/>
    <w:embedRegular r:id="rId6" w:fontKey="{BEE3BB92-74AB-462D-9EF1-693F36E1DFBF}"/>
  </w:font>
  <w:font w:name="_x000B__x000C_">
    <w:altName w:val="微软雅黑"/>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Century">
    <w:altName w:val="Times New Roman"/>
    <w:panose1 w:val="02040604050505020304"/>
    <w:charset w:val="00"/>
    <w:family w:val="roman"/>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SimSun,Bold">
    <w:altName w:val="宋体"/>
    <w:panose1 w:val="00000000000000000000"/>
    <w:charset w:val="86"/>
    <w:family w:val="auto"/>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embedRegular r:id="rId7" w:fontKey="{F3DA9F76-8655-4D95-AC4E-EF179B61CD0A}"/>
  </w:font>
  <w:font w:name="方正小标宋_GBK">
    <w:panose1 w:val="02000000000000000000"/>
    <w:charset w:val="86"/>
    <w:family w:val="script"/>
    <w:pitch w:val="default"/>
    <w:sig w:usb0="A00002BF" w:usb1="38CF7CFA" w:usb2="00082016" w:usb3="00000000" w:csb0="00040001" w:csb1="00000000"/>
    <w:embedRegular r:id="rId8" w:fontKey="{A370855C-B274-4AA8-86DD-8AC7ED7B3F41}"/>
  </w:font>
  <w:font w:name="楷体">
    <w:panose1 w:val="02010609060101010101"/>
    <w:charset w:val="86"/>
    <w:family w:val="modern"/>
    <w:pitch w:val="default"/>
    <w:sig w:usb0="800002BF" w:usb1="38CF7CFA" w:usb2="00000016" w:usb3="00000000" w:csb0="00040001" w:csb1="00000000"/>
    <w:embedRegular r:id="rId9" w:fontKey="{EAE13A35-1B16-4F7B-BAEE-4CA63FA99083}"/>
  </w:font>
  <w:font w:name="Segoe UI Emoji">
    <w:panose1 w:val="020B0502040204020203"/>
    <w:charset w:val="00"/>
    <w:family w:val="swiss"/>
    <w:pitch w:val="default"/>
    <w:sig w:usb0="00000001" w:usb1="02000000" w:usb2="00000000" w:usb3="00000000" w:csb0="00000001" w:csb1="00000000"/>
    <w:embedRegular r:id="rId10" w:fontKey="{EC804827-E9A9-4A3F-A091-BEE3827E8DE4}"/>
  </w:font>
  <w:font w:name="Helvetica">
    <w:altName w:val="Arial"/>
    <w:panose1 w:val="020B0604020202020204"/>
    <w:charset w:val="00"/>
    <w:family w:val="swiss"/>
    <w:pitch w:val="default"/>
    <w:sig w:usb0="00000000" w:usb1="00000000" w:usb2="00000000" w:usb3="00000000" w:csb0="00000001" w:csb1="00000000"/>
    <w:embedRegular r:id="rId11" w:fontKey="{5EC0ADE6-E2A3-4092-9067-740C59F5BA8E}"/>
  </w:font>
  <w:font w:name="微软雅黑">
    <w:panose1 w:val="020B0503020204020204"/>
    <w:charset w:val="86"/>
    <w:family w:val="swiss"/>
    <w:pitch w:val="default"/>
    <w:sig w:usb0="80000287" w:usb1="2ACF3C50" w:usb2="00000016" w:usb3="00000000" w:csb0="0004001F" w:csb1="00000000"/>
    <w:embedRegular r:id="rId12" w:fontKey="{A1FB3A1F-FE05-4E59-8AF1-7F494457DEA4}"/>
  </w:font>
  <w:font w:name="隶书">
    <w:altName w:val="微软雅黑"/>
    <w:panose1 w:val="02010509060101010101"/>
    <w:charset w:val="86"/>
    <w:family w:val="modern"/>
    <w:pitch w:val="default"/>
    <w:sig w:usb0="00000000" w:usb1="00000000" w:usb2="00000010" w:usb3="00000000" w:csb0="00040000" w:csb1="00000000"/>
    <w:embedRegular r:id="rId13" w:fontKey="{6346D559-55B6-4DFF-9001-7926F9850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2"/>
                            <w:ind w:firstLine="36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Qtk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bG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tC2TICAABjBAAADgAAAAAAAAABACAAAAAfAQAAZHJzL2Uyb0RvYy54bWxQSwUG&#10;AAAAAAYABgBZAQAAwwUAAAAA&#10;">
              <v:fill on="f" focussize="0,0"/>
              <v:stroke on="f" weight="0.5pt"/>
              <v:imagedata o:title=""/>
              <o:lock v:ext="edit" aspectratio="f"/>
              <v:textbox inset="0mm,0mm,0mm,0mm" style="mso-fit-shape-to-text:t;">
                <w:txbxContent>
                  <w:p>
                    <w:pPr>
                      <w:pStyle w:val="32"/>
                      <w:ind w:firstLine="36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3"/>
      </w:rPr>
    </w:pPr>
    <w:r>
      <w:fldChar w:fldCharType="begin"/>
    </w:r>
    <w:r>
      <w:rPr>
        <w:rStyle w:val="53"/>
      </w:rPr>
      <w:instrText xml:space="preserve">PAGE  </w:instrText>
    </w:r>
    <w:r>
      <w:fldChar w:fldCharType="end"/>
    </w:r>
  </w:p>
  <w:p>
    <w:pPr>
      <w:pStyle w:val="3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3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24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245" cy="131445"/>
                      </a:xfrm>
                      <a:prstGeom prst="rect">
                        <a:avLst/>
                      </a:prstGeom>
                      <a:noFill/>
                      <a:ln>
                        <a:noFill/>
                      </a:ln>
                    </wps:spPr>
                    <wps:txbx>
                      <w:txbxContent>
                        <w:p>
                          <w:pPr>
                            <w:pStyle w:val="32"/>
                          </w:pPr>
                          <w:r>
                            <w:fldChar w:fldCharType="begin"/>
                          </w:r>
                          <w:r>
                            <w:instrText xml:space="preserve"> PAGE  \* MERGEFORMAT </w:instrText>
                          </w:r>
                          <w:r>
                            <w:fldChar w:fldCharType="separate"/>
                          </w:r>
                          <w:r>
                            <w:t>28</w:t>
                          </w:r>
                          <w:r>
                            <w:fldChar w:fldCharType="end"/>
                          </w:r>
                        </w:p>
                      </w:txbxContent>
                    </wps:txbx>
                    <wps:bodyPr lIns="0" tIns="0" rIns="0" bIns="0">
                      <a:spAutoFit/>
                    </wps:bodyPr>
                  </wps:wsp>
                </a:graphicData>
              </a:graphic>
            </wp:anchor>
          </w:drawing>
        </mc:Choice>
        <mc:Fallback>
          <w:pict>
            <v:shape id="_x0000_s1026" o:spid="_x0000_s1026" o:spt="202" type="#_x0000_t202" style="position:absolute;left:0pt;margin-top:0pt;height:10.35pt;width:14.35pt;mso-position-horizontal:center;mso-position-horizontal-relative:margin;z-index:251659264;mso-width-relative:page;mso-height-relative:page;" filled="f" stroked="f" coordsize="21600,21600" o:gfxdata="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MUWRzRAAAAAwEAAA8AAAAAAAAAAQAgAAAAIgAAAGRycy9kb3ducmV2LnhtbFBLAQIUABQA&#10;AAAIAIdO4kD5UHL2vgEAAH8DAAAOAAAAAAAAAAEAIAAAACABAABkcnMvZTJvRG9jLnhtbFBLBQYA&#10;AAAABgAGAFkBAABQ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28</w:t>
                    </w:r>
                    <w:r>
                      <w:fldChar w:fldCharType="end"/>
                    </w:r>
                  </w:p>
                </w:txbxContent>
              </v:textbox>
            </v:shape>
          </w:pict>
        </mc:Fallback>
      </mc:AlternateContent>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p>
  <w:p>
    <w:pPr>
      <w:pStyle w:val="32"/>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66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66</w:t>
                    </w:r>
                    <w:r>
                      <w:fldChar w:fldCharType="end"/>
                    </w:r>
                  </w:p>
                </w:txbxContent>
              </v:textbox>
            </v:shape>
          </w:pict>
        </mc:Fallback>
      </mc:AlternateContent>
    </w:r>
  </w:p>
  <w:p>
    <w:pPr>
      <w:pStyle w:val="3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center" w:y="1"/>
      <w:rPr>
        <w:rStyle w:val="53"/>
      </w:rPr>
    </w:pPr>
    <w:r>
      <w:fldChar w:fldCharType="begin"/>
    </w:r>
    <w:r>
      <w:rPr>
        <w:rStyle w:val="53"/>
      </w:rPr>
      <w:instrText xml:space="preserve">PAGE  </w:instrText>
    </w:r>
    <w:r>
      <w:fldChar w:fldCharType="end"/>
    </w:r>
  </w:p>
  <w:p>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29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32"/>
                    </w:pPr>
                  </w:p>
                </w:txbxContent>
              </v:textbox>
            </v:shape>
          </w:pict>
        </mc:Fallback>
      </mc:AlternateContent>
    </w:r>
  </w:p>
  <w:p>
    <w:pPr>
      <w:pStyle w:val="3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B85D45"/>
    <w:multiLevelType w:val="singleLevel"/>
    <w:tmpl w:val="A8B85D45"/>
    <w:lvl w:ilvl="0" w:tentative="0">
      <w:start w:val="3"/>
      <w:numFmt w:val="chineseCounting"/>
      <w:suff w:val="nothing"/>
      <w:lvlText w:val="%1、"/>
      <w:lvlJc w:val="left"/>
      <w:rPr>
        <w:rFonts w:hint="eastAsia"/>
      </w:rPr>
    </w:lvl>
  </w:abstractNum>
  <w:abstractNum w:abstractNumId="1">
    <w:nsid w:val="CFFA0CC0"/>
    <w:multiLevelType w:val="singleLevel"/>
    <w:tmpl w:val="CFFA0CC0"/>
    <w:lvl w:ilvl="0" w:tentative="0">
      <w:start w:val="6"/>
      <w:numFmt w:val="chineseCounting"/>
      <w:suff w:val="nothing"/>
      <w:lvlText w:val="%1、"/>
      <w:lvlJc w:val="left"/>
      <w:rPr>
        <w:rFonts w:hint="eastAsia"/>
      </w:rPr>
    </w:lvl>
  </w:abstractNum>
  <w:abstractNum w:abstractNumId="2">
    <w:nsid w:val="FFFFFF7E"/>
    <w:multiLevelType w:val="singleLevel"/>
    <w:tmpl w:val="FFFFFF7E"/>
    <w:lvl w:ilvl="0" w:tentative="0">
      <w:start w:val="1"/>
      <w:numFmt w:val="decimal"/>
      <w:pStyle w:val="21"/>
      <w:lvlText w:val="%1."/>
      <w:lvlJc w:val="left"/>
      <w:pPr>
        <w:tabs>
          <w:tab w:val="left" w:pos="1200"/>
        </w:tabs>
        <w:ind w:left="1200" w:hanging="360"/>
      </w:pPr>
    </w:lvl>
  </w:abstractNum>
  <w:abstractNum w:abstractNumId="3">
    <w:nsid w:val="0000000C"/>
    <w:multiLevelType w:val="multilevel"/>
    <w:tmpl w:val="0000000C"/>
    <w:lvl w:ilvl="0" w:tentative="0">
      <w:start w:val="1"/>
      <w:numFmt w:val="decimal"/>
      <w:lvlText w:val="%1."/>
      <w:lvlJc w:val="left"/>
      <w:pPr>
        <w:ind w:left="874" w:hanging="420"/>
      </w:pPr>
      <w:rPr>
        <w:rFonts w:hint="eastAsia"/>
      </w:rPr>
    </w:lvl>
    <w:lvl w:ilvl="1" w:tentative="0">
      <w:start w:val="1"/>
      <w:numFmt w:val="lowerLetter"/>
      <w:lvlText w:val="%2)"/>
      <w:lvlJc w:val="left"/>
      <w:pPr>
        <w:ind w:left="1294" w:hanging="420"/>
      </w:pPr>
    </w:lvl>
    <w:lvl w:ilvl="2" w:tentative="0">
      <w:start w:val="1"/>
      <w:numFmt w:val="lowerRoman"/>
      <w:lvlText w:val="%3."/>
      <w:lvlJc w:val="right"/>
      <w:pPr>
        <w:ind w:left="1714" w:hanging="420"/>
      </w:pPr>
    </w:lvl>
    <w:lvl w:ilvl="3" w:tentative="0">
      <w:start w:val="1"/>
      <w:numFmt w:val="decimal"/>
      <w:lvlText w:val="%4."/>
      <w:lvlJc w:val="left"/>
      <w:pPr>
        <w:ind w:left="2134" w:hanging="420"/>
      </w:pPr>
    </w:lvl>
    <w:lvl w:ilvl="4" w:tentative="0">
      <w:start w:val="1"/>
      <w:numFmt w:val="lowerLetter"/>
      <w:lvlText w:val="%5)"/>
      <w:lvlJc w:val="left"/>
      <w:pPr>
        <w:ind w:left="2554" w:hanging="420"/>
      </w:pPr>
    </w:lvl>
    <w:lvl w:ilvl="5" w:tentative="0">
      <w:start w:val="1"/>
      <w:numFmt w:val="lowerRoman"/>
      <w:lvlText w:val="%6."/>
      <w:lvlJc w:val="right"/>
      <w:pPr>
        <w:ind w:left="2974" w:hanging="420"/>
      </w:pPr>
    </w:lvl>
    <w:lvl w:ilvl="6" w:tentative="0">
      <w:start w:val="1"/>
      <w:numFmt w:val="decimal"/>
      <w:lvlText w:val="%7."/>
      <w:lvlJc w:val="left"/>
      <w:pPr>
        <w:ind w:left="3394" w:hanging="420"/>
      </w:pPr>
    </w:lvl>
    <w:lvl w:ilvl="7" w:tentative="0">
      <w:start w:val="1"/>
      <w:numFmt w:val="lowerLetter"/>
      <w:lvlText w:val="%8)"/>
      <w:lvlJc w:val="left"/>
      <w:pPr>
        <w:ind w:left="3814" w:hanging="420"/>
      </w:pPr>
    </w:lvl>
    <w:lvl w:ilvl="8" w:tentative="0">
      <w:start w:val="1"/>
      <w:numFmt w:val="lowerRoman"/>
      <w:lvlText w:val="%9."/>
      <w:lvlJc w:val="right"/>
      <w:pPr>
        <w:ind w:left="4234" w:hanging="420"/>
      </w:pPr>
    </w:lvl>
  </w:abstractNum>
  <w:abstractNum w:abstractNumId="4">
    <w:nsid w:val="25BBD838"/>
    <w:multiLevelType w:val="singleLevel"/>
    <w:tmpl w:val="25BBD838"/>
    <w:lvl w:ilvl="0" w:tentative="0">
      <w:start w:val="1"/>
      <w:numFmt w:val="bullet"/>
      <w:pStyle w:val="18"/>
      <w:lvlText w:val=""/>
      <w:lvlJc w:val="left"/>
      <w:pPr>
        <w:tabs>
          <w:tab w:val="left" w:pos="1200"/>
        </w:tabs>
        <w:ind w:left="1200" w:hanging="360"/>
      </w:pPr>
      <w:rPr>
        <w:rFonts w:hint="default" w:ascii="Wingdings" w:hAnsi="Wingdings"/>
      </w:rPr>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6">
    <w:nsid w:val="33C01638"/>
    <w:multiLevelType w:val="multilevel"/>
    <w:tmpl w:val="33C01638"/>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7">
    <w:nsid w:val="42405056"/>
    <w:multiLevelType w:val="multilevel"/>
    <w:tmpl w:val="42405056"/>
    <w:lvl w:ilvl="0" w:tentative="0">
      <w:start w:val="1"/>
      <w:numFmt w:val="decimal"/>
      <w:lvlText w:val="%1."/>
      <w:lvlJc w:val="left"/>
      <w:pPr>
        <w:ind w:left="773" w:hanging="360"/>
      </w:pPr>
      <w:rPr>
        <w:rFonts w:hint="default"/>
        <w:b/>
        <w:sz w:val="24"/>
        <w:szCs w:val="24"/>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abstractNum w:abstractNumId="8">
    <w:nsid w:val="4C601917"/>
    <w:multiLevelType w:val="singleLevel"/>
    <w:tmpl w:val="4C601917"/>
    <w:lvl w:ilvl="0" w:tentative="0">
      <w:start w:val="1"/>
      <w:numFmt w:val="decimal"/>
      <w:suff w:val="nothing"/>
      <w:lvlText w:val="（%1）"/>
      <w:lvlJc w:val="left"/>
    </w:lvl>
  </w:abstractNum>
  <w:abstractNum w:abstractNumId="9">
    <w:nsid w:val="4D56E65B"/>
    <w:multiLevelType w:val="singleLevel"/>
    <w:tmpl w:val="4D56E65B"/>
    <w:lvl w:ilvl="0" w:tentative="0">
      <w:start w:val="5"/>
      <w:numFmt w:val="chineseCounting"/>
      <w:suff w:val="space"/>
      <w:lvlText w:val="第%1章"/>
      <w:lvlJc w:val="left"/>
      <w:rPr>
        <w:rFonts w:hint="eastAsia"/>
      </w:rPr>
    </w:lvl>
  </w:abstractNum>
  <w:abstractNum w:abstractNumId="10">
    <w:nsid w:val="5FABD14B"/>
    <w:multiLevelType w:val="singleLevel"/>
    <w:tmpl w:val="5FABD14B"/>
    <w:lvl w:ilvl="0" w:tentative="0">
      <w:start w:val="1"/>
      <w:numFmt w:val="decimal"/>
      <w:suff w:val="nothing"/>
      <w:lvlText w:val="（%1）"/>
      <w:lvlJc w:val="left"/>
    </w:lvl>
  </w:abstractNum>
  <w:abstractNum w:abstractNumId="11">
    <w:nsid w:val="70BD51E6"/>
    <w:multiLevelType w:val="multilevel"/>
    <w:tmpl w:val="70BD51E6"/>
    <w:lvl w:ilvl="0" w:tentative="0">
      <w:start w:val="1"/>
      <w:numFmt w:val="decimal"/>
      <w:lvlText w:val="%1."/>
      <w:lvlJc w:val="left"/>
      <w:pPr>
        <w:ind w:left="840" w:hanging="420"/>
      </w:pPr>
      <w:rPr>
        <w:rFonts w:hint="default"/>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5"/>
  </w:num>
  <w:num w:numId="2">
    <w:abstractNumId w:val="4"/>
  </w:num>
  <w:num w:numId="3">
    <w:abstractNumId w:val="2"/>
  </w:num>
  <w:num w:numId="4">
    <w:abstractNumId w:val="1"/>
  </w:num>
  <w:num w:numId="5">
    <w:abstractNumId w:val="3"/>
  </w:num>
  <w:num w:numId="6">
    <w:abstractNumId w:val="11"/>
  </w:num>
  <w:num w:numId="7">
    <w:abstractNumId w:val="7"/>
  </w:num>
  <w:num w:numId="8">
    <w:abstractNumId w:val="8"/>
  </w:num>
  <w:num w:numId="9">
    <w:abstractNumId w:val="10"/>
  </w:num>
  <w:num w:numId="10">
    <w:abstractNumId w:val="0"/>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1"/>
  <w:bordersDoNotSurroundFooter w:val="1"/>
  <w:hideSpelling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YTllZDQ4YzgxOTU1NDkyNDdiNTc0MjIzZjdhZDgifQ=="/>
  </w:docVars>
  <w:rsids>
    <w:rsidRoot w:val="00F9008B"/>
    <w:rsid w:val="0000010C"/>
    <w:rsid w:val="00000FE0"/>
    <w:rsid w:val="00001068"/>
    <w:rsid w:val="0000114A"/>
    <w:rsid w:val="00001731"/>
    <w:rsid w:val="00001C2D"/>
    <w:rsid w:val="00001C55"/>
    <w:rsid w:val="00001CA8"/>
    <w:rsid w:val="00001FAE"/>
    <w:rsid w:val="00002291"/>
    <w:rsid w:val="00002644"/>
    <w:rsid w:val="00002DBF"/>
    <w:rsid w:val="00002EC0"/>
    <w:rsid w:val="00003224"/>
    <w:rsid w:val="000033F5"/>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2137"/>
    <w:rsid w:val="000121FF"/>
    <w:rsid w:val="000125B8"/>
    <w:rsid w:val="00012692"/>
    <w:rsid w:val="00013270"/>
    <w:rsid w:val="00013446"/>
    <w:rsid w:val="00013509"/>
    <w:rsid w:val="000135BC"/>
    <w:rsid w:val="000135DC"/>
    <w:rsid w:val="000136D6"/>
    <w:rsid w:val="00014085"/>
    <w:rsid w:val="00014B4C"/>
    <w:rsid w:val="00014DD9"/>
    <w:rsid w:val="000151E4"/>
    <w:rsid w:val="000153D8"/>
    <w:rsid w:val="00015577"/>
    <w:rsid w:val="000156E4"/>
    <w:rsid w:val="000159A7"/>
    <w:rsid w:val="00015E2E"/>
    <w:rsid w:val="00015FB8"/>
    <w:rsid w:val="0001609F"/>
    <w:rsid w:val="0001635B"/>
    <w:rsid w:val="00016549"/>
    <w:rsid w:val="00016BF7"/>
    <w:rsid w:val="0001767E"/>
    <w:rsid w:val="0001776D"/>
    <w:rsid w:val="00017C00"/>
    <w:rsid w:val="00017F31"/>
    <w:rsid w:val="00020607"/>
    <w:rsid w:val="0002103A"/>
    <w:rsid w:val="00021402"/>
    <w:rsid w:val="000217E4"/>
    <w:rsid w:val="00021852"/>
    <w:rsid w:val="00021A12"/>
    <w:rsid w:val="00022622"/>
    <w:rsid w:val="00022D91"/>
    <w:rsid w:val="00023363"/>
    <w:rsid w:val="000235F3"/>
    <w:rsid w:val="00023644"/>
    <w:rsid w:val="00023712"/>
    <w:rsid w:val="00024E3C"/>
    <w:rsid w:val="00024EB0"/>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304A"/>
    <w:rsid w:val="0003317E"/>
    <w:rsid w:val="00033413"/>
    <w:rsid w:val="000337F3"/>
    <w:rsid w:val="00034A48"/>
    <w:rsid w:val="00034C27"/>
    <w:rsid w:val="00034E2A"/>
    <w:rsid w:val="0003577F"/>
    <w:rsid w:val="00036466"/>
    <w:rsid w:val="0003675E"/>
    <w:rsid w:val="00037F87"/>
    <w:rsid w:val="00037FA2"/>
    <w:rsid w:val="000400D0"/>
    <w:rsid w:val="0004044E"/>
    <w:rsid w:val="000425AC"/>
    <w:rsid w:val="00042F4A"/>
    <w:rsid w:val="00043BE5"/>
    <w:rsid w:val="00044003"/>
    <w:rsid w:val="00044527"/>
    <w:rsid w:val="00044897"/>
    <w:rsid w:val="00044ACF"/>
    <w:rsid w:val="000454F4"/>
    <w:rsid w:val="00045D1E"/>
    <w:rsid w:val="00045E69"/>
    <w:rsid w:val="00045EF4"/>
    <w:rsid w:val="00046547"/>
    <w:rsid w:val="000466D7"/>
    <w:rsid w:val="00046753"/>
    <w:rsid w:val="00047254"/>
    <w:rsid w:val="0005022B"/>
    <w:rsid w:val="00050771"/>
    <w:rsid w:val="000513F3"/>
    <w:rsid w:val="0005176A"/>
    <w:rsid w:val="00052224"/>
    <w:rsid w:val="00052287"/>
    <w:rsid w:val="000522E0"/>
    <w:rsid w:val="000532F4"/>
    <w:rsid w:val="000536AE"/>
    <w:rsid w:val="00054CD5"/>
    <w:rsid w:val="00054D03"/>
    <w:rsid w:val="000550AC"/>
    <w:rsid w:val="0005584D"/>
    <w:rsid w:val="00055CC3"/>
    <w:rsid w:val="00055CEE"/>
    <w:rsid w:val="000566FA"/>
    <w:rsid w:val="00056A2B"/>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400F"/>
    <w:rsid w:val="000643DA"/>
    <w:rsid w:val="000645DD"/>
    <w:rsid w:val="00064D7E"/>
    <w:rsid w:val="00064F65"/>
    <w:rsid w:val="00064FD0"/>
    <w:rsid w:val="0006534A"/>
    <w:rsid w:val="00065A5D"/>
    <w:rsid w:val="00065BA2"/>
    <w:rsid w:val="000661CA"/>
    <w:rsid w:val="0006668D"/>
    <w:rsid w:val="00067002"/>
    <w:rsid w:val="00067993"/>
    <w:rsid w:val="00067B1C"/>
    <w:rsid w:val="00067CED"/>
    <w:rsid w:val="00067F66"/>
    <w:rsid w:val="0007041A"/>
    <w:rsid w:val="00070634"/>
    <w:rsid w:val="00070883"/>
    <w:rsid w:val="00070C3F"/>
    <w:rsid w:val="0007102C"/>
    <w:rsid w:val="00071D68"/>
    <w:rsid w:val="00071FCE"/>
    <w:rsid w:val="00071FD6"/>
    <w:rsid w:val="00072079"/>
    <w:rsid w:val="00072661"/>
    <w:rsid w:val="00072CCC"/>
    <w:rsid w:val="00073549"/>
    <w:rsid w:val="00074118"/>
    <w:rsid w:val="0007483E"/>
    <w:rsid w:val="000751DB"/>
    <w:rsid w:val="0007578F"/>
    <w:rsid w:val="00075E43"/>
    <w:rsid w:val="00077706"/>
    <w:rsid w:val="00077878"/>
    <w:rsid w:val="00077DE2"/>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3BB"/>
    <w:rsid w:val="0008341E"/>
    <w:rsid w:val="0008386A"/>
    <w:rsid w:val="00083D46"/>
    <w:rsid w:val="0008452D"/>
    <w:rsid w:val="0008467B"/>
    <w:rsid w:val="000850FA"/>
    <w:rsid w:val="00085C12"/>
    <w:rsid w:val="00085DA0"/>
    <w:rsid w:val="00085F82"/>
    <w:rsid w:val="00086506"/>
    <w:rsid w:val="00086B6E"/>
    <w:rsid w:val="00086C64"/>
    <w:rsid w:val="0008781A"/>
    <w:rsid w:val="00090951"/>
    <w:rsid w:val="00090A61"/>
    <w:rsid w:val="000918F5"/>
    <w:rsid w:val="000919B5"/>
    <w:rsid w:val="00091C1D"/>
    <w:rsid w:val="00091E08"/>
    <w:rsid w:val="00091E29"/>
    <w:rsid w:val="000922D8"/>
    <w:rsid w:val="000932E7"/>
    <w:rsid w:val="0009333A"/>
    <w:rsid w:val="00093459"/>
    <w:rsid w:val="00093B8B"/>
    <w:rsid w:val="000951E7"/>
    <w:rsid w:val="00095B82"/>
    <w:rsid w:val="00096098"/>
    <w:rsid w:val="000961C5"/>
    <w:rsid w:val="000969D9"/>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90E"/>
    <w:rsid w:val="000A5B49"/>
    <w:rsid w:val="000A5D6D"/>
    <w:rsid w:val="000A5FE5"/>
    <w:rsid w:val="000A7218"/>
    <w:rsid w:val="000A740A"/>
    <w:rsid w:val="000A7446"/>
    <w:rsid w:val="000A7A56"/>
    <w:rsid w:val="000A7E7F"/>
    <w:rsid w:val="000A7ECD"/>
    <w:rsid w:val="000B04DD"/>
    <w:rsid w:val="000B0F01"/>
    <w:rsid w:val="000B1346"/>
    <w:rsid w:val="000B1914"/>
    <w:rsid w:val="000B19DC"/>
    <w:rsid w:val="000B1CA2"/>
    <w:rsid w:val="000B202E"/>
    <w:rsid w:val="000B2293"/>
    <w:rsid w:val="000B24A4"/>
    <w:rsid w:val="000B255C"/>
    <w:rsid w:val="000B395E"/>
    <w:rsid w:val="000B39C3"/>
    <w:rsid w:val="000B3A00"/>
    <w:rsid w:val="000B3BFD"/>
    <w:rsid w:val="000B4840"/>
    <w:rsid w:val="000B4D79"/>
    <w:rsid w:val="000B5627"/>
    <w:rsid w:val="000B5671"/>
    <w:rsid w:val="000B6BF0"/>
    <w:rsid w:val="000B6CE8"/>
    <w:rsid w:val="000B7DAF"/>
    <w:rsid w:val="000C071C"/>
    <w:rsid w:val="000C0BB4"/>
    <w:rsid w:val="000C0BEE"/>
    <w:rsid w:val="000C1CB9"/>
    <w:rsid w:val="000C2159"/>
    <w:rsid w:val="000C21BB"/>
    <w:rsid w:val="000C2407"/>
    <w:rsid w:val="000C289B"/>
    <w:rsid w:val="000C321B"/>
    <w:rsid w:val="000C3F01"/>
    <w:rsid w:val="000C420D"/>
    <w:rsid w:val="000C4773"/>
    <w:rsid w:val="000C4944"/>
    <w:rsid w:val="000C4E24"/>
    <w:rsid w:val="000C5394"/>
    <w:rsid w:val="000C5C4A"/>
    <w:rsid w:val="000C5F01"/>
    <w:rsid w:val="000C63C4"/>
    <w:rsid w:val="000C66C1"/>
    <w:rsid w:val="000C6F0B"/>
    <w:rsid w:val="000C6F32"/>
    <w:rsid w:val="000C778C"/>
    <w:rsid w:val="000C7833"/>
    <w:rsid w:val="000C7DFB"/>
    <w:rsid w:val="000C7E1B"/>
    <w:rsid w:val="000C7E73"/>
    <w:rsid w:val="000D001B"/>
    <w:rsid w:val="000D0A45"/>
    <w:rsid w:val="000D136E"/>
    <w:rsid w:val="000D14AC"/>
    <w:rsid w:val="000D15BA"/>
    <w:rsid w:val="000D2C9B"/>
    <w:rsid w:val="000D2E6D"/>
    <w:rsid w:val="000D35FD"/>
    <w:rsid w:val="000D3D2D"/>
    <w:rsid w:val="000D3D99"/>
    <w:rsid w:val="000D4653"/>
    <w:rsid w:val="000D4696"/>
    <w:rsid w:val="000D4817"/>
    <w:rsid w:val="000D4FB9"/>
    <w:rsid w:val="000D54B4"/>
    <w:rsid w:val="000D584B"/>
    <w:rsid w:val="000D5F55"/>
    <w:rsid w:val="000D6372"/>
    <w:rsid w:val="000D6979"/>
    <w:rsid w:val="000D6BED"/>
    <w:rsid w:val="000D6CE7"/>
    <w:rsid w:val="000D6E38"/>
    <w:rsid w:val="000D6E63"/>
    <w:rsid w:val="000D711C"/>
    <w:rsid w:val="000D7B6E"/>
    <w:rsid w:val="000E0644"/>
    <w:rsid w:val="000E076D"/>
    <w:rsid w:val="000E0CD2"/>
    <w:rsid w:val="000E187C"/>
    <w:rsid w:val="000E1B28"/>
    <w:rsid w:val="000E1E8D"/>
    <w:rsid w:val="000E1EBC"/>
    <w:rsid w:val="000E2173"/>
    <w:rsid w:val="000E220B"/>
    <w:rsid w:val="000E2A50"/>
    <w:rsid w:val="000E2B20"/>
    <w:rsid w:val="000E30F2"/>
    <w:rsid w:val="000E316B"/>
    <w:rsid w:val="000E3D08"/>
    <w:rsid w:val="000E4728"/>
    <w:rsid w:val="000E4D1F"/>
    <w:rsid w:val="000E5658"/>
    <w:rsid w:val="000E5698"/>
    <w:rsid w:val="000E5723"/>
    <w:rsid w:val="000E581B"/>
    <w:rsid w:val="000E65D2"/>
    <w:rsid w:val="000E6919"/>
    <w:rsid w:val="000E6B1B"/>
    <w:rsid w:val="000E6F0C"/>
    <w:rsid w:val="000E732D"/>
    <w:rsid w:val="000F07ED"/>
    <w:rsid w:val="000F0CF2"/>
    <w:rsid w:val="000F1A32"/>
    <w:rsid w:val="000F1CC2"/>
    <w:rsid w:val="000F1D15"/>
    <w:rsid w:val="000F270A"/>
    <w:rsid w:val="000F34C8"/>
    <w:rsid w:val="000F38BC"/>
    <w:rsid w:val="000F3E2A"/>
    <w:rsid w:val="000F4D26"/>
    <w:rsid w:val="000F5639"/>
    <w:rsid w:val="000F58A4"/>
    <w:rsid w:val="000F635F"/>
    <w:rsid w:val="000F6427"/>
    <w:rsid w:val="000F6833"/>
    <w:rsid w:val="000F6A24"/>
    <w:rsid w:val="000F7616"/>
    <w:rsid w:val="000F7DE9"/>
    <w:rsid w:val="000F7F7A"/>
    <w:rsid w:val="0010004B"/>
    <w:rsid w:val="001002F4"/>
    <w:rsid w:val="001011FC"/>
    <w:rsid w:val="0010165F"/>
    <w:rsid w:val="001018C1"/>
    <w:rsid w:val="00101E7C"/>
    <w:rsid w:val="001023DC"/>
    <w:rsid w:val="00102539"/>
    <w:rsid w:val="0010256D"/>
    <w:rsid w:val="00102572"/>
    <w:rsid w:val="00102946"/>
    <w:rsid w:val="00102FBF"/>
    <w:rsid w:val="0010326C"/>
    <w:rsid w:val="0010333D"/>
    <w:rsid w:val="0010372A"/>
    <w:rsid w:val="00103F41"/>
    <w:rsid w:val="00104E77"/>
    <w:rsid w:val="00104F34"/>
    <w:rsid w:val="001053C5"/>
    <w:rsid w:val="001055AD"/>
    <w:rsid w:val="00105C14"/>
    <w:rsid w:val="001065A3"/>
    <w:rsid w:val="0010691D"/>
    <w:rsid w:val="00106B33"/>
    <w:rsid w:val="00106E69"/>
    <w:rsid w:val="00110AC5"/>
    <w:rsid w:val="00110F0B"/>
    <w:rsid w:val="0011108B"/>
    <w:rsid w:val="00111136"/>
    <w:rsid w:val="00111164"/>
    <w:rsid w:val="00111761"/>
    <w:rsid w:val="00112164"/>
    <w:rsid w:val="0011241F"/>
    <w:rsid w:val="001128BF"/>
    <w:rsid w:val="00112D09"/>
    <w:rsid w:val="00112F03"/>
    <w:rsid w:val="00112F38"/>
    <w:rsid w:val="00113821"/>
    <w:rsid w:val="00113CEE"/>
    <w:rsid w:val="00114058"/>
    <w:rsid w:val="00114342"/>
    <w:rsid w:val="0011449E"/>
    <w:rsid w:val="001153EF"/>
    <w:rsid w:val="00115D55"/>
    <w:rsid w:val="00115E45"/>
    <w:rsid w:val="00115F85"/>
    <w:rsid w:val="001165CC"/>
    <w:rsid w:val="0011688E"/>
    <w:rsid w:val="00116ACD"/>
    <w:rsid w:val="00116DE8"/>
    <w:rsid w:val="00117B7D"/>
    <w:rsid w:val="001205A8"/>
    <w:rsid w:val="0012180B"/>
    <w:rsid w:val="00122A64"/>
    <w:rsid w:val="00123641"/>
    <w:rsid w:val="0012388A"/>
    <w:rsid w:val="0012388C"/>
    <w:rsid w:val="00123AFA"/>
    <w:rsid w:val="00123C8C"/>
    <w:rsid w:val="00123D68"/>
    <w:rsid w:val="00123E8B"/>
    <w:rsid w:val="00124B43"/>
    <w:rsid w:val="00124DF8"/>
    <w:rsid w:val="001253EA"/>
    <w:rsid w:val="00125913"/>
    <w:rsid w:val="00125B99"/>
    <w:rsid w:val="00126160"/>
    <w:rsid w:val="00126DB5"/>
    <w:rsid w:val="00127178"/>
    <w:rsid w:val="00127424"/>
    <w:rsid w:val="00127D2B"/>
    <w:rsid w:val="00127F09"/>
    <w:rsid w:val="0013002A"/>
    <w:rsid w:val="0013085D"/>
    <w:rsid w:val="0013089C"/>
    <w:rsid w:val="00130A2D"/>
    <w:rsid w:val="00130F54"/>
    <w:rsid w:val="00131888"/>
    <w:rsid w:val="00131F17"/>
    <w:rsid w:val="001323F9"/>
    <w:rsid w:val="0013251F"/>
    <w:rsid w:val="001326CD"/>
    <w:rsid w:val="00132FA3"/>
    <w:rsid w:val="00133088"/>
    <w:rsid w:val="00133346"/>
    <w:rsid w:val="001335B1"/>
    <w:rsid w:val="00133B4E"/>
    <w:rsid w:val="00133D47"/>
    <w:rsid w:val="001346AF"/>
    <w:rsid w:val="00134990"/>
    <w:rsid w:val="001354D1"/>
    <w:rsid w:val="00135A0A"/>
    <w:rsid w:val="00135BB9"/>
    <w:rsid w:val="0013621D"/>
    <w:rsid w:val="00136354"/>
    <w:rsid w:val="00136674"/>
    <w:rsid w:val="00136B0E"/>
    <w:rsid w:val="00136C26"/>
    <w:rsid w:val="00136C3B"/>
    <w:rsid w:val="00137103"/>
    <w:rsid w:val="001376AB"/>
    <w:rsid w:val="0013777C"/>
    <w:rsid w:val="00137D5F"/>
    <w:rsid w:val="00140082"/>
    <w:rsid w:val="00140175"/>
    <w:rsid w:val="00140757"/>
    <w:rsid w:val="001407FA"/>
    <w:rsid w:val="00140D07"/>
    <w:rsid w:val="00141A3A"/>
    <w:rsid w:val="001422F4"/>
    <w:rsid w:val="001423FA"/>
    <w:rsid w:val="001427B5"/>
    <w:rsid w:val="001428CF"/>
    <w:rsid w:val="00142D0C"/>
    <w:rsid w:val="00142E3C"/>
    <w:rsid w:val="00144013"/>
    <w:rsid w:val="001454B8"/>
    <w:rsid w:val="00145A17"/>
    <w:rsid w:val="00145BBE"/>
    <w:rsid w:val="00145D7F"/>
    <w:rsid w:val="001460B5"/>
    <w:rsid w:val="0014641F"/>
    <w:rsid w:val="001464A8"/>
    <w:rsid w:val="001467BB"/>
    <w:rsid w:val="00146CA8"/>
    <w:rsid w:val="001472A5"/>
    <w:rsid w:val="00147884"/>
    <w:rsid w:val="00150669"/>
    <w:rsid w:val="00150827"/>
    <w:rsid w:val="00150B0D"/>
    <w:rsid w:val="00151E31"/>
    <w:rsid w:val="00151F9B"/>
    <w:rsid w:val="00152289"/>
    <w:rsid w:val="00152425"/>
    <w:rsid w:val="001527CF"/>
    <w:rsid w:val="00152BAD"/>
    <w:rsid w:val="00152CE3"/>
    <w:rsid w:val="00153652"/>
    <w:rsid w:val="00153697"/>
    <w:rsid w:val="00153956"/>
    <w:rsid w:val="00153B95"/>
    <w:rsid w:val="00154146"/>
    <w:rsid w:val="00154190"/>
    <w:rsid w:val="001545EA"/>
    <w:rsid w:val="001549BA"/>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30A8"/>
    <w:rsid w:val="001634C7"/>
    <w:rsid w:val="00163826"/>
    <w:rsid w:val="00163943"/>
    <w:rsid w:val="00163BA1"/>
    <w:rsid w:val="00163F22"/>
    <w:rsid w:val="0016417B"/>
    <w:rsid w:val="0016470E"/>
    <w:rsid w:val="00164E0A"/>
    <w:rsid w:val="001652D7"/>
    <w:rsid w:val="00165A5F"/>
    <w:rsid w:val="00166223"/>
    <w:rsid w:val="001670D8"/>
    <w:rsid w:val="0016793E"/>
    <w:rsid w:val="00167D4D"/>
    <w:rsid w:val="00170635"/>
    <w:rsid w:val="0017070D"/>
    <w:rsid w:val="00170837"/>
    <w:rsid w:val="00171035"/>
    <w:rsid w:val="001713B7"/>
    <w:rsid w:val="00171ADB"/>
    <w:rsid w:val="00172029"/>
    <w:rsid w:val="001733A4"/>
    <w:rsid w:val="00173AB9"/>
    <w:rsid w:val="00173EED"/>
    <w:rsid w:val="00174368"/>
    <w:rsid w:val="001744EA"/>
    <w:rsid w:val="00174D82"/>
    <w:rsid w:val="00174E44"/>
    <w:rsid w:val="00175053"/>
    <w:rsid w:val="001753B7"/>
    <w:rsid w:val="001757E7"/>
    <w:rsid w:val="00175873"/>
    <w:rsid w:val="00175C59"/>
    <w:rsid w:val="001760BC"/>
    <w:rsid w:val="00176674"/>
    <w:rsid w:val="00176818"/>
    <w:rsid w:val="00176B82"/>
    <w:rsid w:val="00176D53"/>
    <w:rsid w:val="00176E3B"/>
    <w:rsid w:val="00176ECB"/>
    <w:rsid w:val="0017752D"/>
    <w:rsid w:val="0017759F"/>
    <w:rsid w:val="00177832"/>
    <w:rsid w:val="00177D48"/>
    <w:rsid w:val="00181178"/>
    <w:rsid w:val="0018119E"/>
    <w:rsid w:val="00181EEF"/>
    <w:rsid w:val="00181F3E"/>
    <w:rsid w:val="00182FE0"/>
    <w:rsid w:val="00183911"/>
    <w:rsid w:val="001845FB"/>
    <w:rsid w:val="00185490"/>
    <w:rsid w:val="00185DA6"/>
    <w:rsid w:val="00185F64"/>
    <w:rsid w:val="00186096"/>
    <w:rsid w:val="0018772E"/>
    <w:rsid w:val="00187A94"/>
    <w:rsid w:val="0019029E"/>
    <w:rsid w:val="00190804"/>
    <w:rsid w:val="0019088F"/>
    <w:rsid w:val="00190C51"/>
    <w:rsid w:val="001925E7"/>
    <w:rsid w:val="00192FA5"/>
    <w:rsid w:val="00193ACC"/>
    <w:rsid w:val="00193BFE"/>
    <w:rsid w:val="00194E7E"/>
    <w:rsid w:val="00195322"/>
    <w:rsid w:val="0019560E"/>
    <w:rsid w:val="001958E3"/>
    <w:rsid w:val="0019601B"/>
    <w:rsid w:val="00196048"/>
    <w:rsid w:val="00196A82"/>
    <w:rsid w:val="0019769B"/>
    <w:rsid w:val="00197FFE"/>
    <w:rsid w:val="001A08A6"/>
    <w:rsid w:val="001A0D25"/>
    <w:rsid w:val="001A1570"/>
    <w:rsid w:val="001A1917"/>
    <w:rsid w:val="001A1C64"/>
    <w:rsid w:val="001A1E7F"/>
    <w:rsid w:val="001A2918"/>
    <w:rsid w:val="001A2D02"/>
    <w:rsid w:val="001A2DFE"/>
    <w:rsid w:val="001A3076"/>
    <w:rsid w:val="001A3120"/>
    <w:rsid w:val="001A31A5"/>
    <w:rsid w:val="001A389C"/>
    <w:rsid w:val="001A3B75"/>
    <w:rsid w:val="001A46FB"/>
    <w:rsid w:val="001A5944"/>
    <w:rsid w:val="001A5D30"/>
    <w:rsid w:val="001A5FB1"/>
    <w:rsid w:val="001A698A"/>
    <w:rsid w:val="001A6CCC"/>
    <w:rsid w:val="001A70C8"/>
    <w:rsid w:val="001A71C9"/>
    <w:rsid w:val="001A7429"/>
    <w:rsid w:val="001A760C"/>
    <w:rsid w:val="001A799B"/>
    <w:rsid w:val="001A7AC7"/>
    <w:rsid w:val="001A7C38"/>
    <w:rsid w:val="001B02F8"/>
    <w:rsid w:val="001B17B0"/>
    <w:rsid w:val="001B2104"/>
    <w:rsid w:val="001B2279"/>
    <w:rsid w:val="001B252E"/>
    <w:rsid w:val="001B2729"/>
    <w:rsid w:val="001B2859"/>
    <w:rsid w:val="001B2866"/>
    <w:rsid w:val="001B2881"/>
    <w:rsid w:val="001B34A3"/>
    <w:rsid w:val="001B3675"/>
    <w:rsid w:val="001B37C8"/>
    <w:rsid w:val="001B4B2C"/>
    <w:rsid w:val="001B4F10"/>
    <w:rsid w:val="001B5026"/>
    <w:rsid w:val="001B5154"/>
    <w:rsid w:val="001B6E30"/>
    <w:rsid w:val="001B7C83"/>
    <w:rsid w:val="001B7F9E"/>
    <w:rsid w:val="001C0206"/>
    <w:rsid w:val="001C0246"/>
    <w:rsid w:val="001C04D4"/>
    <w:rsid w:val="001C0B34"/>
    <w:rsid w:val="001C0BE7"/>
    <w:rsid w:val="001C12A3"/>
    <w:rsid w:val="001C17BB"/>
    <w:rsid w:val="001C187E"/>
    <w:rsid w:val="001C1A37"/>
    <w:rsid w:val="001C1C49"/>
    <w:rsid w:val="001C286F"/>
    <w:rsid w:val="001C2B86"/>
    <w:rsid w:val="001C2F54"/>
    <w:rsid w:val="001C3308"/>
    <w:rsid w:val="001C3BBB"/>
    <w:rsid w:val="001C40D1"/>
    <w:rsid w:val="001C468A"/>
    <w:rsid w:val="001C4A38"/>
    <w:rsid w:val="001C4A9E"/>
    <w:rsid w:val="001C4C54"/>
    <w:rsid w:val="001C5001"/>
    <w:rsid w:val="001C5103"/>
    <w:rsid w:val="001C52A8"/>
    <w:rsid w:val="001C5ADF"/>
    <w:rsid w:val="001C5E8E"/>
    <w:rsid w:val="001C6120"/>
    <w:rsid w:val="001C6516"/>
    <w:rsid w:val="001C6B5C"/>
    <w:rsid w:val="001C7155"/>
    <w:rsid w:val="001C71D9"/>
    <w:rsid w:val="001C7E48"/>
    <w:rsid w:val="001D039B"/>
    <w:rsid w:val="001D1258"/>
    <w:rsid w:val="001D1AB8"/>
    <w:rsid w:val="001D286F"/>
    <w:rsid w:val="001D2C94"/>
    <w:rsid w:val="001D33D9"/>
    <w:rsid w:val="001D36F6"/>
    <w:rsid w:val="001D4303"/>
    <w:rsid w:val="001D45E5"/>
    <w:rsid w:val="001D461A"/>
    <w:rsid w:val="001D4A9D"/>
    <w:rsid w:val="001D4AAD"/>
    <w:rsid w:val="001D5AFA"/>
    <w:rsid w:val="001D7380"/>
    <w:rsid w:val="001D784A"/>
    <w:rsid w:val="001E04A4"/>
    <w:rsid w:val="001E04EE"/>
    <w:rsid w:val="001E07C5"/>
    <w:rsid w:val="001E10D8"/>
    <w:rsid w:val="001E176D"/>
    <w:rsid w:val="001E1BCE"/>
    <w:rsid w:val="001E1E05"/>
    <w:rsid w:val="001E2086"/>
    <w:rsid w:val="001E2E37"/>
    <w:rsid w:val="001E339F"/>
    <w:rsid w:val="001E3629"/>
    <w:rsid w:val="001E40F0"/>
    <w:rsid w:val="001E4172"/>
    <w:rsid w:val="001E5490"/>
    <w:rsid w:val="001E5730"/>
    <w:rsid w:val="001E5B1A"/>
    <w:rsid w:val="001E5E2E"/>
    <w:rsid w:val="001E6352"/>
    <w:rsid w:val="001E70AD"/>
    <w:rsid w:val="001E7237"/>
    <w:rsid w:val="001E7AF6"/>
    <w:rsid w:val="001F01B8"/>
    <w:rsid w:val="001F0FC3"/>
    <w:rsid w:val="001F1188"/>
    <w:rsid w:val="001F1B8D"/>
    <w:rsid w:val="001F274F"/>
    <w:rsid w:val="001F289C"/>
    <w:rsid w:val="001F2BF9"/>
    <w:rsid w:val="001F2C05"/>
    <w:rsid w:val="001F3AF2"/>
    <w:rsid w:val="001F3E32"/>
    <w:rsid w:val="001F45EC"/>
    <w:rsid w:val="001F6008"/>
    <w:rsid w:val="001F641B"/>
    <w:rsid w:val="001F6D4D"/>
    <w:rsid w:val="001F7C00"/>
    <w:rsid w:val="001F7D32"/>
    <w:rsid w:val="0020042C"/>
    <w:rsid w:val="002009A3"/>
    <w:rsid w:val="00200F1A"/>
    <w:rsid w:val="0020130D"/>
    <w:rsid w:val="00201D06"/>
    <w:rsid w:val="00201E9F"/>
    <w:rsid w:val="00202F25"/>
    <w:rsid w:val="002035B3"/>
    <w:rsid w:val="00203929"/>
    <w:rsid w:val="00203CD6"/>
    <w:rsid w:val="00203F0A"/>
    <w:rsid w:val="00204460"/>
    <w:rsid w:val="002051EA"/>
    <w:rsid w:val="00205CBC"/>
    <w:rsid w:val="00205E9E"/>
    <w:rsid w:val="00206259"/>
    <w:rsid w:val="00206CE5"/>
    <w:rsid w:val="002074B7"/>
    <w:rsid w:val="0020758D"/>
    <w:rsid w:val="00207C7B"/>
    <w:rsid w:val="00211470"/>
    <w:rsid w:val="00211922"/>
    <w:rsid w:val="0021213A"/>
    <w:rsid w:val="0021265F"/>
    <w:rsid w:val="00213817"/>
    <w:rsid w:val="00213FA0"/>
    <w:rsid w:val="00214428"/>
    <w:rsid w:val="002145EB"/>
    <w:rsid w:val="00215834"/>
    <w:rsid w:val="00215CC2"/>
    <w:rsid w:val="00215ED8"/>
    <w:rsid w:val="00217700"/>
    <w:rsid w:val="002177E2"/>
    <w:rsid w:val="002205F3"/>
    <w:rsid w:val="0022085B"/>
    <w:rsid w:val="00220E53"/>
    <w:rsid w:val="0022176C"/>
    <w:rsid w:val="002225D1"/>
    <w:rsid w:val="002230FA"/>
    <w:rsid w:val="00223DF2"/>
    <w:rsid w:val="002244F4"/>
    <w:rsid w:val="00224737"/>
    <w:rsid w:val="00224C0C"/>
    <w:rsid w:val="00225323"/>
    <w:rsid w:val="002256C2"/>
    <w:rsid w:val="002256D0"/>
    <w:rsid w:val="00225C8E"/>
    <w:rsid w:val="00226428"/>
    <w:rsid w:val="002265A9"/>
    <w:rsid w:val="002266CB"/>
    <w:rsid w:val="00227052"/>
    <w:rsid w:val="002272D5"/>
    <w:rsid w:val="0022738E"/>
    <w:rsid w:val="00227906"/>
    <w:rsid w:val="00227934"/>
    <w:rsid w:val="00227E21"/>
    <w:rsid w:val="00230178"/>
    <w:rsid w:val="00231D05"/>
    <w:rsid w:val="002336E2"/>
    <w:rsid w:val="00233AC2"/>
    <w:rsid w:val="00233BAF"/>
    <w:rsid w:val="00235420"/>
    <w:rsid w:val="00235DAA"/>
    <w:rsid w:val="0024065B"/>
    <w:rsid w:val="002409A6"/>
    <w:rsid w:val="00240EA5"/>
    <w:rsid w:val="00241132"/>
    <w:rsid w:val="00241205"/>
    <w:rsid w:val="002418C5"/>
    <w:rsid w:val="0024261D"/>
    <w:rsid w:val="00242DFB"/>
    <w:rsid w:val="00243807"/>
    <w:rsid w:val="002440AC"/>
    <w:rsid w:val="00244365"/>
    <w:rsid w:val="0024459A"/>
    <w:rsid w:val="00244771"/>
    <w:rsid w:val="00244903"/>
    <w:rsid w:val="00244AFB"/>
    <w:rsid w:val="002453DF"/>
    <w:rsid w:val="00245A81"/>
    <w:rsid w:val="00246B86"/>
    <w:rsid w:val="00246E61"/>
    <w:rsid w:val="00247335"/>
    <w:rsid w:val="002473EF"/>
    <w:rsid w:val="002477B9"/>
    <w:rsid w:val="00247CBE"/>
    <w:rsid w:val="00250A1F"/>
    <w:rsid w:val="00250ADA"/>
    <w:rsid w:val="00250F1D"/>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7059"/>
    <w:rsid w:val="0025712F"/>
    <w:rsid w:val="00257395"/>
    <w:rsid w:val="00257857"/>
    <w:rsid w:val="002578DA"/>
    <w:rsid w:val="00257CBC"/>
    <w:rsid w:val="002602C2"/>
    <w:rsid w:val="002602DA"/>
    <w:rsid w:val="0026040B"/>
    <w:rsid w:val="00260802"/>
    <w:rsid w:val="002609E3"/>
    <w:rsid w:val="00261223"/>
    <w:rsid w:val="002617AB"/>
    <w:rsid w:val="00261D08"/>
    <w:rsid w:val="00261DCC"/>
    <w:rsid w:val="002624D0"/>
    <w:rsid w:val="00263AE7"/>
    <w:rsid w:val="00263EC7"/>
    <w:rsid w:val="0026491B"/>
    <w:rsid w:val="00264A36"/>
    <w:rsid w:val="00264B06"/>
    <w:rsid w:val="00264C1B"/>
    <w:rsid w:val="00265E2E"/>
    <w:rsid w:val="002661AB"/>
    <w:rsid w:val="0026742B"/>
    <w:rsid w:val="002674FE"/>
    <w:rsid w:val="00270748"/>
    <w:rsid w:val="0027117F"/>
    <w:rsid w:val="002712DC"/>
    <w:rsid w:val="00271875"/>
    <w:rsid w:val="002718FF"/>
    <w:rsid w:val="00271955"/>
    <w:rsid w:val="00272278"/>
    <w:rsid w:val="00272432"/>
    <w:rsid w:val="00272633"/>
    <w:rsid w:val="00272FBF"/>
    <w:rsid w:val="00273A10"/>
    <w:rsid w:val="00273A58"/>
    <w:rsid w:val="00274CAB"/>
    <w:rsid w:val="00274E8A"/>
    <w:rsid w:val="0027507D"/>
    <w:rsid w:val="00275FCE"/>
    <w:rsid w:val="00276474"/>
    <w:rsid w:val="002766B8"/>
    <w:rsid w:val="0027680F"/>
    <w:rsid w:val="00281006"/>
    <w:rsid w:val="002815B1"/>
    <w:rsid w:val="00281C1F"/>
    <w:rsid w:val="00281EEA"/>
    <w:rsid w:val="00281F88"/>
    <w:rsid w:val="0028288D"/>
    <w:rsid w:val="002829B7"/>
    <w:rsid w:val="00282B82"/>
    <w:rsid w:val="00282C74"/>
    <w:rsid w:val="00282E5B"/>
    <w:rsid w:val="00283995"/>
    <w:rsid w:val="00283B11"/>
    <w:rsid w:val="0028400F"/>
    <w:rsid w:val="002841A9"/>
    <w:rsid w:val="00284313"/>
    <w:rsid w:val="002848AD"/>
    <w:rsid w:val="00285154"/>
    <w:rsid w:val="00285BF2"/>
    <w:rsid w:val="00285C78"/>
    <w:rsid w:val="002863CE"/>
    <w:rsid w:val="00290F7D"/>
    <w:rsid w:val="00291035"/>
    <w:rsid w:val="00291492"/>
    <w:rsid w:val="00291527"/>
    <w:rsid w:val="0029199A"/>
    <w:rsid w:val="00291BBE"/>
    <w:rsid w:val="00291FEB"/>
    <w:rsid w:val="00293146"/>
    <w:rsid w:val="0029361E"/>
    <w:rsid w:val="00293D68"/>
    <w:rsid w:val="0029431E"/>
    <w:rsid w:val="00294352"/>
    <w:rsid w:val="002944A0"/>
    <w:rsid w:val="002946E4"/>
    <w:rsid w:val="0029495C"/>
    <w:rsid w:val="002957D9"/>
    <w:rsid w:val="00295B52"/>
    <w:rsid w:val="00296024"/>
    <w:rsid w:val="00296293"/>
    <w:rsid w:val="00296AF7"/>
    <w:rsid w:val="002972F9"/>
    <w:rsid w:val="002977CA"/>
    <w:rsid w:val="00297ED7"/>
    <w:rsid w:val="002A0007"/>
    <w:rsid w:val="002A03AA"/>
    <w:rsid w:val="002A056D"/>
    <w:rsid w:val="002A07FE"/>
    <w:rsid w:val="002A094D"/>
    <w:rsid w:val="002A0CAF"/>
    <w:rsid w:val="002A1565"/>
    <w:rsid w:val="002A16A9"/>
    <w:rsid w:val="002A2941"/>
    <w:rsid w:val="002A2B7F"/>
    <w:rsid w:val="002A2DC4"/>
    <w:rsid w:val="002A3E69"/>
    <w:rsid w:val="002A44F9"/>
    <w:rsid w:val="002A46D1"/>
    <w:rsid w:val="002A49EF"/>
    <w:rsid w:val="002A4B8B"/>
    <w:rsid w:val="002A4C3D"/>
    <w:rsid w:val="002A5107"/>
    <w:rsid w:val="002A535E"/>
    <w:rsid w:val="002A6406"/>
    <w:rsid w:val="002A6CF0"/>
    <w:rsid w:val="002A6FFC"/>
    <w:rsid w:val="002A7010"/>
    <w:rsid w:val="002A70BA"/>
    <w:rsid w:val="002A7A57"/>
    <w:rsid w:val="002A7BB2"/>
    <w:rsid w:val="002A7DCB"/>
    <w:rsid w:val="002B0B53"/>
    <w:rsid w:val="002B0C6E"/>
    <w:rsid w:val="002B1617"/>
    <w:rsid w:val="002B1D11"/>
    <w:rsid w:val="002B273B"/>
    <w:rsid w:val="002B29AA"/>
    <w:rsid w:val="002B2A7E"/>
    <w:rsid w:val="002B2F1B"/>
    <w:rsid w:val="002B4A32"/>
    <w:rsid w:val="002B54E5"/>
    <w:rsid w:val="002B5AFB"/>
    <w:rsid w:val="002B6320"/>
    <w:rsid w:val="002B66AC"/>
    <w:rsid w:val="002B6852"/>
    <w:rsid w:val="002B77E1"/>
    <w:rsid w:val="002C0714"/>
    <w:rsid w:val="002C0A96"/>
    <w:rsid w:val="002C10A8"/>
    <w:rsid w:val="002C1BF4"/>
    <w:rsid w:val="002C1E0D"/>
    <w:rsid w:val="002C2266"/>
    <w:rsid w:val="002C2309"/>
    <w:rsid w:val="002C28EB"/>
    <w:rsid w:val="002C3265"/>
    <w:rsid w:val="002C3666"/>
    <w:rsid w:val="002C3AED"/>
    <w:rsid w:val="002C3E56"/>
    <w:rsid w:val="002C414C"/>
    <w:rsid w:val="002C4C2F"/>
    <w:rsid w:val="002C562E"/>
    <w:rsid w:val="002C5776"/>
    <w:rsid w:val="002C5EED"/>
    <w:rsid w:val="002C66DE"/>
    <w:rsid w:val="002C7193"/>
    <w:rsid w:val="002C7699"/>
    <w:rsid w:val="002C7A49"/>
    <w:rsid w:val="002C7B1A"/>
    <w:rsid w:val="002D0128"/>
    <w:rsid w:val="002D0E85"/>
    <w:rsid w:val="002D0FA7"/>
    <w:rsid w:val="002D12FB"/>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961"/>
    <w:rsid w:val="002D7B6A"/>
    <w:rsid w:val="002E0026"/>
    <w:rsid w:val="002E08E8"/>
    <w:rsid w:val="002E0918"/>
    <w:rsid w:val="002E0BAA"/>
    <w:rsid w:val="002E0D96"/>
    <w:rsid w:val="002E0EA5"/>
    <w:rsid w:val="002E1778"/>
    <w:rsid w:val="002E1E19"/>
    <w:rsid w:val="002E283F"/>
    <w:rsid w:val="002E2854"/>
    <w:rsid w:val="002E2E74"/>
    <w:rsid w:val="002E32D2"/>
    <w:rsid w:val="002E361B"/>
    <w:rsid w:val="002E37AB"/>
    <w:rsid w:val="002E3A80"/>
    <w:rsid w:val="002E41C7"/>
    <w:rsid w:val="002E51DF"/>
    <w:rsid w:val="002E5218"/>
    <w:rsid w:val="002E52D4"/>
    <w:rsid w:val="002E57B9"/>
    <w:rsid w:val="002E6127"/>
    <w:rsid w:val="002E6885"/>
    <w:rsid w:val="002E72E4"/>
    <w:rsid w:val="002E739D"/>
    <w:rsid w:val="002F0F36"/>
    <w:rsid w:val="002F1276"/>
    <w:rsid w:val="002F1986"/>
    <w:rsid w:val="002F1E5F"/>
    <w:rsid w:val="002F2933"/>
    <w:rsid w:val="002F2A49"/>
    <w:rsid w:val="002F3550"/>
    <w:rsid w:val="002F3B63"/>
    <w:rsid w:val="002F3C56"/>
    <w:rsid w:val="002F436C"/>
    <w:rsid w:val="002F46B0"/>
    <w:rsid w:val="002F4B17"/>
    <w:rsid w:val="002F5150"/>
    <w:rsid w:val="002F5463"/>
    <w:rsid w:val="002F58C2"/>
    <w:rsid w:val="002F5932"/>
    <w:rsid w:val="002F5C85"/>
    <w:rsid w:val="002F603B"/>
    <w:rsid w:val="002F6201"/>
    <w:rsid w:val="002F6A2B"/>
    <w:rsid w:val="002F724B"/>
    <w:rsid w:val="002F72BA"/>
    <w:rsid w:val="00300267"/>
    <w:rsid w:val="003004D2"/>
    <w:rsid w:val="00300C88"/>
    <w:rsid w:val="00300D6B"/>
    <w:rsid w:val="00301380"/>
    <w:rsid w:val="00301E89"/>
    <w:rsid w:val="00302052"/>
    <w:rsid w:val="00302142"/>
    <w:rsid w:val="00302169"/>
    <w:rsid w:val="00302612"/>
    <w:rsid w:val="00303254"/>
    <w:rsid w:val="003044D9"/>
    <w:rsid w:val="00304D8A"/>
    <w:rsid w:val="00305216"/>
    <w:rsid w:val="0030555B"/>
    <w:rsid w:val="003061F5"/>
    <w:rsid w:val="00306D27"/>
    <w:rsid w:val="0030739C"/>
    <w:rsid w:val="00310D51"/>
    <w:rsid w:val="00311B36"/>
    <w:rsid w:val="00311C92"/>
    <w:rsid w:val="003133AE"/>
    <w:rsid w:val="0031371B"/>
    <w:rsid w:val="00314156"/>
    <w:rsid w:val="0031535B"/>
    <w:rsid w:val="003170F4"/>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522F"/>
    <w:rsid w:val="003253C4"/>
    <w:rsid w:val="0032550F"/>
    <w:rsid w:val="00325992"/>
    <w:rsid w:val="00325B74"/>
    <w:rsid w:val="0032638F"/>
    <w:rsid w:val="00326B59"/>
    <w:rsid w:val="003272C6"/>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47EF"/>
    <w:rsid w:val="003350E9"/>
    <w:rsid w:val="003351BA"/>
    <w:rsid w:val="0033520F"/>
    <w:rsid w:val="0033596B"/>
    <w:rsid w:val="00335A93"/>
    <w:rsid w:val="0033650E"/>
    <w:rsid w:val="003366EF"/>
    <w:rsid w:val="00336907"/>
    <w:rsid w:val="003369DF"/>
    <w:rsid w:val="00336C71"/>
    <w:rsid w:val="00336D96"/>
    <w:rsid w:val="00336DFC"/>
    <w:rsid w:val="00337230"/>
    <w:rsid w:val="003377D0"/>
    <w:rsid w:val="00337D75"/>
    <w:rsid w:val="00340020"/>
    <w:rsid w:val="0034081A"/>
    <w:rsid w:val="00341162"/>
    <w:rsid w:val="00341866"/>
    <w:rsid w:val="00341ACE"/>
    <w:rsid w:val="00341DAF"/>
    <w:rsid w:val="00342181"/>
    <w:rsid w:val="00343560"/>
    <w:rsid w:val="00343A20"/>
    <w:rsid w:val="0034402B"/>
    <w:rsid w:val="0034449E"/>
    <w:rsid w:val="00344D46"/>
    <w:rsid w:val="003465A5"/>
    <w:rsid w:val="00346817"/>
    <w:rsid w:val="00347440"/>
    <w:rsid w:val="003475EA"/>
    <w:rsid w:val="0034792D"/>
    <w:rsid w:val="00347A27"/>
    <w:rsid w:val="00347CD4"/>
    <w:rsid w:val="00350A55"/>
    <w:rsid w:val="00350DF8"/>
    <w:rsid w:val="00351634"/>
    <w:rsid w:val="00351A8A"/>
    <w:rsid w:val="0035266A"/>
    <w:rsid w:val="0035279C"/>
    <w:rsid w:val="00352B23"/>
    <w:rsid w:val="003535D2"/>
    <w:rsid w:val="0035384D"/>
    <w:rsid w:val="00353BF0"/>
    <w:rsid w:val="00353C0B"/>
    <w:rsid w:val="00354AE4"/>
    <w:rsid w:val="00354B0A"/>
    <w:rsid w:val="0035551B"/>
    <w:rsid w:val="003555ED"/>
    <w:rsid w:val="00355911"/>
    <w:rsid w:val="0035636B"/>
    <w:rsid w:val="00356714"/>
    <w:rsid w:val="00357424"/>
    <w:rsid w:val="00361789"/>
    <w:rsid w:val="0036196D"/>
    <w:rsid w:val="00361EEC"/>
    <w:rsid w:val="003627BD"/>
    <w:rsid w:val="00362997"/>
    <w:rsid w:val="00362C59"/>
    <w:rsid w:val="00363040"/>
    <w:rsid w:val="003630B7"/>
    <w:rsid w:val="00363786"/>
    <w:rsid w:val="003638A4"/>
    <w:rsid w:val="003639BF"/>
    <w:rsid w:val="00363E41"/>
    <w:rsid w:val="00363FD2"/>
    <w:rsid w:val="0036572E"/>
    <w:rsid w:val="003663D9"/>
    <w:rsid w:val="003666BF"/>
    <w:rsid w:val="00366707"/>
    <w:rsid w:val="00366FA9"/>
    <w:rsid w:val="00367E49"/>
    <w:rsid w:val="003700E6"/>
    <w:rsid w:val="00371C86"/>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7F7"/>
    <w:rsid w:val="00380F9D"/>
    <w:rsid w:val="00381610"/>
    <w:rsid w:val="00382106"/>
    <w:rsid w:val="00382657"/>
    <w:rsid w:val="00382B82"/>
    <w:rsid w:val="00383D88"/>
    <w:rsid w:val="00383E73"/>
    <w:rsid w:val="003844BF"/>
    <w:rsid w:val="003854D5"/>
    <w:rsid w:val="0038552A"/>
    <w:rsid w:val="003859EA"/>
    <w:rsid w:val="0038709E"/>
    <w:rsid w:val="00387D30"/>
    <w:rsid w:val="00391753"/>
    <w:rsid w:val="00391C7F"/>
    <w:rsid w:val="00392454"/>
    <w:rsid w:val="00392C85"/>
    <w:rsid w:val="00392FD8"/>
    <w:rsid w:val="00393E11"/>
    <w:rsid w:val="00394475"/>
    <w:rsid w:val="003944AD"/>
    <w:rsid w:val="0039517A"/>
    <w:rsid w:val="00395B51"/>
    <w:rsid w:val="0039611D"/>
    <w:rsid w:val="00396796"/>
    <w:rsid w:val="00396EC6"/>
    <w:rsid w:val="00396F3C"/>
    <w:rsid w:val="003970BA"/>
    <w:rsid w:val="0039746C"/>
    <w:rsid w:val="00397DC6"/>
    <w:rsid w:val="003A0E82"/>
    <w:rsid w:val="003A0FAC"/>
    <w:rsid w:val="003A1345"/>
    <w:rsid w:val="003A184D"/>
    <w:rsid w:val="003A1FB7"/>
    <w:rsid w:val="003A2962"/>
    <w:rsid w:val="003A371E"/>
    <w:rsid w:val="003A462A"/>
    <w:rsid w:val="003A595F"/>
    <w:rsid w:val="003A5EEC"/>
    <w:rsid w:val="003A79AE"/>
    <w:rsid w:val="003A7CA3"/>
    <w:rsid w:val="003B00B6"/>
    <w:rsid w:val="003B01C4"/>
    <w:rsid w:val="003B0BB0"/>
    <w:rsid w:val="003B11EE"/>
    <w:rsid w:val="003B15F8"/>
    <w:rsid w:val="003B230B"/>
    <w:rsid w:val="003B23BC"/>
    <w:rsid w:val="003B2DB5"/>
    <w:rsid w:val="003B2F05"/>
    <w:rsid w:val="003B3966"/>
    <w:rsid w:val="003B39B7"/>
    <w:rsid w:val="003B4EB0"/>
    <w:rsid w:val="003B5F6A"/>
    <w:rsid w:val="003B6B7F"/>
    <w:rsid w:val="003B7820"/>
    <w:rsid w:val="003C01A4"/>
    <w:rsid w:val="003C0219"/>
    <w:rsid w:val="003C0C12"/>
    <w:rsid w:val="003C16EE"/>
    <w:rsid w:val="003C1C87"/>
    <w:rsid w:val="003C2C85"/>
    <w:rsid w:val="003C2F61"/>
    <w:rsid w:val="003C345E"/>
    <w:rsid w:val="003C4409"/>
    <w:rsid w:val="003C4997"/>
    <w:rsid w:val="003C4DA5"/>
    <w:rsid w:val="003C50C9"/>
    <w:rsid w:val="003C5666"/>
    <w:rsid w:val="003C62A4"/>
    <w:rsid w:val="003C64F4"/>
    <w:rsid w:val="003C6DE1"/>
    <w:rsid w:val="003C724B"/>
    <w:rsid w:val="003C73DB"/>
    <w:rsid w:val="003D0185"/>
    <w:rsid w:val="003D02CB"/>
    <w:rsid w:val="003D0382"/>
    <w:rsid w:val="003D057A"/>
    <w:rsid w:val="003D069C"/>
    <w:rsid w:val="003D088F"/>
    <w:rsid w:val="003D0BC2"/>
    <w:rsid w:val="003D191E"/>
    <w:rsid w:val="003D22A5"/>
    <w:rsid w:val="003D23A4"/>
    <w:rsid w:val="003D3414"/>
    <w:rsid w:val="003D3426"/>
    <w:rsid w:val="003D3721"/>
    <w:rsid w:val="003D590A"/>
    <w:rsid w:val="003D6722"/>
    <w:rsid w:val="003D7428"/>
    <w:rsid w:val="003D77F2"/>
    <w:rsid w:val="003D78CC"/>
    <w:rsid w:val="003D7901"/>
    <w:rsid w:val="003D7D01"/>
    <w:rsid w:val="003D7ED8"/>
    <w:rsid w:val="003E0003"/>
    <w:rsid w:val="003E0099"/>
    <w:rsid w:val="003E08C7"/>
    <w:rsid w:val="003E1A72"/>
    <w:rsid w:val="003E2880"/>
    <w:rsid w:val="003E28FB"/>
    <w:rsid w:val="003E2A00"/>
    <w:rsid w:val="003E382C"/>
    <w:rsid w:val="003E3D00"/>
    <w:rsid w:val="003E4531"/>
    <w:rsid w:val="003E4771"/>
    <w:rsid w:val="003E54A8"/>
    <w:rsid w:val="003E5833"/>
    <w:rsid w:val="003E5DA8"/>
    <w:rsid w:val="003E7109"/>
    <w:rsid w:val="003E77DC"/>
    <w:rsid w:val="003E7BC1"/>
    <w:rsid w:val="003F0453"/>
    <w:rsid w:val="003F0C9F"/>
    <w:rsid w:val="003F144A"/>
    <w:rsid w:val="003F1A81"/>
    <w:rsid w:val="003F1B02"/>
    <w:rsid w:val="003F1EFE"/>
    <w:rsid w:val="003F2212"/>
    <w:rsid w:val="003F2240"/>
    <w:rsid w:val="003F2460"/>
    <w:rsid w:val="003F2BD1"/>
    <w:rsid w:val="003F2E7B"/>
    <w:rsid w:val="003F3CD5"/>
    <w:rsid w:val="003F3DAB"/>
    <w:rsid w:val="003F4473"/>
    <w:rsid w:val="003F4CF5"/>
    <w:rsid w:val="003F4E31"/>
    <w:rsid w:val="003F51EE"/>
    <w:rsid w:val="003F574E"/>
    <w:rsid w:val="003F60D6"/>
    <w:rsid w:val="003F680E"/>
    <w:rsid w:val="003F68E9"/>
    <w:rsid w:val="003F73EA"/>
    <w:rsid w:val="003F7E15"/>
    <w:rsid w:val="003F7FDA"/>
    <w:rsid w:val="004013AD"/>
    <w:rsid w:val="004021C0"/>
    <w:rsid w:val="004025AF"/>
    <w:rsid w:val="004028CE"/>
    <w:rsid w:val="0040313D"/>
    <w:rsid w:val="004043FA"/>
    <w:rsid w:val="00404970"/>
    <w:rsid w:val="00405181"/>
    <w:rsid w:val="0040567F"/>
    <w:rsid w:val="00405873"/>
    <w:rsid w:val="00405F09"/>
    <w:rsid w:val="004066F4"/>
    <w:rsid w:val="00406A32"/>
    <w:rsid w:val="00406B54"/>
    <w:rsid w:val="00406D94"/>
    <w:rsid w:val="0040760B"/>
    <w:rsid w:val="00410117"/>
    <w:rsid w:val="00410C32"/>
    <w:rsid w:val="00411237"/>
    <w:rsid w:val="00411557"/>
    <w:rsid w:val="00411994"/>
    <w:rsid w:val="00411D74"/>
    <w:rsid w:val="00411DDE"/>
    <w:rsid w:val="00411F84"/>
    <w:rsid w:val="00412069"/>
    <w:rsid w:val="004121A1"/>
    <w:rsid w:val="00412345"/>
    <w:rsid w:val="00412477"/>
    <w:rsid w:val="00412570"/>
    <w:rsid w:val="004127A2"/>
    <w:rsid w:val="0041280A"/>
    <w:rsid w:val="00412A9D"/>
    <w:rsid w:val="00412CB1"/>
    <w:rsid w:val="004133A5"/>
    <w:rsid w:val="00413BB2"/>
    <w:rsid w:val="00413D45"/>
    <w:rsid w:val="00414197"/>
    <w:rsid w:val="004149A2"/>
    <w:rsid w:val="00414D68"/>
    <w:rsid w:val="00414FD9"/>
    <w:rsid w:val="00415773"/>
    <w:rsid w:val="00415CAE"/>
    <w:rsid w:val="00415EE7"/>
    <w:rsid w:val="004160FA"/>
    <w:rsid w:val="004164AE"/>
    <w:rsid w:val="0041669E"/>
    <w:rsid w:val="00416ACA"/>
    <w:rsid w:val="00416C56"/>
    <w:rsid w:val="00416DEB"/>
    <w:rsid w:val="004171F4"/>
    <w:rsid w:val="00417294"/>
    <w:rsid w:val="004176B8"/>
    <w:rsid w:val="00417B99"/>
    <w:rsid w:val="00417CE0"/>
    <w:rsid w:val="004209D5"/>
    <w:rsid w:val="00420FAF"/>
    <w:rsid w:val="00421184"/>
    <w:rsid w:val="004212C1"/>
    <w:rsid w:val="004214B7"/>
    <w:rsid w:val="004218C5"/>
    <w:rsid w:val="00421988"/>
    <w:rsid w:val="00421FB5"/>
    <w:rsid w:val="004226ED"/>
    <w:rsid w:val="00422AF4"/>
    <w:rsid w:val="004235F4"/>
    <w:rsid w:val="004236C9"/>
    <w:rsid w:val="00423CF3"/>
    <w:rsid w:val="00423E18"/>
    <w:rsid w:val="00424B7C"/>
    <w:rsid w:val="0042500C"/>
    <w:rsid w:val="00425514"/>
    <w:rsid w:val="004256BD"/>
    <w:rsid w:val="00425863"/>
    <w:rsid w:val="00425D02"/>
    <w:rsid w:val="00425EDC"/>
    <w:rsid w:val="004269B8"/>
    <w:rsid w:val="00426C3E"/>
    <w:rsid w:val="004275CD"/>
    <w:rsid w:val="00427FEB"/>
    <w:rsid w:val="00427FF2"/>
    <w:rsid w:val="004305C0"/>
    <w:rsid w:val="00430B20"/>
    <w:rsid w:val="00430B6C"/>
    <w:rsid w:val="0043227C"/>
    <w:rsid w:val="004335C0"/>
    <w:rsid w:val="00433AFC"/>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25C6"/>
    <w:rsid w:val="00443D5D"/>
    <w:rsid w:val="00443F17"/>
    <w:rsid w:val="00445CBA"/>
    <w:rsid w:val="004463CB"/>
    <w:rsid w:val="004466F7"/>
    <w:rsid w:val="00446858"/>
    <w:rsid w:val="00447304"/>
    <w:rsid w:val="00447888"/>
    <w:rsid w:val="00450127"/>
    <w:rsid w:val="0045075F"/>
    <w:rsid w:val="004516AD"/>
    <w:rsid w:val="00451E84"/>
    <w:rsid w:val="00451EA3"/>
    <w:rsid w:val="00451F01"/>
    <w:rsid w:val="004546A7"/>
    <w:rsid w:val="00454831"/>
    <w:rsid w:val="004548DF"/>
    <w:rsid w:val="00455900"/>
    <w:rsid w:val="00455E25"/>
    <w:rsid w:val="00456CC0"/>
    <w:rsid w:val="00457933"/>
    <w:rsid w:val="00457C78"/>
    <w:rsid w:val="00460136"/>
    <w:rsid w:val="00460735"/>
    <w:rsid w:val="00460AD5"/>
    <w:rsid w:val="00460EB8"/>
    <w:rsid w:val="00461090"/>
    <w:rsid w:val="004611D5"/>
    <w:rsid w:val="00461991"/>
    <w:rsid w:val="00461A6B"/>
    <w:rsid w:val="00461C43"/>
    <w:rsid w:val="00462125"/>
    <w:rsid w:val="00463216"/>
    <w:rsid w:val="0046334D"/>
    <w:rsid w:val="00463848"/>
    <w:rsid w:val="00463C95"/>
    <w:rsid w:val="00463E1C"/>
    <w:rsid w:val="00464052"/>
    <w:rsid w:val="00465153"/>
    <w:rsid w:val="00465602"/>
    <w:rsid w:val="004669A6"/>
    <w:rsid w:val="00466AFD"/>
    <w:rsid w:val="00466E99"/>
    <w:rsid w:val="004671FA"/>
    <w:rsid w:val="00470696"/>
    <w:rsid w:val="00470ECD"/>
    <w:rsid w:val="004724C9"/>
    <w:rsid w:val="00472585"/>
    <w:rsid w:val="00474130"/>
    <w:rsid w:val="00475A6C"/>
    <w:rsid w:val="004764AF"/>
    <w:rsid w:val="00476D04"/>
    <w:rsid w:val="0047775E"/>
    <w:rsid w:val="00477AAE"/>
    <w:rsid w:val="00477AF6"/>
    <w:rsid w:val="00477B3B"/>
    <w:rsid w:val="00477BCB"/>
    <w:rsid w:val="004801A7"/>
    <w:rsid w:val="00480E47"/>
    <w:rsid w:val="00481196"/>
    <w:rsid w:val="00481666"/>
    <w:rsid w:val="0048181B"/>
    <w:rsid w:val="00481C50"/>
    <w:rsid w:val="00481F2B"/>
    <w:rsid w:val="004820C5"/>
    <w:rsid w:val="00482198"/>
    <w:rsid w:val="004823D8"/>
    <w:rsid w:val="00482F20"/>
    <w:rsid w:val="00483196"/>
    <w:rsid w:val="0048340F"/>
    <w:rsid w:val="0048384A"/>
    <w:rsid w:val="0048423C"/>
    <w:rsid w:val="00484449"/>
    <w:rsid w:val="004845A6"/>
    <w:rsid w:val="004852CE"/>
    <w:rsid w:val="0048540C"/>
    <w:rsid w:val="00485F92"/>
    <w:rsid w:val="004860BD"/>
    <w:rsid w:val="004866E1"/>
    <w:rsid w:val="00486C72"/>
    <w:rsid w:val="00490954"/>
    <w:rsid w:val="004921DC"/>
    <w:rsid w:val="0049277A"/>
    <w:rsid w:val="00492B38"/>
    <w:rsid w:val="00492FE4"/>
    <w:rsid w:val="00493035"/>
    <w:rsid w:val="00493321"/>
    <w:rsid w:val="004936DE"/>
    <w:rsid w:val="00494E63"/>
    <w:rsid w:val="0049544E"/>
    <w:rsid w:val="00495670"/>
    <w:rsid w:val="0049604B"/>
    <w:rsid w:val="00496AC9"/>
    <w:rsid w:val="004A040E"/>
    <w:rsid w:val="004A042D"/>
    <w:rsid w:val="004A11E0"/>
    <w:rsid w:val="004A1FC5"/>
    <w:rsid w:val="004A2158"/>
    <w:rsid w:val="004A29A5"/>
    <w:rsid w:val="004A3225"/>
    <w:rsid w:val="004A374A"/>
    <w:rsid w:val="004A395B"/>
    <w:rsid w:val="004A39D9"/>
    <w:rsid w:val="004A3C59"/>
    <w:rsid w:val="004A3FE2"/>
    <w:rsid w:val="004A480D"/>
    <w:rsid w:val="004A4D76"/>
    <w:rsid w:val="004A5851"/>
    <w:rsid w:val="004A5A91"/>
    <w:rsid w:val="004A5B0F"/>
    <w:rsid w:val="004A5CF1"/>
    <w:rsid w:val="004A66E0"/>
    <w:rsid w:val="004A7AAE"/>
    <w:rsid w:val="004A7D49"/>
    <w:rsid w:val="004A7F21"/>
    <w:rsid w:val="004B08DB"/>
    <w:rsid w:val="004B1422"/>
    <w:rsid w:val="004B24EB"/>
    <w:rsid w:val="004B27A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222E"/>
    <w:rsid w:val="004C2561"/>
    <w:rsid w:val="004C2806"/>
    <w:rsid w:val="004C3ADD"/>
    <w:rsid w:val="004C428E"/>
    <w:rsid w:val="004C4775"/>
    <w:rsid w:val="004C4802"/>
    <w:rsid w:val="004C483D"/>
    <w:rsid w:val="004C48A9"/>
    <w:rsid w:val="004C550D"/>
    <w:rsid w:val="004C590B"/>
    <w:rsid w:val="004C6326"/>
    <w:rsid w:val="004C63C7"/>
    <w:rsid w:val="004C6D39"/>
    <w:rsid w:val="004C6D98"/>
    <w:rsid w:val="004C7217"/>
    <w:rsid w:val="004C7743"/>
    <w:rsid w:val="004C77A7"/>
    <w:rsid w:val="004D039E"/>
    <w:rsid w:val="004D04A3"/>
    <w:rsid w:val="004D0C9F"/>
    <w:rsid w:val="004D15FD"/>
    <w:rsid w:val="004D2369"/>
    <w:rsid w:val="004D2485"/>
    <w:rsid w:val="004D340D"/>
    <w:rsid w:val="004D3A57"/>
    <w:rsid w:val="004D3B2A"/>
    <w:rsid w:val="004D47FF"/>
    <w:rsid w:val="004D4D35"/>
    <w:rsid w:val="004D518F"/>
    <w:rsid w:val="004D54D7"/>
    <w:rsid w:val="004D5BB7"/>
    <w:rsid w:val="004D6053"/>
    <w:rsid w:val="004D6FA4"/>
    <w:rsid w:val="004D7C23"/>
    <w:rsid w:val="004E01C6"/>
    <w:rsid w:val="004E0212"/>
    <w:rsid w:val="004E0ADC"/>
    <w:rsid w:val="004E0FB1"/>
    <w:rsid w:val="004E1043"/>
    <w:rsid w:val="004E1A88"/>
    <w:rsid w:val="004E1DCA"/>
    <w:rsid w:val="004E21B4"/>
    <w:rsid w:val="004E252B"/>
    <w:rsid w:val="004E2861"/>
    <w:rsid w:val="004E2A85"/>
    <w:rsid w:val="004E3F72"/>
    <w:rsid w:val="004E4A78"/>
    <w:rsid w:val="004E551E"/>
    <w:rsid w:val="004E58F6"/>
    <w:rsid w:val="004E5E37"/>
    <w:rsid w:val="004E5E4C"/>
    <w:rsid w:val="004E623E"/>
    <w:rsid w:val="004E68C5"/>
    <w:rsid w:val="004E6CF9"/>
    <w:rsid w:val="004E734E"/>
    <w:rsid w:val="004E7EC0"/>
    <w:rsid w:val="004E7F48"/>
    <w:rsid w:val="004F014E"/>
    <w:rsid w:val="004F0BC6"/>
    <w:rsid w:val="004F1123"/>
    <w:rsid w:val="004F1715"/>
    <w:rsid w:val="004F17DA"/>
    <w:rsid w:val="004F3BD2"/>
    <w:rsid w:val="004F4372"/>
    <w:rsid w:val="004F43E0"/>
    <w:rsid w:val="004F45EB"/>
    <w:rsid w:val="004F521B"/>
    <w:rsid w:val="004F52BB"/>
    <w:rsid w:val="004F5582"/>
    <w:rsid w:val="004F59B8"/>
    <w:rsid w:val="004F5BD9"/>
    <w:rsid w:val="004F62A7"/>
    <w:rsid w:val="004F62F9"/>
    <w:rsid w:val="004F66B3"/>
    <w:rsid w:val="004F7352"/>
    <w:rsid w:val="004F7EE2"/>
    <w:rsid w:val="0050015C"/>
    <w:rsid w:val="00500310"/>
    <w:rsid w:val="00500418"/>
    <w:rsid w:val="00500CCF"/>
    <w:rsid w:val="00500E62"/>
    <w:rsid w:val="005010DE"/>
    <w:rsid w:val="005011FD"/>
    <w:rsid w:val="0050164B"/>
    <w:rsid w:val="00502958"/>
    <w:rsid w:val="00502BD2"/>
    <w:rsid w:val="00502DA4"/>
    <w:rsid w:val="00503E9B"/>
    <w:rsid w:val="00503F83"/>
    <w:rsid w:val="0050421C"/>
    <w:rsid w:val="00504A9B"/>
    <w:rsid w:val="00504E9A"/>
    <w:rsid w:val="00504F83"/>
    <w:rsid w:val="005059B9"/>
    <w:rsid w:val="00505F64"/>
    <w:rsid w:val="00506DCD"/>
    <w:rsid w:val="00507325"/>
    <w:rsid w:val="00507C56"/>
    <w:rsid w:val="00507EE0"/>
    <w:rsid w:val="00507F13"/>
    <w:rsid w:val="005109D4"/>
    <w:rsid w:val="00510CF4"/>
    <w:rsid w:val="0051160A"/>
    <w:rsid w:val="005118BA"/>
    <w:rsid w:val="00512D87"/>
    <w:rsid w:val="005130DA"/>
    <w:rsid w:val="00513998"/>
    <w:rsid w:val="00513DDA"/>
    <w:rsid w:val="00513E19"/>
    <w:rsid w:val="005148B4"/>
    <w:rsid w:val="00514B29"/>
    <w:rsid w:val="005152B1"/>
    <w:rsid w:val="005152F0"/>
    <w:rsid w:val="00515856"/>
    <w:rsid w:val="005163E6"/>
    <w:rsid w:val="005167B6"/>
    <w:rsid w:val="005172EC"/>
    <w:rsid w:val="0051740D"/>
    <w:rsid w:val="00517888"/>
    <w:rsid w:val="005178CE"/>
    <w:rsid w:val="00521CAB"/>
    <w:rsid w:val="005224EF"/>
    <w:rsid w:val="00522654"/>
    <w:rsid w:val="00522835"/>
    <w:rsid w:val="0052293D"/>
    <w:rsid w:val="00522AF4"/>
    <w:rsid w:val="00522B93"/>
    <w:rsid w:val="00523499"/>
    <w:rsid w:val="00523BC7"/>
    <w:rsid w:val="00523C08"/>
    <w:rsid w:val="00523C10"/>
    <w:rsid w:val="005245D5"/>
    <w:rsid w:val="00524889"/>
    <w:rsid w:val="0052575D"/>
    <w:rsid w:val="00525A53"/>
    <w:rsid w:val="00526569"/>
    <w:rsid w:val="00526726"/>
    <w:rsid w:val="0052702D"/>
    <w:rsid w:val="00527256"/>
    <w:rsid w:val="00527B57"/>
    <w:rsid w:val="00527C8D"/>
    <w:rsid w:val="0053021B"/>
    <w:rsid w:val="00530AC4"/>
    <w:rsid w:val="0053265B"/>
    <w:rsid w:val="00533169"/>
    <w:rsid w:val="00533194"/>
    <w:rsid w:val="00533263"/>
    <w:rsid w:val="005332C8"/>
    <w:rsid w:val="0053464E"/>
    <w:rsid w:val="005352C8"/>
    <w:rsid w:val="005354C1"/>
    <w:rsid w:val="00535F99"/>
    <w:rsid w:val="00536356"/>
    <w:rsid w:val="00536CBB"/>
    <w:rsid w:val="00536DDD"/>
    <w:rsid w:val="00537033"/>
    <w:rsid w:val="00537085"/>
    <w:rsid w:val="00540A37"/>
    <w:rsid w:val="00540B49"/>
    <w:rsid w:val="005418DB"/>
    <w:rsid w:val="005423F0"/>
    <w:rsid w:val="005434EA"/>
    <w:rsid w:val="00545D55"/>
    <w:rsid w:val="005461AB"/>
    <w:rsid w:val="00546C6A"/>
    <w:rsid w:val="00546FBA"/>
    <w:rsid w:val="00547F04"/>
    <w:rsid w:val="00550924"/>
    <w:rsid w:val="00550D63"/>
    <w:rsid w:val="00550EF1"/>
    <w:rsid w:val="00551075"/>
    <w:rsid w:val="005513C8"/>
    <w:rsid w:val="0055352C"/>
    <w:rsid w:val="00553672"/>
    <w:rsid w:val="005538A6"/>
    <w:rsid w:val="00554075"/>
    <w:rsid w:val="00554F94"/>
    <w:rsid w:val="00555161"/>
    <w:rsid w:val="00555DE6"/>
    <w:rsid w:val="00555EB3"/>
    <w:rsid w:val="005567F6"/>
    <w:rsid w:val="00556E29"/>
    <w:rsid w:val="00557474"/>
    <w:rsid w:val="00557DAA"/>
    <w:rsid w:val="00557DAD"/>
    <w:rsid w:val="00561138"/>
    <w:rsid w:val="00561699"/>
    <w:rsid w:val="005617B4"/>
    <w:rsid w:val="0056194F"/>
    <w:rsid w:val="005619E1"/>
    <w:rsid w:val="00562629"/>
    <w:rsid w:val="005628FE"/>
    <w:rsid w:val="0056364B"/>
    <w:rsid w:val="00564191"/>
    <w:rsid w:val="00564472"/>
    <w:rsid w:val="00564557"/>
    <w:rsid w:val="0056458C"/>
    <w:rsid w:val="00564628"/>
    <w:rsid w:val="005648B9"/>
    <w:rsid w:val="00564A3C"/>
    <w:rsid w:val="00564F82"/>
    <w:rsid w:val="005653AF"/>
    <w:rsid w:val="00565501"/>
    <w:rsid w:val="00565755"/>
    <w:rsid w:val="0056601E"/>
    <w:rsid w:val="00566406"/>
    <w:rsid w:val="00566538"/>
    <w:rsid w:val="0056694F"/>
    <w:rsid w:val="0056725A"/>
    <w:rsid w:val="0056741F"/>
    <w:rsid w:val="00567647"/>
    <w:rsid w:val="0056781B"/>
    <w:rsid w:val="00567BE2"/>
    <w:rsid w:val="00570102"/>
    <w:rsid w:val="00570505"/>
    <w:rsid w:val="00570D95"/>
    <w:rsid w:val="005712E6"/>
    <w:rsid w:val="0057269F"/>
    <w:rsid w:val="00572942"/>
    <w:rsid w:val="005730DB"/>
    <w:rsid w:val="00573251"/>
    <w:rsid w:val="005733A8"/>
    <w:rsid w:val="00573B5B"/>
    <w:rsid w:val="00573F55"/>
    <w:rsid w:val="0057540E"/>
    <w:rsid w:val="005757B6"/>
    <w:rsid w:val="0058000F"/>
    <w:rsid w:val="00580557"/>
    <w:rsid w:val="0058074F"/>
    <w:rsid w:val="005808F3"/>
    <w:rsid w:val="00580A76"/>
    <w:rsid w:val="00581042"/>
    <w:rsid w:val="00581703"/>
    <w:rsid w:val="00581B15"/>
    <w:rsid w:val="005821DD"/>
    <w:rsid w:val="00583908"/>
    <w:rsid w:val="00584757"/>
    <w:rsid w:val="00584E21"/>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2A0"/>
    <w:rsid w:val="00596873"/>
    <w:rsid w:val="00596BB3"/>
    <w:rsid w:val="00596BD4"/>
    <w:rsid w:val="00596FA8"/>
    <w:rsid w:val="005971A7"/>
    <w:rsid w:val="00597310"/>
    <w:rsid w:val="005977AB"/>
    <w:rsid w:val="005A01C5"/>
    <w:rsid w:val="005A0201"/>
    <w:rsid w:val="005A0532"/>
    <w:rsid w:val="005A07E7"/>
    <w:rsid w:val="005A0A57"/>
    <w:rsid w:val="005A0B9F"/>
    <w:rsid w:val="005A0DBB"/>
    <w:rsid w:val="005A0EBD"/>
    <w:rsid w:val="005A1270"/>
    <w:rsid w:val="005A1295"/>
    <w:rsid w:val="005A143A"/>
    <w:rsid w:val="005A1A0E"/>
    <w:rsid w:val="005A1FBF"/>
    <w:rsid w:val="005A29B1"/>
    <w:rsid w:val="005A2EBF"/>
    <w:rsid w:val="005A380B"/>
    <w:rsid w:val="005A4890"/>
    <w:rsid w:val="005A49D4"/>
    <w:rsid w:val="005A4D7C"/>
    <w:rsid w:val="005A51C9"/>
    <w:rsid w:val="005A5DC0"/>
    <w:rsid w:val="005A6B6D"/>
    <w:rsid w:val="005A6F0E"/>
    <w:rsid w:val="005A6F57"/>
    <w:rsid w:val="005A7079"/>
    <w:rsid w:val="005A7235"/>
    <w:rsid w:val="005A795B"/>
    <w:rsid w:val="005A7BAF"/>
    <w:rsid w:val="005B0652"/>
    <w:rsid w:val="005B1213"/>
    <w:rsid w:val="005B1329"/>
    <w:rsid w:val="005B1512"/>
    <w:rsid w:val="005B1B55"/>
    <w:rsid w:val="005B1DBD"/>
    <w:rsid w:val="005B2769"/>
    <w:rsid w:val="005B2AF6"/>
    <w:rsid w:val="005B3EBD"/>
    <w:rsid w:val="005B48E8"/>
    <w:rsid w:val="005B56D9"/>
    <w:rsid w:val="005B5BA3"/>
    <w:rsid w:val="005B5E62"/>
    <w:rsid w:val="005B62F5"/>
    <w:rsid w:val="005B7341"/>
    <w:rsid w:val="005B778C"/>
    <w:rsid w:val="005B7E97"/>
    <w:rsid w:val="005B7F46"/>
    <w:rsid w:val="005C09A7"/>
    <w:rsid w:val="005C102D"/>
    <w:rsid w:val="005C132C"/>
    <w:rsid w:val="005C17FB"/>
    <w:rsid w:val="005C1833"/>
    <w:rsid w:val="005C1838"/>
    <w:rsid w:val="005C18C2"/>
    <w:rsid w:val="005C2063"/>
    <w:rsid w:val="005C244F"/>
    <w:rsid w:val="005C2767"/>
    <w:rsid w:val="005C2922"/>
    <w:rsid w:val="005C2F60"/>
    <w:rsid w:val="005C2FB6"/>
    <w:rsid w:val="005C323D"/>
    <w:rsid w:val="005C3772"/>
    <w:rsid w:val="005C39C3"/>
    <w:rsid w:val="005C4229"/>
    <w:rsid w:val="005C4580"/>
    <w:rsid w:val="005C5065"/>
    <w:rsid w:val="005C52F3"/>
    <w:rsid w:val="005C564C"/>
    <w:rsid w:val="005C6234"/>
    <w:rsid w:val="005C6605"/>
    <w:rsid w:val="005C66D5"/>
    <w:rsid w:val="005C71A0"/>
    <w:rsid w:val="005C751C"/>
    <w:rsid w:val="005C7802"/>
    <w:rsid w:val="005C7B50"/>
    <w:rsid w:val="005D029E"/>
    <w:rsid w:val="005D0427"/>
    <w:rsid w:val="005D0776"/>
    <w:rsid w:val="005D07AE"/>
    <w:rsid w:val="005D0C83"/>
    <w:rsid w:val="005D113B"/>
    <w:rsid w:val="005D1732"/>
    <w:rsid w:val="005D2D9A"/>
    <w:rsid w:val="005D3A6E"/>
    <w:rsid w:val="005D3B21"/>
    <w:rsid w:val="005D4019"/>
    <w:rsid w:val="005D41DC"/>
    <w:rsid w:val="005D43C3"/>
    <w:rsid w:val="005D460F"/>
    <w:rsid w:val="005D4DC5"/>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3D71"/>
    <w:rsid w:val="005E44F1"/>
    <w:rsid w:val="005E49CA"/>
    <w:rsid w:val="005E5427"/>
    <w:rsid w:val="005E5428"/>
    <w:rsid w:val="005E5A7C"/>
    <w:rsid w:val="005E5C33"/>
    <w:rsid w:val="005E5F53"/>
    <w:rsid w:val="005E6976"/>
    <w:rsid w:val="005E6E12"/>
    <w:rsid w:val="005E70CD"/>
    <w:rsid w:val="005E74EC"/>
    <w:rsid w:val="005E7AB6"/>
    <w:rsid w:val="005E7B1E"/>
    <w:rsid w:val="005E7CBC"/>
    <w:rsid w:val="005F0A62"/>
    <w:rsid w:val="005F0FA8"/>
    <w:rsid w:val="005F1C5D"/>
    <w:rsid w:val="005F222B"/>
    <w:rsid w:val="005F2317"/>
    <w:rsid w:val="005F2550"/>
    <w:rsid w:val="005F2B2D"/>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4C"/>
    <w:rsid w:val="005F7A22"/>
    <w:rsid w:val="005F7B9D"/>
    <w:rsid w:val="00600501"/>
    <w:rsid w:val="006006CD"/>
    <w:rsid w:val="00600B0C"/>
    <w:rsid w:val="00602DFA"/>
    <w:rsid w:val="006031D1"/>
    <w:rsid w:val="006033BF"/>
    <w:rsid w:val="00603702"/>
    <w:rsid w:val="00603B4B"/>
    <w:rsid w:val="00603E70"/>
    <w:rsid w:val="00603F20"/>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1178"/>
    <w:rsid w:val="0061148D"/>
    <w:rsid w:val="00611D01"/>
    <w:rsid w:val="006124B3"/>
    <w:rsid w:val="00612611"/>
    <w:rsid w:val="0061279A"/>
    <w:rsid w:val="00613009"/>
    <w:rsid w:val="006132EA"/>
    <w:rsid w:val="0061401C"/>
    <w:rsid w:val="0061420B"/>
    <w:rsid w:val="00614D33"/>
    <w:rsid w:val="00615233"/>
    <w:rsid w:val="0061537D"/>
    <w:rsid w:val="0061537F"/>
    <w:rsid w:val="00615DEA"/>
    <w:rsid w:val="00616A60"/>
    <w:rsid w:val="00616EE6"/>
    <w:rsid w:val="006171FB"/>
    <w:rsid w:val="00617A2A"/>
    <w:rsid w:val="006207F4"/>
    <w:rsid w:val="00620C67"/>
    <w:rsid w:val="00621646"/>
    <w:rsid w:val="00621803"/>
    <w:rsid w:val="006220F1"/>
    <w:rsid w:val="00623C68"/>
    <w:rsid w:val="00623E46"/>
    <w:rsid w:val="00624604"/>
    <w:rsid w:val="00624D2C"/>
    <w:rsid w:val="00625145"/>
    <w:rsid w:val="0062630D"/>
    <w:rsid w:val="00627402"/>
    <w:rsid w:val="00630480"/>
    <w:rsid w:val="0063058E"/>
    <w:rsid w:val="006305F8"/>
    <w:rsid w:val="00631DA7"/>
    <w:rsid w:val="00632B9C"/>
    <w:rsid w:val="00632F18"/>
    <w:rsid w:val="006332D7"/>
    <w:rsid w:val="0063333D"/>
    <w:rsid w:val="00634225"/>
    <w:rsid w:val="00634634"/>
    <w:rsid w:val="00635003"/>
    <w:rsid w:val="006351CE"/>
    <w:rsid w:val="006352FD"/>
    <w:rsid w:val="00635B15"/>
    <w:rsid w:val="006362E1"/>
    <w:rsid w:val="006367DA"/>
    <w:rsid w:val="006369D0"/>
    <w:rsid w:val="00636FAD"/>
    <w:rsid w:val="006370E1"/>
    <w:rsid w:val="006375B2"/>
    <w:rsid w:val="006375BB"/>
    <w:rsid w:val="006407FE"/>
    <w:rsid w:val="006409EE"/>
    <w:rsid w:val="00640BF7"/>
    <w:rsid w:val="00640C7D"/>
    <w:rsid w:val="00640FFF"/>
    <w:rsid w:val="00641761"/>
    <w:rsid w:val="006421D9"/>
    <w:rsid w:val="006424FE"/>
    <w:rsid w:val="006425FC"/>
    <w:rsid w:val="00642631"/>
    <w:rsid w:val="00642DF5"/>
    <w:rsid w:val="0064304A"/>
    <w:rsid w:val="0064380B"/>
    <w:rsid w:val="00643A4F"/>
    <w:rsid w:val="00643C88"/>
    <w:rsid w:val="00643FF5"/>
    <w:rsid w:val="006441FD"/>
    <w:rsid w:val="00644E5A"/>
    <w:rsid w:val="00644F2C"/>
    <w:rsid w:val="00645141"/>
    <w:rsid w:val="00645AEE"/>
    <w:rsid w:val="00645BA8"/>
    <w:rsid w:val="006462E2"/>
    <w:rsid w:val="00646428"/>
    <w:rsid w:val="0064707F"/>
    <w:rsid w:val="006471E8"/>
    <w:rsid w:val="00647E90"/>
    <w:rsid w:val="00647FA3"/>
    <w:rsid w:val="006500F7"/>
    <w:rsid w:val="00650769"/>
    <w:rsid w:val="00650DF8"/>
    <w:rsid w:val="006516B7"/>
    <w:rsid w:val="006518E4"/>
    <w:rsid w:val="00651FB8"/>
    <w:rsid w:val="00652BA0"/>
    <w:rsid w:val="00652DF6"/>
    <w:rsid w:val="00652FCA"/>
    <w:rsid w:val="00653045"/>
    <w:rsid w:val="00653A25"/>
    <w:rsid w:val="00653D93"/>
    <w:rsid w:val="00653FDA"/>
    <w:rsid w:val="006541A0"/>
    <w:rsid w:val="0065431D"/>
    <w:rsid w:val="00654E99"/>
    <w:rsid w:val="00655104"/>
    <w:rsid w:val="006552ED"/>
    <w:rsid w:val="0065548F"/>
    <w:rsid w:val="0065558B"/>
    <w:rsid w:val="00655633"/>
    <w:rsid w:val="006559BB"/>
    <w:rsid w:val="00655D93"/>
    <w:rsid w:val="00655E86"/>
    <w:rsid w:val="00656614"/>
    <w:rsid w:val="00656683"/>
    <w:rsid w:val="00656C4D"/>
    <w:rsid w:val="006577CD"/>
    <w:rsid w:val="00657CCC"/>
    <w:rsid w:val="00660162"/>
    <w:rsid w:val="0066036D"/>
    <w:rsid w:val="006604FA"/>
    <w:rsid w:val="00660879"/>
    <w:rsid w:val="00661639"/>
    <w:rsid w:val="0066174D"/>
    <w:rsid w:val="00661E36"/>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F3E"/>
    <w:rsid w:val="00672482"/>
    <w:rsid w:val="00672A18"/>
    <w:rsid w:val="006735D0"/>
    <w:rsid w:val="006739E9"/>
    <w:rsid w:val="00674D52"/>
    <w:rsid w:val="00674F93"/>
    <w:rsid w:val="0067546F"/>
    <w:rsid w:val="00676CE4"/>
    <w:rsid w:val="00676EC2"/>
    <w:rsid w:val="00676FA5"/>
    <w:rsid w:val="006771A4"/>
    <w:rsid w:val="006771AD"/>
    <w:rsid w:val="006774A8"/>
    <w:rsid w:val="00677572"/>
    <w:rsid w:val="00681229"/>
    <w:rsid w:val="0068185E"/>
    <w:rsid w:val="00681BE5"/>
    <w:rsid w:val="00681E30"/>
    <w:rsid w:val="0068379B"/>
    <w:rsid w:val="00683D98"/>
    <w:rsid w:val="00683D99"/>
    <w:rsid w:val="00684079"/>
    <w:rsid w:val="0068629B"/>
    <w:rsid w:val="00686C12"/>
    <w:rsid w:val="00686D75"/>
    <w:rsid w:val="0068736A"/>
    <w:rsid w:val="00687D17"/>
    <w:rsid w:val="00690024"/>
    <w:rsid w:val="006903A4"/>
    <w:rsid w:val="00690CAA"/>
    <w:rsid w:val="00690EFB"/>
    <w:rsid w:val="006911F9"/>
    <w:rsid w:val="006912CB"/>
    <w:rsid w:val="0069137B"/>
    <w:rsid w:val="006913EC"/>
    <w:rsid w:val="006914B7"/>
    <w:rsid w:val="00691742"/>
    <w:rsid w:val="00691DEE"/>
    <w:rsid w:val="00692242"/>
    <w:rsid w:val="0069236E"/>
    <w:rsid w:val="00692704"/>
    <w:rsid w:val="00692E67"/>
    <w:rsid w:val="00693ACF"/>
    <w:rsid w:val="00693EB5"/>
    <w:rsid w:val="00693EE5"/>
    <w:rsid w:val="00693FBC"/>
    <w:rsid w:val="006944C5"/>
    <w:rsid w:val="00694A7E"/>
    <w:rsid w:val="00694B8D"/>
    <w:rsid w:val="0069505C"/>
    <w:rsid w:val="0069561C"/>
    <w:rsid w:val="00695634"/>
    <w:rsid w:val="0069600D"/>
    <w:rsid w:val="00696143"/>
    <w:rsid w:val="006963AE"/>
    <w:rsid w:val="00697053"/>
    <w:rsid w:val="006A066A"/>
    <w:rsid w:val="006A06CA"/>
    <w:rsid w:val="006A083E"/>
    <w:rsid w:val="006A0FFD"/>
    <w:rsid w:val="006A1170"/>
    <w:rsid w:val="006A14A3"/>
    <w:rsid w:val="006A159D"/>
    <w:rsid w:val="006A18BF"/>
    <w:rsid w:val="006A1F58"/>
    <w:rsid w:val="006A2083"/>
    <w:rsid w:val="006A242E"/>
    <w:rsid w:val="006A26AB"/>
    <w:rsid w:val="006A298D"/>
    <w:rsid w:val="006A2F80"/>
    <w:rsid w:val="006A3FD6"/>
    <w:rsid w:val="006A4076"/>
    <w:rsid w:val="006A436F"/>
    <w:rsid w:val="006A4E5B"/>
    <w:rsid w:val="006A59D8"/>
    <w:rsid w:val="006A5A45"/>
    <w:rsid w:val="006A6B7B"/>
    <w:rsid w:val="006A7496"/>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C0D"/>
    <w:rsid w:val="006B7570"/>
    <w:rsid w:val="006C1728"/>
    <w:rsid w:val="006C1818"/>
    <w:rsid w:val="006C1F8B"/>
    <w:rsid w:val="006C2721"/>
    <w:rsid w:val="006C3868"/>
    <w:rsid w:val="006C38FF"/>
    <w:rsid w:val="006C3E6E"/>
    <w:rsid w:val="006C3EEA"/>
    <w:rsid w:val="006C43A6"/>
    <w:rsid w:val="006C44A8"/>
    <w:rsid w:val="006C4A4A"/>
    <w:rsid w:val="006C53EB"/>
    <w:rsid w:val="006C5D29"/>
    <w:rsid w:val="006C650D"/>
    <w:rsid w:val="006C69A5"/>
    <w:rsid w:val="006C6A4D"/>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9A1"/>
    <w:rsid w:val="006D3A05"/>
    <w:rsid w:val="006D3B62"/>
    <w:rsid w:val="006D3FDF"/>
    <w:rsid w:val="006D4527"/>
    <w:rsid w:val="006D4B05"/>
    <w:rsid w:val="006D4F86"/>
    <w:rsid w:val="006D5F98"/>
    <w:rsid w:val="006D6665"/>
    <w:rsid w:val="006D7098"/>
    <w:rsid w:val="006D740E"/>
    <w:rsid w:val="006D7C8A"/>
    <w:rsid w:val="006D7F72"/>
    <w:rsid w:val="006E00B7"/>
    <w:rsid w:val="006E091A"/>
    <w:rsid w:val="006E0BD9"/>
    <w:rsid w:val="006E0E5B"/>
    <w:rsid w:val="006E0F05"/>
    <w:rsid w:val="006E132F"/>
    <w:rsid w:val="006E3023"/>
    <w:rsid w:val="006E3369"/>
    <w:rsid w:val="006E3D12"/>
    <w:rsid w:val="006E449C"/>
    <w:rsid w:val="006E4726"/>
    <w:rsid w:val="006E4E72"/>
    <w:rsid w:val="006E50D0"/>
    <w:rsid w:val="006E5B0B"/>
    <w:rsid w:val="006E663E"/>
    <w:rsid w:val="006E6655"/>
    <w:rsid w:val="006E6EDF"/>
    <w:rsid w:val="006E7BA5"/>
    <w:rsid w:val="006F01E8"/>
    <w:rsid w:val="006F02D7"/>
    <w:rsid w:val="006F0EBB"/>
    <w:rsid w:val="006F1E96"/>
    <w:rsid w:val="006F2D24"/>
    <w:rsid w:val="006F37F7"/>
    <w:rsid w:val="006F38C3"/>
    <w:rsid w:val="006F3909"/>
    <w:rsid w:val="006F4036"/>
    <w:rsid w:val="006F428E"/>
    <w:rsid w:val="006F48E1"/>
    <w:rsid w:val="006F5160"/>
    <w:rsid w:val="006F5374"/>
    <w:rsid w:val="006F5DF8"/>
    <w:rsid w:val="006F60DF"/>
    <w:rsid w:val="006F68C1"/>
    <w:rsid w:val="006F6CE2"/>
    <w:rsid w:val="006F6E10"/>
    <w:rsid w:val="006F7074"/>
    <w:rsid w:val="00700B8C"/>
    <w:rsid w:val="007014F8"/>
    <w:rsid w:val="0070150D"/>
    <w:rsid w:val="007016D2"/>
    <w:rsid w:val="007018D8"/>
    <w:rsid w:val="007029E8"/>
    <w:rsid w:val="00703107"/>
    <w:rsid w:val="00703138"/>
    <w:rsid w:val="00703277"/>
    <w:rsid w:val="0070356D"/>
    <w:rsid w:val="00703981"/>
    <w:rsid w:val="00703B83"/>
    <w:rsid w:val="00703D7E"/>
    <w:rsid w:val="00703DE6"/>
    <w:rsid w:val="0070495F"/>
    <w:rsid w:val="00704B6E"/>
    <w:rsid w:val="00704F73"/>
    <w:rsid w:val="0070508D"/>
    <w:rsid w:val="0070542E"/>
    <w:rsid w:val="00706096"/>
    <w:rsid w:val="007060D4"/>
    <w:rsid w:val="0070624C"/>
    <w:rsid w:val="00706451"/>
    <w:rsid w:val="00707E0F"/>
    <w:rsid w:val="0071068A"/>
    <w:rsid w:val="00710E19"/>
    <w:rsid w:val="00710E52"/>
    <w:rsid w:val="0071154B"/>
    <w:rsid w:val="0071174F"/>
    <w:rsid w:val="0071196A"/>
    <w:rsid w:val="00711B69"/>
    <w:rsid w:val="007131CF"/>
    <w:rsid w:val="007133C0"/>
    <w:rsid w:val="00713613"/>
    <w:rsid w:val="007137C6"/>
    <w:rsid w:val="007138FC"/>
    <w:rsid w:val="0071393D"/>
    <w:rsid w:val="00713E79"/>
    <w:rsid w:val="00714245"/>
    <w:rsid w:val="00715441"/>
    <w:rsid w:val="00715739"/>
    <w:rsid w:val="0071576C"/>
    <w:rsid w:val="00715C94"/>
    <w:rsid w:val="00715EA7"/>
    <w:rsid w:val="00716A09"/>
    <w:rsid w:val="007170DB"/>
    <w:rsid w:val="00717880"/>
    <w:rsid w:val="00717CA8"/>
    <w:rsid w:val="007205E7"/>
    <w:rsid w:val="007209C4"/>
    <w:rsid w:val="00721ACB"/>
    <w:rsid w:val="00721E9E"/>
    <w:rsid w:val="007227FE"/>
    <w:rsid w:val="007233C3"/>
    <w:rsid w:val="00723C95"/>
    <w:rsid w:val="007244E7"/>
    <w:rsid w:val="0072505F"/>
    <w:rsid w:val="00725B00"/>
    <w:rsid w:val="0072680C"/>
    <w:rsid w:val="0072698B"/>
    <w:rsid w:val="00726B3D"/>
    <w:rsid w:val="00726C64"/>
    <w:rsid w:val="007310B7"/>
    <w:rsid w:val="00731237"/>
    <w:rsid w:val="0073207E"/>
    <w:rsid w:val="00732664"/>
    <w:rsid w:val="00732BA7"/>
    <w:rsid w:val="007333EA"/>
    <w:rsid w:val="00733535"/>
    <w:rsid w:val="00733601"/>
    <w:rsid w:val="00733A57"/>
    <w:rsid w:val="00733F36"/>
    <w:rsid w:val="007340CE"/>
    <w:rsid w:val="00734781"/>
    <w:rsid w:val="007349FC"/>
    <w:rsid w:val="00734B6F"/>
    <w:rsid w:val="00735293"/>
    <w:rsid w:val="00735376"/>
    <w:rsid w:val="007363EA"/>
    <w:rsid w:val="00736E06"/>
    <w:rsid w:val="00736E37"/>
    <w:rsid w:val="00737286"/>
    <w:rsid w:val="007373DB"/>
    <w:rsid w:val="00737F27"/>
    <w:rsid w:val="00737FD3"/>
    <w:rsid w:val="007407DB"/>
    <w:rsid w:val="0074085F"/>
    <w:rsid w:val="00740BFC"/>
    <w:rsid w:val="00740F76"/>
    <w:rsid w:val="00741037"/>
    <w:rsid w:val="0074198F"/>
    <w:rsid w:val="007422B3"/>
    <w:rsid w:val="007424BF"/>
    <w:rsid w:val="007435F1"/>
    <w:rsid w:val="00743DDD"/>
    <w:rsid w:val="00744625"/>
    <w:rsid w:val="007446BB"/>
    <w:rsid w:val="00745882"/>
    <w:rsid w:val="00745A04"/>
    <w:rsid w:val="00745A0F"/>
    <w:rsid w:val="00745DFD"/>
    <w:rsid w:val="00746197"/>
    <w:rsid w:val="0074689C"/>
    <w:rsid w:val="00746B3F"/>
    <w:rsid w:val="00747117"/>
    <w:rsid w:val="007479C2"/>
    <w:rsid w:val="00747B0D"/>
    <w:rsid w:val="007507EF"/>
    <w:rsid w:val="007511BA"/>
    <w:rsid w:val="00751452"/>
    <w:rsid w:val="007518A2"/>
    <w:rsid w:val="00751D06"/>
    <w:rsid w:val="007521A5"/>
    <w:rsid w:val="00752243"/>
    <w:rsid w:val="007531BA"/>
    <w:rsid w:val="00753959"/>
    <w:rsid w:val="00753D2A"/>
    <w:rsid w:val="00753DD6"/>
    <w:rsid w:val="00754A4A"/>
    <w:rsid w:val="007567A8"/>
    <w:rsid w:val="00760D1E"/>
    <w:rsid w:val="00760F66"/>
    <w:rsid w:val="007611F8"/>
    <w:rsid w:val="00761200"/>
    <w:rsid w:val="007615F6"/>
    <w:rsid w:val="007618E2"/>
    <w:rsid w:val="00761931"/>
    <w:rsid w:val="00761BD1"/>
    <w:rsid w:val="007627BA"/>
    <w:rsid w:val="0076291E"/>
    <w:rsid w:val="00762D81"/>
    <w:rsid w:val="0076317B"/>
    <w:rsid w:val="00763CB9"/>
    <w:rsid w:val="007643D5"/>
    <w:rsid w:val="00765366"/>
    <w:rsid w:val="00765914"/>
    <w:rsid w:val="0076614D"/>
    <w:rsid w:val="0076624C"/>
    <w:rsid w:val="0076627D"/>
    <w:rsid w:val="00766304"/>
    <w:rsid w:val="00767A28"/>
    <w:rsid w:val="00767DD2"/>
    <w:rsid w:val="0077082B"/>
    <w:rsid w:val="00770B12"/>
    <w:rsid w:val="00770E60"/>
    <w:rsid w:val="00771C8F"/>
    <w:rsid w:val="0077266E"/>
    <w:rsid w:val="0077292E"/>
    <w:rsid w:val="007737D8"/>
    <w:rsid w:val="0077391C"/>
    <w:rsid w:val="00773D24"/>
    <w:rsid w:val="00774576"/>
    <w:rsid w:val="0077508A"/>
    <w:rsid w:val="00775567"/>
    <w:rsid w:val="00775E0D"/>
    <w:rsid w:val="00776343"/>
    <w:rsid w:val="00776416"/>
    <w:rsid w:val="007764F0"/>
    <w:rsid w:val="007769BA"/>
    <w:rsid w:val="00776C7B"/>
    <w:rsid w:val="00776CEF"/>
    <w:rsid w:val="00776FA0"/>
    <w:rsid w:val="00777E7E"/>
    <w:rsid w:val="007804DD"/>
    <w:rsid w:val="0078095A"/>
    <w:rsid w:val="00780F3B"/>
    <w:rsid w:val="007816EE"/>
    <w:rsid w:val="00782071"/>
    <w:rsid w:val="00782946"/>
    <w:rsid w:val="00782ECD"/>
    <w:rsid w:val="0078363B"/>
    <w:rsid w:val="00783CCF"/>
    <w:rsid w:val="00783EB6"/>
    <w:rsid w:val="00783F5B"/>
    <w:rsid w:val="00784385"/>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F28"/>
    <w:rsid w:val="007944D2"/>
    <w:rsid w:val="00794B19"/>
    <w:rsid w:val="00795B5D"/>
    <w:rsid w:val="00795B8D"/>
    <w:rsid w:val="00795F0E"/>
    <w:rsid w:val="00797D8F"/>
    <w:rsid w:val="007A0C00"/>
    <w:rsid w:val="007A0E15"/>
    <w:rsid w:val="007A176E"/>
    <w:rsid w:val="007A19BF"/>
    <w:rsid w:val="007A2A69"/>
    <w:rsid w:val="007A2CF1"/>
    <w:rsid w:val="007A41B5"/>
    <w:rsid w:val="007A4486"/>
    <w:rsid w:val="007A4682"/>
    <w:rsid w:val="007A4E91"/>
    <w:rsid w:val="007A5879"/>
    <w:rsid w:val="007A58A8"/>
    <w:rsid w:val="007A5BD7"/>
    <w:rsid w:val="007A5BDC"/>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319"/>
    <w:rsid w:val="007B2FBF"/>
    <w:rsid w:val="007B3E13"/>
    <w:rsid w:val="007B4046"/>
    <w:rsid w:val="007B4300"/>
    <w:rsid w:val="007B565C"/>
    <w:rsid w:val="007B595F"/>
    <w:rsid w:val="007B5D75"/>
    <w:rsid w:val="007B6388"/>
    <w:rsid w:val="007B6D5E"/>
    <w:rsid w:val="007B7115"/>
    <w:rsid w:val="007B736B"/>
    <w:rsid w:val="007B7E21"/>
    <w:rsid w:val="007C0090"/>
    <w:rsid w:val="007C0853"/>
    <w:rsid w:val="007C0C90"/>
    <w:rsid w:val="007C0E07"/>
    <w:rsid w:val="007C0E86"/>
    <w:rsid w:val="007C249E"/>
    <w:rsid w:val="007C26CF"/>
    <w:rsid w:val="007C271B"/>
    <w:rsid w:val="007C2C14"/>
    <w:rsid w:val="007C2D50"/>
    <w:rsid w:val="007C357D"/>
    <w:rsid w:val="007C3A31"/>
    <w:rsid w:val="007C3A55"/>
    <w:rsid w:val="007C4166"/>
    <w:rsid w:val="007C44E1"/>
    <w:rsid w:val="007C48DD"/>
    <w:rsid w:val="007C4A05"/>
    <w:rsid w:val="007C5711"/>
    <w:rsid w:val="007C57B9"/>
    <w:rsid w:val="007C6325"/>
    <w:rsid w:val="007C6C53"/>
    <w:rsid w:val="007C73A3"/>
    <w:rsid w:val="007C7975"/>
    <w:rsid w:val="007C7EF5"/>
    <w:rsid w:val="007D06AC"/>
    <w:rsid w:val="007D0741"/>
    <w:rsid w:val="007D0A53"/>
    <w:rsid w:val="007D0B0D"/>
    <w:rsid w:val="007D0FFC"/>
    <w:rsid w:val="007D1013"/>
    <w:rsid w:val="007D19EC"/>
    <w:rsid w:val="007D2608"/>
    <w:rsid w:val="007D2A8D"/>
    <w:rsid w:val="007D30C3"/>
    <w:rsid w:val="007D35AC"/>
    <w:rsid w:val="007D36B1"/>
    <w:rsid w:val="007D36D7"/>
    <w:rsid w:val="007D3BA1"/>
    <w:rsid w:val="007D3EC8"/>
    <w:rsid w:val="007D40AC"/>
    <w:rsid w:val="007D4317"/>
    <w:rsid w:val="007D4C12"/>
    <w:rsid w:val="007D57E0"/>
    <w:rsid w:val="007D5962"/>
    <w:rsid w:val="007D5E1E"/>
    <w:rsid w:val="007D63B2"/>
    <w:rsid w:val="007D651D"/>
    <w:rsid w:val="007D71B7"/>
    <w:rsid w:val="007D7C66"/>
    <w:rsid w:val="007D7CF3"/>
    <w:rsid w:val="007E0274"/>
    <w:rsid w:val="007E02A7"/>
    <w:rsid w:val="007E0415"/>
    <w:rsid w:val="007E0991"/>
    <w:rsid w:val="007E0B2C"/>
    <w:rsid w:val="007E107F"/>
    <w:rsid w:val="007E2FD7"/>
    <w:rsid w:val="007E310B"/>
    <w:rsid w:val="007E38DA"/>
    <w:rsid w:val="007E3D65"/>
    <w:rsid w:val="007E3EE2"/>
    <w:rsid w:val="007E47E7"/>
    <w:rsid w:val="007E4A98"/>
    <w:rsid w:val="007E4EB6"/>
    <w:rsid w:val="007E5DD7"/>
    <w:rsid w:val="007E7139"/>
    <w:rsid w:val="007E7366"/>
    <w:rsid w:val="007E7EA1"/>
    <w:rsid w:val="007E7EA4"/>
    <w:rsid w:val="007F03CE"/>
    <w:rsid w:val="007F04D3"/>
    <w:rsid w:val="007F0E95"/>
    <w:rsid w:val="007F137D"/>
    <w:rsid w:val="007F2D8D"/>
    <w:rsid w:val="007F2EBF"/>
    <w:rsid w:val="007F3044"/>
    <w:rsid w:val="007F3249"/>
    <w:rsid w:val="007F4657"/>
    <w:rsid w:val="007F5609"/>
    <w:rsid w:val="007F5625"/>
    <w:rsid w:val="007F568A"/>
    <w:rsid w:val="007F59F7"/>
    <w:rsid w:val="007F5E21"/>
    <w:rsid w:val="007F5FC6"/>
    <w:rsid w:val="007F6413"/>
    <w:rsid w:val="007F676E"/>
    <w:rsid w:val="007F6B11"/>
    <w:rsid w:val="007F6E2B"/>
    <w:rsid w:val="007F7D12"/>
    <w:rsid w:val="007F7F02"/>
    <w:rsid w:val="00800258"/>
    <w:rsid w:val="00800562"/>
    <w:rsid w:val="00800C97"/>
    <w:rsid w:val="0080220F"/>
    <w:rsid w:val="00802735"/>
    <w:rsid w:val="008028C2"/>
    <w:rsid w:val="00802DDB"/>
    <w:rsid w:val="008037D8"/>
    <w:rsid w:val="00803B7E"/>
    <w:rsid w:val="00803DA6"/>
    <w:rsid w:val="008040D9"/>
    <w:rsid w:val="0080436E"/>
    <w:rsid w:val="00804937"/>
    <w:rsid w:val="00804E1E"/>
    <w:rsid w:val="00804E43"/>
    <w:rsid w:val="008050F5"/>
    <w:rsid w:val="00805112"/>
    <w:rsid w:val="0080519C"/>
    <w:rsid w:val="00810BC2"/>
    <w:rsid w:val="00811683"/>
    <w:rsid w:val="00811AFF"/>
    <w:rsid w:val="00812373"/>
    <w:rsid w:val="00813F3A"/>
    <w:rsid w:val="008140E8"/>
    <w:rsid w:val="00814271"/>
    <w:rsid w:val="00814941"/>
    <w:rsid w:val="00814A65"/>
    <w:rsid w:val="00814BD9"/>
    <w:rsid w:val="008158AC"/>
    <w:rsid w:val="00816805"/>
    <w:rsid w:val="00816A8E"/>
    <w:rsid w:val="00816BE8"/>
    <w:rsid w:val="00816CD5"/>
    <w:rsid w:val="00816DBD"/>
    <w:rsid w:val="00816FE2"/>
    <w:rsid w:val="00817062"/>
    <w:rsid w:val="00817814"/>
    <w:rsid w:val="00817991"/>
    <w:rsid w:val="00817F58"/>
    <w:rsid w:val="008203C5"/>
    <w:rsid w:val="00820B84"/>
    <w:rsid w:val="0082199B"/>
    <w:rsid w:val="00821C2A"/>
    <w:rsid w:val="008227B7"/>
    <w:rsid w:val="008243A8"/>
    <w:rsid w:val="00824925"/>
    <w:rsid w:val="00824C8B"/>
    <w:rsid w:val="008252E8"/>
    <w:rsid w:val="00825BA8"/>
    <w:rsid w:val="00825C14"/>
    <w:rsid w:val="0082641D"/>
    <w:rsid w:val="008267CA"/>
    <w:rsid w:val="0082722B"/>
    <w:rsid w:val="00827C1B"/>
    <w:rsid w:val="0083016B"/>
    <w:rsid w:val="008301F1"/>
    <w:rsid w:val="00830C0E"/>
    <w:rsid w:val="008313E0"/>
    <w:rsid w:val="008317EC"/>
    <w:rsid w:val="0083195D"/>
    <w:rsid w:val="00831B7B"/>
    <w:rsid w:val="00831D90"/>
    <w:rsid w:val="008324F3"/>
    <w:rsid w:val="00832691"/>
    <w:rsid w:val="0083296B"/>
    <w:rsid w:val="00833547"/>
    <w:rsid w:val="00833852"/>
    <w:rsid w:val="00833AB9"/>
    <w:rsid w:val="00834820"/>
    <w:rsid w:val="00834C82"/>
    <w:rsid w:val="00834D61"/>
    <w:rsid w:val="00834DB6"/>
    <w:rsid w:val="00834F93"/>
    <w:rsid w:val="00840C4A"/>
    <w:rsid w:val="008411B9"/>
    <w:rsid w:val="0084122F"/>
    <w:rsid w:val="00841573"/>
    <w:rsid w:val="00841D08"/>
    <w:rsid w:val="008421DA"/>
    <w:rsid w:val="00842D43"/>
    <w:rsid w:val="0084323E"/>
    <w:rsid w:val="00843D50"/>
    <w:rsid w:val="0084464E"/>
    <w:rsid w:val="008458BF"/>
    <w:rsid w:val="00846262"/>
    <w:rsid w:val="00846370"/>
    <w:rsid w:val="00846DCD"/>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AF7"/>
    <w:rsid w:val="00860109"/>
    <w:rsid w:val="008601BD"/>
    <w:rsid w:val="00860359"/>
    <w:rsid w:val="00860700"/>
    <w:rsid w:val="00860E43"/>
    <w:rsid w:val="00861252"/>
    <w:rsid w:val="0086171A"/>
    <w:rsid w:val="00861B89"/>
    <w:rsid w:val="0086226C"/>
    <w:rsid w:val="00862C76"/>
    <w:rsid w:val="008644A4"/>
    <w:rsid w:val="0086492E"/>
    <w:rsid w:val="00864A6C"/>
    <w:rsid w:val="00864BB1"/>
    <w:rsid w:val="00864DF7"/>
    <w:rsid w:val="00865278"/>
    <w:rsid w:val="008654F9"/>
    <w:rsid w:val="008658C0"/>
    <w:rsid w:val="00866388"/>
    <w:rsid w:val="00866FE3"/>
    <w:rsid w:val="0086722D"/>
    <w:rsid w:val="00867D56"/>
    <w:rsid w:val="00870BAA"/>
    <w:rsid w:val="00870D91"/>
    <w:rsid w:val="008716D1"/>
    <w:rsid w:val="008716ED"/>
    <w:rsid w:val="0087193F"/>
    <w:rsid w:val="008724E6"/>
    <w:rsid w:val="008728C8"/>
    <w:rsid w:val="00873205"/>
    <w:rsid w:val="008735E8"/>
    <w:rsid w:val="0087377E"/>
    <w:rsid w:val="00874043"/>
    <w:rsid w:val="00874594"/>
    <w:rsid w:val="00874776"/>
    <w:rsid w:val="0087487C"/>
    <w:rsid w:val="00874A07"/>
    <w:rsid w:val="00874B75"/>
    <w:rsid w:val="00875007"/>
    <w:rsid w:val="008750DB"/>
    <w:rsid w:val="00875144"/>
    <w:rsid w:val="008751B4"/>
    <w:rsid w:val="0087527F"/>
    <w:rsid w:val="008754B5"/>
    <w:rsid w:val="00875842"/>
    <w:rsid w:val="008758A8"/>
    <w:rsid w:val="00875AF3"/>
    <w:rsid w:val="008765E9"/>
    <w:rsid w:val="00876605"/>
    <w:rsid w:val="00876B13"/>
    <w:rsid w:val="00877359"/>
    <w:rsid w:val="00880017"/>
    <w:rsid w:val="00880305"/>
    <w:rsid w:val="0088031C"/>
    <w:rsid w:val="0088088A"/>
    <w:rsid w:val="00880A3F"/>
    <w:rsid w:val="00880EE2"/>
    <w:rsid w:val="00881732"/>
    <w:rsid w:val="008818A2"/>
    <w:rsid w:val="008820FB"/>
    <w:rsid w:val="0088213D"/>
    <w:rsid w:val="008821C6"/>
    <w:rsid w:val="0088243D"/>
    <w:rsid w:val="0088251A"/>
    <w:rsid w:val="00882D28"/>
    <w:rsid w:val="00883A67"/>
    <w:rsid w:val="00884481"/>
    <w:rsid w:val="008848E9"/>
    <w:rsid w:val="00884FD8"/>
    <w:rsid w:val="00885244"/>
    <w:rsid w:val="0088578C"/>
    <w:rsid w:val="008857C7"/>
    <w:rsid w:val="008858B3"/>
    <w:rsid w:val="0088664E"/>
    <w:rsid w:val="008866CF"/>
    <w:rsid w:val="00886782"/>
    <w:rsid w:val="008869A1"/>
    <w:rsid w:val="00886B3F"/>
    <w:rsid w:val="0089015D"/>
    <w:rsid w:val="0089021A"/>
    <w:rsid w:val="0089022E"/>
    <w:rsid w:val="00890475"/>
    <w:rsid w:val="00890A7C"/>
    <w:rsid w:val="00890D11"/>
    <w:rsid w:val="008910EE"/>
    <w:rsid w:val="00891A26"/>
    <w:rsid w:val="008923F8"/>
    <w:rsid w:val="008928F1"/>
    <w:rsid w:val="00892BBF"/>
    <w:rsid w:val="00892DB5"/>
    <w:rsid w:val="0089339E"/>
    <w:rsid w:val="0089389C"/>
    <w:rsid w:val="008942BD"/>
    <w:rsid w:val="0089478A"/>
    <w:rsid w:val="0089480A"/>
    <w:rsid w:val="00894FE5"/>
    <w:rsid w:val="008954D2"/>
    <w:rsid w:val="00895658"/>
    <w:rsid w:val="008956DA"/>
    <w:rsid w:val="00895BA9"/>
    <w:rsid w:val="00895D79"/>
    <w:rsid w:val="0089601B"/>
    <w:rsid w:val="0089655D"/>
    <w:rsid w:val="00896784"/>
    <w:rsid w:val="00897824"/>
    <w:rsid w:val="00897B62"/>
    <w:rsid w:val="00897BCB"/>
    <w:rsid w:val="00897C07"/>
    <w:rsid w:val="00897DBA"/>
    <w:rsid w:val="008A02FA"/>
    <w:rsid w:val="008A06A8"/>
    <w:rsid w:val="008A1AAC"/>
    <w:rsid w:val="008A20CA"/>
    <w:rsid w:val="008A239B"/>
    <w:rsid w:val="008A2956"/>
    <w:rsid w:val="008A2EA1"/>
    <w:rsid w:val="008A2EF6"/>
    <w:rsid w:val="008A3480"/>
    <w:rsid w:val="008A3B8E"/>
    <w:rsid w:val="008A425D"/>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107"/>
    <w:rsid w:val="008B04C0"/>
    <w:rsid w:val="008B0A83"/>
    <w:rsid w:val="008B0E93"/>
    <w:rsid w:val="008B198D"/>
    <w:rsid w:val="008B29A4"/>
    <w:rsid w:val="008B2BB4"/>
    <w:rsid w:val="008B2C30"/>
    <w:rsid w:val="008B2D73"/>
    <w:rsid w:val="008B3C2B"/>
    <w:rsid w:val="008B3DCC"/>
    <w:rsid w:val="008B4679"/>
    <w:rsid w:val="008B4D00"/>
    <w:rsid w:val="008B4D13"/>
    <w:rsid w:val="008B4E78"/>
    <w:rsid w:val="008B4FE2"/>
    <w:rsid w:val="008B61A1"/>
    <w:rsid w:val="008B66EE"/>
    <w:rsid w:val="008B6793"/>
    <w:rsid w:val="008B6E62"/>
    <w:rsid w:val="008B6E87"/>
    <w:rsid w:val="008B728A"/>
    <w:rsid w:val="008B7342"/>
    <w:rsid w:val="008B75C2"/>
    <w:rsid w:val="008B787A"/>
    <w:rsid w:val="008C0104"/>
    <w:rsid w:val="008C0A89"/>
    <w:rsid w:val="008C0E71"/>
    <w:rsid w:val="008C1852"/>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742A"/>
    <w:rsid w:val="008C74C7"/>
    <w:rsid w:val="008C7714"/>
    <w:rsid w:val="008C7F4F"/>
    <w:rsid w:val="008D00F3"/>
    <w:rsid w:val="008D0F27"/>
    <w:rsid w:val="008D15A2"/>
    <w:rsid w:val="008D18CD"/>
    <w:rsid w:val="008D1F86"/>
    <w:rsid w:val="008D20E0"/>
    <w:rsid w:val="008D2B6E"/>
    <w:rsid w:val="008D335C"/>
    <w:rsid w:val="008D35B7"/>
    <w:rsid w:val="008D4007"/>
    <w:rsid w:val="008D436A"/>
    <w:rsid w:val="008D4C72"/>
    <w:rsid w:val="008D50BA"/>
    <w:rsid w:val="008D561B"/>
    <w:rsid w:val="008D582B"/>
    <w:rsid w:val="008D5CF9"/>
    <w:rsid w:val="008D5D0A"/>
    <w:rsid w:val="008D6794"/>
    <w:rsid w:val="008D6C87"/>
    <w:rsid w:val="008D7F65"/>
    <w:rsid w:val="008E0178"/>
    <w:rsid w:val="008E02F8"/>
    <w:rsid w:val="008E10B6"/>
    <w:rsid w:val="008E1189"/>
    <w:rsid w:val="008E12AF"/>
    <w:rsid w:val="008E1600"/>
    <w:rsid w:val="008E211C"/>
    <w:rsid w:val="008E2BB3"/>
    <w:rsid w:val="008E2BC5"/>
    <w:rsid w:val="008E2C79"/>
    <w:rsid w:val="008E3176"/>
    <w:rsid w:val="008E3564"/>
    <w:rsid w:val="008E3A0B"/>
    <w:rsid w:val="008E3A90"/>
    <w:rsid w:val="008E3AAB"/>
    <w:rsid w:val="008E3E9C"/>
    <w:rsid w:val="008E4043"/>
    <w:rsid w:val="008E4520"/>
    <w:rsid w:val="008E45A5"/>
    <w:rsid w:val="008E54E8"/>
    <w:rsid w:val="008E5740"/>
    <w:rsid w:val="008E5868"/>
    <w:rsid w:val="008E5889"/>
    <w:rsid w:val="008E5DC8"/>
    <w:rsid w:val="008E6465"/>
    <w:rsid w:val="008E6C57"/>
    <w:rsid w:val="008E7082"/>
    <w:rsid w:val="008E72AF"/>
    <w:rsid w:val="008F07C9"/>
    <w:rsid w:val="008F0952"/>
    <w:rsid w:val="008F1154"/>
    <w:rsid w:val="008F1B84"/>
    <w:rsid w:val="008F1B9D"/>
    <w:rsid w:val="008F1DB6"/>
    <w:rsid w:val="008F39C0"/>
    <w:rsid w:val="008F57CD"/>
    <w:rsid w:val="008F5960"/>
    <w:rsid w:val="008F5CD0"/>
    <w:rsid w:val="008F6100"/>
    <w:rsid w:val="008F629A"/>
    <w:rsid w:val="008F6A9B"/>
    <w:rsid w:val="008F6F03"/>
    <w:rsid w:val="008F7603"/>
    <w:rsid w:val="008F769D"/>
    <w:rsid w:val="008F76DC"/>
    <w:rsid w:val="008F7A06"/>
    <w:rsid w:val="008F7D2F"/>
    <w:rsid w:val="009013C5"/>
    <w:rsid w:val="0090147B"/>
    <w:rsid w:val="00901649"/>
    <w:rsid w:val="00901CBA"/>
    <w:rsid w:val="00901DC6"/>
    <w:rsid w:val="009021DC"/>
    <w:rsid w:val="00903026"/>
    <w:rsid w:val="0090357B"/>
    <w:rsid w:val="00903832"/>
    <w:rsid w:val="009044BE"/>
    <w:rsid w:val="009048EB"/>
    <w:rsid w:val="00904913"/>
    <w:rsid w:val="009050B3"/>
    <w:rsid w:val="00905945"/>
    <w:rsid w:val="00905FEB"/>
    <w:rsid w:val="00906252"/>
    <w:rsid w:val="0090672E"/>
    <w:rsid w:val="00906A4F"/>
    <w:rsid w:val="00906BD6"/>
    <w:rsid w:val="00906C47"/>
    <w:rsid w:val="00907074"/>
    <w:rsid w:val="009073C7"/>
    <w:rsid w:val="009078BA"/>
    <w:rsid w:val="009079C7"/>
    <w:rsid w:val="009079F7"/>
    <w:rsid w:val="00907B44"/>
    <w:rsid w:val="00907C33"/>
    <w:rsid w:val="009108D2"/>
    <w:rsid w:val="00910B59"/>
    <w:rsid w:val="00910C20"/>
    <w:rsid w:val="00910FE1"/>
    <w:rsid w:val="0091106A"/>
    <w:rsid w:val="00911C77"/>
    <w:rsid w:val="00911D1C"/>
    <w:rsid w:val="00912F38"/>
    <w:rsid w:val="00913C58"/>
    <w:rsid w:val="009140B4"/>
    <w:rsid w:val="00914174"/>
    <w:rsid w:val="0091428A"/>
    <w:rsid w:val="00914733"/>
    <w:rsid w:val="00914AA5"/>
    <w:rsid w:val="00915DB8"/>
    <w:rsid w:val="009162DD"/>
    <w:rsid w:val="009163E7"/>
    <w:rsid w:val="0091671A"/>
    <w:rsid w:val="009169F6"/>
    <w:rsid w:val="0091715C"/>
    <w:rsid w:val="0091719D"/>
    <w:rsid w:val="00917903"/>
    <w:rsid w:val="009200D3"/>
    <w:rsid w:val="00920997"/>
    <w:rsid w:val="00920B1E"/>
    <w:rsid w:val="00920DD5"/>
    <w:rsid w:val="00921161"/>
    <w:rsid w:val="00922492"/>
    <w:rsid w:val="009224EB"/>
    <w:rsid w:val="0092272F"/>
    <w:rsid w:val="00922BE2"/>
    <w:rsid w:val="00922EDE"/>
    <w:rsid w:val="009231F2"/>
    <w:rsid w:val="0092337C"/>
    <w:rsid w:val="009237D9"/>
    <w:rsid w:val="0092406C"/>
    <w:rsid w:val="00924096"/>
    <w:rsid w:val="009243BC"/>
    <w:rsid w:val="009244D5"/>
    <w:rsid w:val="009252F1"/>
    <w:rsid w:val="00925588"/>
    <w:rsid w:val="00925AF5"/>
    <w:rsid w:val="00926268"/>
    <w:rsid w:val="009264A2"/>
    <w:rsid w:val="00926F3D"/>
    <w:rsid w:val="0092715D"/>
    <w:rsid w:val="00927206"/>
    <w:rsid w:val="00930632"/>
    <w:rsid w:val="009310BC"/>
    <w:rsid w:val="00931D3F"/>
    <w:rsid w:val="009324C4"/>
    <w:rsid w:val="00932671"/>
    <w:rsid w:val="00932A7A"/>
    <w:rsid w:val="009330BF"/>
    <w:rsid w:val="00933817"/>
    <w:rsid w:val="00933C07"/>
    <w:rsid w:val="00934510"/>
    <w:rsid w:val="0093476C"/>
    <w:rsid w:val="00935A1E"/>
    <w:rsid w:val="00935B7C"/>
    <w:rsid w:val="00935E3A"/>
    <w:rsid w:val="00936005"/>
    <w:rsid w:val="0093607C"/>
    <w:rsid w:val="0093647B"/>
    <w:rsid w:val="00940008"/>
    <w:rsid w:val="00940FFA"/>
    <w:rsid w:val="00941503"/>
    <w:rsid w:val="00941543"/>
    <w:rsid w:val="0094187D"/>
    <w:rsid w:val="00942C90"/>
    <w:rsid w:val="00942F29"/>
    <w:rsid w:val="00942FB6"/>
    <w:rsid w:val="009434EB"/>
    <w:rsid w:val="00943972"/>
    <w:rsid w:val="00943EA6"/>
    <w:rsid w:val="00944400"/>
    <w:rsid w:val="009448F2"/>
    <w:rsid w:val="0094524B"/>
    <w:rsid w:val="009456E3"/>
    <w:rsid w:val="00945759"/>
    <w:rsid w:val="009466E9"/>
    <w:rsid w:val="00946CB3"/>
    <w:rsid w:val="00946D20"/>
    <w:rsid w:val="00946E51"/>
    <w:rsid w:val="009473F4"/>
    <w:rsid w:val="0094767D"/>
    <w:rsid w:val="00950231"/>
    <w:rsid w:val="00950794"/>
    <w:rsid w:val="009507AA"/>
    <w:rsid w:val="009509EF"/>
    <w:rsid w:val="00951116"/>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FFA"/>
    <w:rsid w:val="00956170"/>
    <w:rsid w:val="00956BA1"/>
    <w:rsid w:val="00956D42"/>
    <w:rsid w:val="00956F0F"/>
    <w:rsid w:val="0095727F"/>
    <w:rsid w:val="009572AF"/>
    <w:rsid w:val="00957E41"/>
    <w:rsid w:val="0096023A"/>
    <w:rsid w:val="009607AB"/>
    <w:rsid w:val="00960A9A"/>
    <w:rsid w:val="009615DB"/>
    <w:rsid w:val="00962683"/>
    <w:rsid w:val="00962E23"/>
    <w:rsid w:val="0096456D"/>
    <w:rsid w:val="0096487C"/>
    <w:rsid w:val="00964BC2"/>
    <w:rsid w:val="00964D4A"/>
    <w:rsid w:val="00964EAE"/>
    <w:rsid w:val="00965023"/>
    <w:rsid w:val="009650B7"/>
    <w:rsid w:val="0096515D"/>
    <w:rsid w:val="009657B5"/>
    <w:rsid w:val="00965841"/>
    <w:rsid w:val="00966623"/>
    <w:rsid w:val="009678DB"/>
    <w:rsid w:val="00970728"/>
    <w:rsid w:val="009707C9"/>
    <w:rsid w:val="0097082A"/>
    <w:rsid w:val="00971E0B"/>
    <w:rsid w:val="00972101"/>
    <w:rsid w:val="00972FB5"/>
    <w:rsid w:val="009736FE"/>
    <w:rsid w:val="00973B96"/>
    <w:rsid w:val="00973E3C"/>
    <w:rsid w:val="00974763"/>
    <w:rsid w:val="009757CA"/>
    <w:rsid w:val="00975C9D"/>
    <w:rsid w:val="00976E76"/>
    <w:rsid w:val="00977A14"/>
    <w:rsid w:val="00977E9B"/>
    <w:rsid w:val="009807BF"/>
    <w:rsid w:val="0098096D"/>
    <w:rsid w:val="009809CE"/>
    <w:rsid w:val="0098131F"/>
    <w:rsid w:val="00981479"/>
    <w:rsid w:val="00981CF9"/>
    <w:rsid w:val="009829B3"/>
    <w:rsid w:val="00982C31"/>
    <w:rsid w:val="00982D45"/>
    <w:rsid w:val="00983165"/>
    <w:rsid w:val="00983343"/>
    <w:rsid w:val="009833C4"/>
    <w:rsid w:val="009834E0"/>
    <w:rsid w:val="009838FF"/>
    <w:rsid w:val="00984149"/>
    <w:rsid w:val="00984788"/>
    <w:rsid w:val="00984909"/>
    <w:rsid w:val="00984BE7"/>
    <w:rsid w:val="00984FF3"/>
    <w:rsid w:val="00984FF9"/>
    <w:rsid w:val="009850C5"/>
    <w:rsid w:val="00986326"/>
    <w:rsid w:val="00986849"/>
    <w:rsid w:val="00986BB7"/>
    <w:rsid w:val="00986D4B"/>
    <w:rsid w:val="00986E1E"/>
    <w:rsid w:val="00986F6D"/>
    <w:rsid w:val="0098727C"/>
    <w:rsid w:val="00987708"/>
    <w:rsid w:val="00987DDD"/>
    <w:rsid w:val="00987DF0"/>
    <w:rsid w:val="00987DF4"/>
    <w:rsid w:val="00987E2E"/>
    <w:rsid w:val="0099008B"/>
    <w:rsid w:val="00991202"/>
    <w:rsid w:val="0099177B"/>
    <w:rsid w:val="009917E0"/>
    <w:rsid w:val="009927D7"/>
    <w:rsid w:val="0099367E"/>
    <w:rsid w:val="00993FE4"/>
    <w:rsid w:val="0099425E"/>
    <w:rsid w:val="0099482F"/>
    <w:rsid w:val="00994CDC"/>
    <w:rsid w:val="009969CD"/>
    <w:rsid w:val="0099770A"/>
    <w:rsid w:val="00997769"/>
    <w:rsid w:val="00997A2E"/>
    <w:rsid w:val="009A048E"/>
    <w:rsid w:val="009A119F"/>
    <w:rsid w:val="009A1609"/>
    <w:rsid w:val="009A1A7E"/>
    <w:rsid w:val="009A3480"/>
    <w:rsid w:val="009A3DB8"/>
    <w:rsid w:val="009A43B3"/>
    <w:rsid w:val="009A464D"/>
    <w:rsid w:val="009A496F"/>
    <w:rsid w:val="009A4B78"/>
    <w:rsid w:val="009A4D73"/>
    <w:rsid w:val="009A4E41"/>
    <w:rsid w:val="009A5297"/>
    <w:rsid w:val="009A5D40"/>
    <w:rsid w:val="009A5E10"/>
    <w:rsid w:val="009A5E9E"/>
    <w:rsid w:val="009A6665"/>
    <w:rsid w:val="009A743F"/>
    <w:rsid w:val="009A74F7"/>
    <w:rsid w:val="009A76B0"/>
    <w:rsid w:val="009B00F2"/>
    <w:rsid w:val="009B0FB2"/>
    <w:rsid w:val="009B1113"/>
    <w:rsid w:val="009B1C34"/>
    <w:rsid w:val="009B1D22"/>
    <w:rsid w:val="009B1E86"/>
    <w:rsid w:val="009B27C4"/>
    <w:rsid w:val="009B2D92"/>
    <w:rsid w:val="009B3250"/>
    <w:rsid w:val="009B3344"/>
    <w:rsid w:val="009B42D2"/>
    <w:rsid w:val="009B44EE"/>
    <w:rsid w:val="009B4A06"/>
    <w:rsid w:val="009B4A8E"/>
    <w:rsid w:val="009B609E"/>
    <w:rsid w:val="009B70C8"/>
    <w:rsid w:val="009B737C"/>
    <w:rsid w:val="009B742E"/>
    <w:rsid w:val="009C0AC6"/>
    <w:rsid w:val="009C0E66"/>
    <w:rsid w:val="009C11B2"/>
    <w:rsid w:val="009C1456"/>
    <w:rsid w:val="009C164F"/>
    <w:rsid w:val="009C1C30"/>
    <w:rsid w:val="009C22DD"/>
    <w:rsid w:val="009C29D5"/>
    <w:rsid w:val="009C30A0"/>
    <w:rsid w:val="009C359E"/>
    <w:rsid w:val="009C37FE"/>
    <w:rsid w:val="009C4082"/>
    <w:rsid w:val="009C4A38"/>
    <w:rsid w:val="009C4AD8"/>
    <w:rsid w:val="009C4D3D"/>
    <w:rsid w:val="009C55E2"/>
    <w:rsid w:val="009C5A4E"/>
    <w:rsid w:val="009C5EE5"/>
    <w:rsid w:val="009C61E3"/>
    <w:rsid w:val="009C6940"/>
    <w:rsid w:val="009C6B56"/>
    <w:rsid w:val="009C6C93"/>
    <w:rsid w:val="009C76F9"/>
    <w:rsid w:val="009C7785"/>
    <w:rsid w:val="009C7DB8"/>
    <w:rsid w:val="009C7FF0"/>
    <w:rsid w:val="009D010D"/>
    <w:rsid w:val="009D0244"/>
    <w:rsid w:val="009D0F71"/>
    <w:rsid w:val="009D111C"/>
    <w:rsid w:val="009D141A"/>
    <w:rsid w:val="009D17A0"/>
    <w:rsid w:val="009D1F7A"/>
    <w:rsid w:val="009D2411"/>
    <w:rsid w:val="009D2873"/>
    <w:rsid w:val="009D2942"/>
    <w:rsid w:val="009D2A9D"/>
    <w:rsid w:val="009D3A1A"/>
    <w:rsid w:val="009D3FD3"/>
    <w:rsid w:val="009D426A"/>
    <w:rsid w:val="009D5BDB"/>
    <w:rsid w:val="009D6B03"/>
    <w:rsid w:val="009D6B3D"/>
    <w:rsid w:val="009D7422"/>
    <w:rsid w:val="009D78E7"/>
    <w:rsid w:val="009E0505"/>
    <w:rsid w:val="009E0742"/>
    <w:rsid w:val="009E1291"/>
    <w:rsid w:val="009E12BC"/>
    <w:rsid w:val="009E224D"/>
    <w:rsid w:val="009E26D5"/>
    <w:rsid w:val="009E2A07"/>
    <w:rsid w:val="009E3398"/>
    <w:rsid w:val="009E3577"/>
    <w:rsid w:val="009E3D2B"/>
    <w:rsid w:val="009E3E84"/>
    <w:rsid w:val="009E4097"/>
    <w:rsid w:val="009E4664"/>
    <w:rsid w:val="009E4D8E"/>
    <w:rsid w:val="009E4E90"/>
    <w:rsid w:val="009E4EB7"/>
    <w:rsid w:val="009E57C1"/>
    <w:rsid w:val="009E624A"/>
    <w:rsid w:val="009E6486"/>
    <w:rsid w:val="009E6B32"/>
    <w:rsid w:val="009E70F3"/>
    <w:rsid w:val="009E7E98"/>
    <w:rsid w:val="009F00EE"/>
    <w:rsid w:val="009F0827"/>
    <w:rsid w:val="009F0BED"/>
    <w:rsid w:val="009F1673"/>
    <w:rsid w:val="009F1EA5"/>
    <w:rsid w:val="009F3255"/>
    <w:rsid w:val="009F34AA"/>
    <w:rsid w:val="009F3DCE"/>
    <w:rsid w:val="009F44FF"/>
    <w:rsid w:val="009F46E8"/>
    <w:rsid w:val="009F472D"/>
    <w:rsid w:val="009F4CF0"/>
    <w:rsid w:val="009F4E88"/>
    <w:rsid w:val="009F50D1"/>
    <w:rsid w:val="009F568A"/>
    <w:rsid w:val="009F573B"/>
    <w:rsid w:val="009F5918"/>
    <w:rsid w:val="009F596D"/>
    <w:rsid w:val="009F6A91"/>
    <w:rsid w:val="009F71A6"/>
    <w:rsid w:val="009F71AA"/>
    <w:rsid w:val="009F7326"/>
    <w:rsid w:val="009F754A"/>
    <w:rsid w:val="009F791F"/>
    <w:rsid w:val="009F7F86"/>
    <w:rsid w:val="00A0034D"/>
    <w:rsid w:val="00A00BFB"/>
    <w:rsid w:val="00A00DCF"/>
    <w:rsid w:val="00A0126C"/>
    <w:rsid w:val="00A012DA"/>
    <w:rsid w:val="00A0187E"/>
    <w:rsid w:val="00A01A9A"/>
    <w:rsid w:val="00A026F0"/>
    <w:rsid w:val="00A02F2D"/>
    <w:rsid w:val="00A02F61"/>
    <w:rsid w:val="00A03E0E"/>
    <w:rsid w:val="00A040D1"/>
    <w:rsid w:val="00A04A0A"/>
    <w:rsid w:val="00A050A8"/>
    <w:rsid w:val="00A056A3"/>
    <w:rsid w:val="00A05B51"/>
    <w:rsid w:val="00A06286"/>
    <w:rsid w:val="00A06318"/>
    <w:rsid w:val="00A063BC"/>
    <w:rsid w:val="00A068E1"/>
    <w:rsid w:val="00A06A80"/>
    <w:rsid w:val="00A06D8A"/>
    <w:rsid w:val="00A0711F"/>
    <w:rsid w:val="00A07B0B"/>
    <w:rsid w:val="00A102A0"/>
    <w:rsid w:val="00A108C2"/>
    <w:rsid w:val="00A114FA"/>
    <w:rsid w:val="00A11AF3"/>
    <w:rsid w:val="00A12C09"/>
    <w:rsid w:val="00A13084"/>
    <w:rsid w:val="00A1327F"/>
    <w:rsid w:val="00A13817"/>
    <w:rsid w:val="00A138D3"/>
    <w:rsid w:val="00A13E0F"/>
    <w:rsid w:val="00A144B7"/>
    <w:rsid w:val="00A149B4"/>
    <w:rsid w:val="00A150B3"/>
    <w:rsid w:val="00A15F4F"/>
    <w:rsid w:val="00A160AB"/>
    <w:rsid w:val="00A160F0"/>
    <w:rsid w:val="00A16745"/>
    <w:rsid w:val="00A16747"/>
    <w:rsid w:val="00A20013"/>
    <w:rsid w:val="00A20582"/>
    <w:rsid w:val="00A20C65"/>
    <w:rsid w:val="00A21767"/>
    <w:rsid w:val="00A21FD5"/>
    <w:rsid w:val="00A22751"/>
    <w:rsid w:val="00A22940"/>
    <w:rsid w:val="00A23102"/>
    <w:rsid w:val="00A23284"/>
    <w:rsid w:val="00A2343F"/>
    <w:rsid w:val="00A23505"/>
    <w:rsid w:val="00A2428B"/>
    <w:rsid w:val="00A2476B"/>
    <w:rsid w:val="00A247E5"/>
    <w:rsid w:val="00A24D81"/>
    <w:rsid w:val="00A24EA5"/>
    <w:rsid w:val="00A25173"/>
    <w:rsid w:val="00A252F0"/>
    <w:rsid w:val="00A259F2"/>
    <w:rsid w:val="00A2638C"/>
    <w:rsid w:val="00A26463"/>
    <w:rsid w:val="00A2660E"/>
    <w:rsid w:val="00A26916"/>
    <w:rsid w:val="00A26B47"/>
    <w:rsid w:val="00A26FF1"/>
    <w:rsid w:val="00A27806"/>
    <w:rsid w:val="00A3068C"/>
    <w:rsid w:val="00A3127F"/>
    <w:rsid w:val="00A31922"/>
    <w:rsid w:val="00A31BCC"/>
    <w:rsid w:val="00A31C70"/>
    <w:rsid w:val="00A32382"/>
    <w:rsid w:val="00A325BB"/>
    <w:rsid w:val="00A3297A"/>
    <w:rsid w:val="00A32A58"/>
    <w:rsid w:val="00A32EEC"/>
    <w:rsid w:val="00A336C5"/>
    <w:rsid w:val="00A33F99"/>
    <w:rsid w:val="00A3510A"/>
    <w:rsid w:val="00A3515F"/>
    <w:rsid w:val="00A35375"/>
    <w:rsid w:val="00A35751"/>
    <w:rsid w:val="00A3577F"/>
    <w:rsid w:val="00A35BBC"/>
    <w:rsid w:val="00A35DAB"/>
    <w:rsid w:val="00A36724"/>
    <w:rsid w:val="00A367AF"/>
    <w:rsid w:val="00A36C13"/>
    <w:rsid w:val="00A36DD8"/>
    <w:rsid w:val="00A377C2"/>
    <w:rsid w:val="00A37A31"/>
    <w:rsid w:val="00A40B1F"/>
    <w:rsid w:val="00A40B4D"/>
    <w:rsid w:val="00A411E2"/>
    <w:rsid w:val="00A41373"/>
    <w:rsid w:val="00A41638"/>
    <w:rsid w:val="00A41B15"/>
    <w:rsid w:val="00A41C25"/>
    <w:rsid w:val="00A4224E"/>
    <w:rsid w:val="00A4229F"/>
    <w:rsid w:val="00A428A9"/>
    <w:rsid w:val="00A42ACA"/>
    <w:rsid w:val="00A43AAB"/>
    <w:rsid w:val="00A43AFE"/>
    <w:rsid w:val="00A44542"/>
    <w:rsid w:val="00A44AAD"/>
    <w:rsid w:val="00A45280"/>
    <w:rsid w:val="00A45BF7"/>
    <w:rsid w:val="00A463B5"/>
    <w:rsid w:val="00A463BA"/>
    <w:rsid w:val="00A46675"/>
    <w:rsid w:val="00A471A3"/>
    <w:rsid w:val="00A47528"/>
    <w:rsid w:val="00A47597"/>
    <w:rsid w:val="00A47E08"/>
    <w:rsid w:val="00A47E44"/>
    <w:rsid w:val="00A47F91"/>
    <w:rsid w:val="00A507D7"/>
    <w:rsid w:val="00A50A5C"/>
    <w:rsid w:val="00A50BE2"/>
    <w:rsid w:val="00A50CC6"/>
    <w:rsid w:val="00A50E40"/>
    <w:rsid w:val="00A51462"/>
    <w:rsid w:val="00A51946"/>
    <w:rsid w:val="00A51C1F"/>
    <w:rsid w:val="00A51F96"/>
    <w:rsid w:val="00A51FF7"/>
    <w:rsid w:val="00A52079"/>
    <w:rsid w:val="00A52143"/>
    <w:rsid w:val="00A521E9"/>
    <w:rsid w:val="00A5298E"/>
    <w:rsid w:val="00A52B3E"/>
    <w:rsid w:val="00A5313B"/>
    <w:rsid w:val="00A5320E"/>
    <w:rsid w:val="00A53F7B"/>
    <w:rsid w:val="00A54090"/>
    <w:rsid w:val="00A54282"/>
    <w:rsid w:val="00A549D3"/>
    <w:rsid w:val="00A54D34"/>
    <w:rsid w:val="00A54DF0"/>
    <w:rsid w:val="00A5608C"/>
    <w:rsid w:val="00A57E98"/>
    <w:rsid w:val="00A60849"/>
    <w:rsid w:val="00A6105B"/>
    <w:rsid w:val="00A61355"/>
    <w:rsid w:val="00A61668"/>
    <w:rsid w:val="00A61EEA"/>
    <w:rsid w:val="00A621D3"/>
    <w:rsid w:val="00A628F8"/>
    <w:rsid w:val="00A62B7A"/>
    <w:rsid w:val="00A632EA"/>
    <w:rsid w:val="00A634BE"/>
    <w:rsid w:val="00A63AD7"/>
    <w:rsid w:val="00A63BFD"/>
    <w:rsid w:val="00A6444A"/>
    <w:rsid w:val="00A6491F"/>
    <w:rsid w:val="00A64C72"/>
    <w:rsid w:val="00A64D1A"/>
    <w:rsid w:val="00A65320"/>
    <w:rsid w:val="00A65773"/>
    <w:rsid w:val="00A65BA5"/>
    <w:rsid w:val="00A66354"/>
    <w:rsid w:val="00A66D06"/>
    <w:rsid w:val="00A66E37"/>
    <w:rsid w:val="00A66ECF"/>
    <w:rsid w:val="00A67E38"/>
    <w:rsid w:val="00A703E4"/>
    <w:rsid w:val="00A70DC6"/>
    <w:rsid w:val="00A71080"/>
    <w:rsid w:val="00A713B3"/>
    <w:rsid w:val="00A71514"/>
    <w:rsid w:val="00A71986"/>
    <w:rsid w:val="00A71E73"/>
    <w:rsid w:val="00A72110"/>
    <w:rsid w:val="00A722C3"/>
    <w:rsid w:val="00A72740"/>
    <w:rsid w:val="00A73A64"/>
    <w:rsid w:val="00A742AD"/>
    <w:rsid w:val="00A746D7"/>
    <w:rsid w:val="00A74AB2"/>
    <w:rsid w:val="00A75A46"/>
    <w:rsid w:val="00A75B36"/>
    <w:rsid w:val="00A7663A"/>
    <w:rsid w:val="00A7696B"/>
    <w:rsid w:val="00A769D4"/>
    <w:rsid w:val="00A804C7"/>
    <w:rsid w:val="00A80857"/>
    <w:rsid w:val="00A80A39"/>
    <w:rsid w:val="00A80DF0"/>
    <w:rsid w:val="00A80E64"/>
    <w:rsid w:val="00A81A16"/>
    <w:rsid w:val="00A823A7"/>
    <w:rsid w:val="00A825C8"/>
    <w:rsid w:val="00A82742"/>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20E1"/>
    <w:rsid w:val="00A923D6"/>
    <w:rsid w:val="00A92B42"/>
    <w:rsid w:val="00A933AE"/>
    <w:rsid w:val="00A93863"/>
    <w:rsid w:val="00A9415E"/>
    <w:rsid w:val="00A9423F"/>
    <w:rsid w:val="00A94EBD"/>
    <w:rsid w:val="00A9510D"/>
    <w:rsid w:val="00A955B7"/>
    <w:rsid w:val="00A956AC"/>
    <w:rsid w:val="00A95D2A"/>
    <w:rsid w:val="00A96214"/>
    <w:rsid w:val="00A967E8"/>
    <w:rsid w:val="00A96A41"/>
    <w:rsid w:val="00A97AF8"/>
    <w:rsid w:val="00A97F2B"/>
    <w:rsid w:val="00A97F4B"/>
    <w:rsid w:val="00AA0163"/>
    <w:rsid w:val="00AA04C5"/>
    <w:rsid w:val="00AA1044"/>
    <w:rsid w:val="00AA10B1"/>
    <w:rsid w:val="00AA239B"/>
    <w:rsid w:val="00AA2803"/>
    <w:rsid w:val="00AA2BF2"/>
    <w:rsid w:val="00AA2D65"/>
    <w:rsid w:val="00AA2D68"/>
    <w:rsid w:val="00AA2D6F"/>
    <w:rsid w:val="00AA3987"/>
    <w:rsid w:val="00AA3B68"/>
    <w:rsid w:val="00AA3E79"/>
    <w:rsid w:val="00AA447C"/>
    <w:rsid w:val="00AA4FB4"/>
    <w:rsid w:val="00AA5C0B"/>
    <w:rsid w:val="00AA5E3B"/>
    <w:rsid w:val="00AA63AD"/>
    <w:rsid w:val="00AA65B4"/>
    <w:rsid w:val="00AA6DA6"/>
    <w:rsid w:val="00AA745E"/>
    <w:rsid w:val="00AA78A1"/>
    <w:rsid w:val="00AB047A"/>
    <w:rsid w:val="00AB04AB"/>
    <w:rsid w:val="00AB0733"/>
    <w:rsid w:val="00AB09D2"/>
    <w:rsid w:val="00AB0B64"/>
    <w:rsid w:val="00AB0C30"/>
    <w:rsid w:val="00AB176B"/>
    <w:rsid w:val="00AB37E6"/>
    <w:rsid w:val="00AB3DBA"/>
    <w:rsid w:val="00AB431C"/>
    <w:rsid w:val="00AB470E"/>
    <w:rsid w:val="00AB5A7E"/>
    <w:rsid w:val="00AB7538"/>
    <w:rsid w:val="00AB75A7"/>
    <w:rsid w:val="00AB77F3"/>
    <w:rsid w:val="00AC07B5"/>
    <w:rsid w:val="00AC0AAD"/>
    <w:rsid w:val="00AC1231"/>
    <w:rsid w:val="00AC1992"/>
    <w:rsid w:val="00AC1E14"/>
    <w:rsid w:val="00AC2CFA"/>
    <w:rsid w:val="00AC3263"/>
    <w:rsid w:val="00AC3759"/>
    <w:rsid w:val="00AC3E12"/>
    <w:rsid w:val="00AC406E"/>
    <w:rsid w:val="00AC430C"/>
    <w:rsid w:val="00AC4A6B"/>
    <w:rsid w:val="00AC5C19"/>
    <w:rsid w:val="00AC5C30"/>
    <w:rsid w:val="00AC60F0"/>
    <w:rsid w:val="00AC6657"/>
    <w:rsid w:val="00AC6D7A"/>
    <w:rsid w:val="00AC72B0"/>
    <w:rsid w:val="00AC7363"/>
    <w:rsid w:val="00AC7401"/>
    <w:rsid w:val="00AC7901"/>
    <w:rsid w:val="00AC79F3"/>
    <w:rsid w:val="00AC7FDD"/>
    <w:rsid w:val="00AD0803"/>
    <w:rsid w:val="00AD0949"/>
    <w:rsid w:val="00AD0F1D"/>
    <w:rsid w:val="00AD1179"/>
    <w:rsid w:val="00AD1359"/>
    <w:rsid w:val="00AD194B"/>
    <w:rsid w:val="00AD19F0"/>
    <w:rsid w:val="00AD1FCE"/>
    <w:rsid w:val="00AD26E1"/>
    <w:rsid w:val="00AD29CC"/>
    <w:rsid w:val="00AD3268"/>
    <w:rsid w:val="00AD3DE2"/>
    <w:rsid w:val="00AD4261"/>
    <w:rsid w:val="00AD46F5"/>
    <w:rsid w:val="00AD51A3"/>
    <w:rsid w:val="00AD598B"/>
    <w:rsid w:val="00AD7154"/>
    <w:rsid w:val="00AD797D"/>
    <w:rsid w:val="00AD7E02"/>
    <w:rsid w:val="00AE0483"/>
    <w:rsid w:val="00AE08DD"/>
    <w:rsid w:val="00AE13BD"/>
    <w:rsid w:val="00AE1AF9"/>
    <w:rsid w:val="00AE1E60"/>
    <w:rsid w:val="00AE2068"/>
    <w:rsid w:val="00AE2124"/>
    <w:rsid w:val="00AE2258"/>
    <w:rsid w:val="00AE277E"/>
    <w:rsid w:val="00AE2A36"/>
    <w:rsid w:val="00AE2BC6"/>
    <w:rsid w:val="00AE3251"/>
    <w:rsid w:val="00AE3FE0"/>
    <w:rsid w:val="00AE424E"/>
    <w:rsid w:val="00AE44A2"/>
    <w:rsid w:val="00AE5058"/>
    <w:rsid w:val="00AE5170"/>
    <w:rsid w:val="00AE51CD"/>
    <w:rsid w:val="00AE5471"/>
    <w:rsid w:val="00AE54AA"/>
    <w:rsid w:val="00AE60E4"/>
    <w:rsid w:val="00AE6872"/>
    <w:rsid w:val="00AE6C58"/>
    <w:rsid w:val="00AE72C4"/>
    <w:rsid w:val="00AE75A2"/>
    <w:rsid w:val="00AE7F05"/>
    <w:rsid w:val="00AE7F38"/>
    <w:rsid w:val="00AF054D"/>
    <w:rsid w:val="00AF0908"/>
    <w:rsid w:val="00AF0939"/>
    <w:rsid w:val="00AF1813"/>
    <w:rsid w:val="00AF24E7"/>
    <w:rsid w:val="00AF272B"/>
    <w:rsid w:val="00AF291B"/>
    <w:rsid w:val="00AF2DAA"/>
    <w:rsid w:val="00AF2EBD"/>
    <w:rsid w:val="00AF33AE"/>
    <w:rsid w:val="00AF409A"/>
    <w:rsid w:val="00AF44B1"/>
    <w:rsid w:val="00AF549C"/>
    <w:rsid w:val="00AF5800"/>
    <w:rsid w:val="00AF6986"/>
    <w:rsid w:val="00AF6D1B"/>
    <w:rsid w:val="00AF73ED"/>
    <w:rsid w:val="00AF7D69"/>
    <w:rsid w:val="00AF7ED2"/>
    <w:rsid w:val="00B004D8"/>
    <w:rsid w:val="00B00830"/>
    <w:rsid w:val="00B00CC5"/>
    <w:rsid w:val="00B016D2"/>
    <w:rsid w:val="00B02091"/>
    <w:rsid w:val="00B02B43"/>
    <w:rsid w:val="00B02BCB"/>
    <w:rsid w:val="00B03A4C"/>
    <w:rsid w:val="00B03D36"/>
    <w:rsid w:val="00B04540"/>
    <w:rsid w:val="00B05116"/>
    <w:rsid w:val="00B051A7"/>
    <w:rsid w:val="00B05F1A"/>
    <w:rsid w:val="00B06D54"/>
    <w:rsid w:val="00B07B33"/>
    <w:rsid w:val="00B07FA2"/>
    <w:rsid w:val="00B100CF"/>
    <w:rsid w:val="00B10E82"/>
    <w:rsid w:val="00B111A6"/>
    <w:rsid w:val="00B115E5"/>
    <w:rsid w:val="00B118EE"/>
    <w:rsid w:val="00B11B03"/>
    <w:rsid w:val="00B11C5B"/>
    <w:rsid w:val="00B121CD"/>
    <w:rsid w:val="00B12343"/>
    <w:rsid w:val="00B12529"/>
    <w:rsid w:val="00B128C5"/>
    <w:rsid w:val="00B12B11"/>
    <w:rsid w:val="00B12C94"/>
    <w:rsid w:val="00B12DBE"/>
    <w:rsid w:val="00B135AB"/>
    <w:rsid w:val="00B137BF"/>
    <w:rsid w:val="00B13A1B"/>
    <w:rsid w:val="00B142D9"/>
    <w:rsid w:val="00B14BC4"/>
    <w:rsid w:val="00B158A3"/>
    <w:rsid w:val="00B15B25"/>
    <w:rsid w:val="00B15EA0"/>
    <w:rsid w:val="00B17A4E"/>
    <w:rsid w:val="00B17B30"/>
    <w:rsid w:val="00B17C2F"/>
    <w:rsid w:val="00B20EB6"/>
    <w:rsid w:val="00B2153E"/>
    <w:rsid w:val="00B21FA7"/>
    <w:rsid w:val="00B22022"/>
    <w:rsid w:val="00B22106"/>
    <w:rsid w:val="00B225E4"/>
    <w:rsid w:val="00B23F7A"/>
    <w:rsid w:val="00B240B1"/>
    <w:rsid w:val="00B24208"/>
    <w:rsid w:val="00B24728"/>
    <w:rsid w:val="00B2474A"/>
    <w:rsid w:val="00B248A9"/>
    <w:rsid w:val="00B24D28"/>
    <w:rsid w:val="00B24F1C"/>
    <w:rsid w:val="00B25890"/>
    <w:rsid w:val="00B25D76"/>
    <w:rsid w:val="00B27032"/>
    <w:rsid w:val="00B30003"/>
    <w:rsid w:val="00B30C2A"/>
    <w:rsid w:val="00B31201"/>
    <w:rsid w:val="00B31B4B"/>
    <w:rsid w:val="00B31CD5"/>
    <w:rsid w:val="00B31E36"/>
    <w:rsid w:val="00B32E26"/>
    <w:rsid w:val="00B338B7"/>
    <w:rsid w:val="00B33A5B"/>
    <w:rsid w:val="00B34061"/>
    <w:rsid w:val="00B3440A"/>
    <w:rsid w:val="00B34441"/>
    <w:rsid w:val="00B35534"/>
    <w:rsid w:val="00B35A87"/>
    <w:rsid w:val="00B35AFD"/>
    <w:rsid w:val="00B35F9A"/>
    <w:rsid w:val="00B36236"/>
    <w:rsid w:val="00B3662E"/>
    <w:rsid w:val="00B366D2"/>
    <w:rsid w:val="00B366FA"/>
    <w:rsid w:val="00B36E86"/>
    <w:rsid w:val="00B379BA"/>
    <w:rsid w:val="00B379D6"/>
    <w:rsid w:val="00B40E47"/>
    <w:rsid w:val="00B412FD"/>
    <w:rsid w:val="00B422BE"/>
    <w:rsid w:val="00B4241D"/>
    <w:rsid w:val="00B426BB"/>
    <w:rsid w:val="00B42EB9"/>
    <w:rsid w:val="00B434E9"/>
    <w:rsid w:val="00B441FE"/>
    <w:rsid w:val="00B44821"/>
    <w:rsid w:val="00B44AD3"/>
    <w:rsid w:val="00B45152"/>
    <w:rsid w:val="00B45E54"/>
    <w:rsid w:val="00B45F0B"/>
    <w:rsid w:val="00B464E4"/>
    <w:rsid w:val="00B4689A"/>
    <w:rsid w:val="00B46D5F"/>
    <w:rsid w:val="00B46E7B"/>
    <w:rsid w:val="00B47DC5"/>
    <w:rsid w:val="00B502D4"/>
    <w:rsid w:val="00B505B3"/>
    <w:rsid w:val="00B50A74"/>
    <w:rsid w:val="00B520A0"/>
    <w:rsid w:val="00B5257E"/>
    <w:rsid w:val="00B525CE"/>
    <w:rsid w:val="00B52CFD"/>
    <w:rsid w:val="00B52D0B"/>
    <w:rsid w:val="00B545A8"/>
    <w:rsid w:val="00B548E8"/>
    <w:rsid w:val="00B56527"/>
    <w:rsid w:val="00B576DA"/>
    <w:rsid w:val="00B57710"/>
    <w:rsid w:val="00B57EF2"/>
    <w:rsid w:val="00B601C9"/>
    <w:rsid w:val="00B60D04"/>
    <w:rsid w:val="00B61D7D"/>
    <w:rsid w:val="00B61EE8"/>
    <w:rsid w:val="00B62C34"/>
    <w:rsid w:val="00B633A3"/>
    <w:rsid w:val="00B63533"/>
    <w:rsid w:val="00B63BDB"/>
    <w:rsid w:val="00B64A0E"/>
    <w:rsid w:val="00B64CC6"/>
    <w:rsid w:val="00B64DDF"/>
    <w:rsid w:val="00B65728"/>
    <w:rsid w:val="00B65DC9"/>
    <w:rsid w:val="00B6601E"/>
    <w:rsid w:val="00B663AA"/>
    <w:rsid w:val="00B66DD5"/>
    <w:rsid w:val="00B6715C"/>
    <w:rsid w:val="00B67B97"/>
    <w:rsid w:val="00B67F01"/>
    <w:rsid w:val="00B7075E"/>
    <w:rsid w:val="00B711AB"/>
    <w:rsid w:val="00B714F0"/>
    <w:rsid w:val="00B71A40"/>
    <w:rsid w:val="00B71C8C"/>
    <w:rsid w:val="00B71CB4"/>
    <w:rsid w:val="00B71FD7"/>
    <w:rsid w:val="00B72003"/>
    <w:rsid w:val="00B7210F"/>
    <w:rsid w:val="00B725E7"/>
    <w:rsid w:val="00B72C07"/>
    <w:rsid w:val="00B72DF7"/>
    <w:rsid w:val="00B72F42"/>
    <w:rsid w:val="00B73949"/>
    <w:rsid w:val="00B73E44"/>
    <w:rsid w:val="00B74290"/>
    <w:rsid w:val="00B74510"/>
    <w:rsid w:val="00B74BD4"/>
    <w:rsid w:val="00B74BF7"/>
    <w:rsid w:val="00B76185"/>
    <w:rsid w:val="00B7676C"/>
    <w:rsid w:val="00B76BCD"/>
    <w:rsid w:val="00B76FBC"/>
    <w:rsid w:val="00B7782B"/>
    <w:rsid w:val="00B779E6"/>
    <w:rsid w:val="00B804E2"/>
    <w:rsid w:val="00B811B2"/>
    <w:rsid w:val="00B82024"/>
    <w:rsid w:val="00B8276E"/>
    <w:rsid w:val="00B832C1"/>
    <w:rsid w:val="00B83997"/>
    <w:rsid w:val="00B83A62"/>
    <w:rsid w:val="00B83B59"/>
    <w:rsid w:val="00B84252"/>
    <w:rsid w:val="00B8468F"/>
    <w:rsid w:val="00B84F66"/>
    <w:rsid w:val="00B84FC6"/>
    <w:rsid w:val="00B857F5"/>
    <w:rsid w:val="00B866FD"/>
    <w:rsid w:val="00B86D6C"/>
    <w:rsid w:val="00B86F47"/>
    <w:rsid w:val="00B874B4"/>
    <w:rsid w:val="00B875E9"/>
    <w:rsid w:val="00B8787A"/>
    <w:rsid w:val="00B87887"/>
    <w:rsid w:val="00B90123"/>
    <w:rsid w:val="00B90196"/>
    <w:rsid w:val="00B90C2A"/>
    <w:rsid w:val="00B911C1"/>
    <w:rsid w:val="00B919F2"/>
    <w:rsid w:val="00B92008"/>
    <w:rsid w:val="00B922C3"/>
    <w:rsid w:val="00B9272E"/>
    <w:rsid w:val="00B927A7"/>
    <w:rsid w:val="00B92B9E"/>
    <w:rsid w:val="00B93315"/>
    <w:rsid w:val="00B93519"/>
    <w:rsid w:val="00B9372A"/>
    <w:rsid w:val="00B9425C"/>
    <w:rsid w:val="00B94AAF"/>
    <w:rsid w:val="00B94DB1"/>
    <w:rsid w:val="00B953FF"/>
    <w:rsid w:val="00B9622D"/>
    <w:rsid w:val="00B96263"/>
    <w:rsid w:val="00B968A5"/>
    <w:rsid w:val="00B972CD"/>
    <w:rsid w:val="00B9769B"/>
    <w:rsid w:val="00B97D02"/>
    <w:rsid w:val="00BA0304"/>
    <w:rsid w:val="00BA0557"/>
    <w:rsid w:val="00BA3038"/>
    <w:rsid w:val="00BA370A"/>
    <w:rsid w:val="00BA48BC"/>
    <w:rsid w:val="00BA4907"/>
    <w:rsid w:val="00BA4A29"/>
    <w:rsid w:val="00BA4BE7"/>
    <w:rsid w:val="00BA5F20"/>
    <w:rsid w:val="00BA68D9"/>
    <w:rsid w:val="00BA7172"/>
    <w:rsid w:val="00BA7B01"/>
    <w:rsid w:val="00BA7D1E"/>
    <w:rsid w:val="00BB01C0"/>
    <w:rsid w:val="00BB02D7"/>
    <w:rsid w:val="00BB0D9F"/>
    <w:rsid w:val="00BB0DEE"/>
    <w:rsid w:val="00BB1031"/>
    <w:rsid w:val="00BB1752"/>
    <w:rsid w:val="00BB1B33"/>
    <w:rsid w:val="00BB2480"/>
    <w:rsid w:val="00BB2C4E"/>
    <w:rsid w:val="00BB2E29"/>
    <w:rsid w:val="00BB2F74"/>
    <w:rsid w:val="00BB3206"/>
    <w:rsid w:val="00BB32C2"/>
    <w:rsid w:val="00BB3B0D"/>
    <w:rsid w:val="00BB3E4D"/>
    <w:rsid w:val="00BB524C"/>
    <w:rsid w:val="00BB5DAB"/>
    <w:rsid w:val="00BB6195"/>
    <w:rsid w:val="00BB61A3"/>
    <w:rsid w:val="00BB707E"/>
    <w:rsid w:val="00BB7568"/>
    <w:rsid w:val="00BB7F82"/>
    <w:rsid w:val="00BC007C"/>
    <w:rsid w:val="00BC0AB2"/>
    <w:rsid w:val="00BC0D7E"/>
    <w:rsid w:val="00BC1308"/>
    <w:rsid w:val="00BC1BF4"/>
    <w:rsid w:val="00BC2600"/>
    <w:rsid w:val="00BC29E0"/>
    <w:rsid w:val="00BC2F24"/>
    <w:rsid w:val="00BC33BE"/>
    <w:rsid w:val="00BC3A47"/>
    <w:rsid w:val="00BC3EEB"/>
    <w:rsid w:val="00BC46B0"/>
    <w:rsid w:val="00BC4780"/>
    <w:rsid w:val="00BC4F46"/>
    <w:rsid w:val="00BC52C8"/>
    <w:rsid w:val="00BC5485"/>
    <w:rsid w:val="00BC549C"/>
    <w:rsid w:val="00BC570E"/>
    <w:rsid w:val="00BC5A6C"/>
    <w:rsid w:val="00BC5AF6"/>
    <w:rsid w:val="00BC5B4B"/>
    <w:rsid w:val="00BC5EDB"/>
    <w:rsid w:val="00BC69A2"/>
    <w:rsid w:val="00BC6ED6"/>
    <w:rsid w:val="00BC6F03"/>
    <w:rsid w:val="00BC6FA1"/>
    <w:rsid w:val="00BD0570"/>
    <w:rsid w:val="00BD0853"/>
    <w:rsid w:val="00BD112D"/>
    <w:rsid w:val="00BD214E"/>
    <w:rsid w:val="00BD22F7"/>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5AF1"/>
    <w:rsid w:val="00BD6D43"/>
    <w:rsid w:val="00BD7090"/>
    <w:rsid w:val="00BD7490"/>
    <w:rsid w:val="00BD767F"/>
    <w:rsid w:val="00BE09C3"/>
    <w:rsid w:val="00BE0C27"/>
    <w:rsid w:val="00BE15BB"/>
    <w:rsid w:val="00BE198F"/>
    <w:rsid w:val="00BE473E"/>
    <w:rsid w:val="00BE5964"/>
    <w:rsid w:val="00BE5B93"/>
    <w:rsid w:val="00BE660B"/>
    <w:rsid w:val="00BE6AFE"/>
    <w:rsid w:val="00BE6BBE"/>
    <w:rsid w:val="00BE6FEB"/>
    <w:rsid w:val="00BE7021"/>
    <w:rsid w:val="00BE7300"/>
    <w:rsid w:val="00BE784F"/>
    <w:rsid w:val="00BF0238"/>
    <w:rsid w:val="00BF0717"/>
    <w:rsid w:val="00BF071D"/>
    <w:rsid w:val="00BF1750"/>
    <w:rsid w:val="00BF178E"/>
    <w:rsid w:val="00BF189F"/>
    <w:rsid w:val="00BF1B44"/>
    <w:rsid w:val="00BF1F01"/>
    <w:rsid w:val="00BF23CC"/>
    <w:rsid w:val="00BF243F"/>
    <w:rsid w:val="00BF284E"/>
    <w:rsid w:val="00BF4C2B"/>
    <w:rsid w:val="00BF507A"/>
    <w:rsid w:val="00BF53F1"/>
    <w:rsid w:val="00BF5717"/>
    <w:rsid w:val="00BF5B9D"/>
    <w:rsid w:val="00BF5CD8"/>
    <w:rsid w:val="00BF5FA3"/>
    <w:rsid w:val="00BF62F2"/>
    <w:rsid w:val="00BF63A5"/>
    <w:rsid w:val="00BF72A7"/>
    <w:rsid w:val="00BF7558"/>
    <w:rsid w:val="00C0111E"/>
    <w:rsid w:val="00C01AA9"/>
    <w:rsid w:val="00C02676"/>
    <w:rsid w:val="00C029AB"/>
    <w:rsid w:val="00C03BD5"/>
    <w:rsid w:val="00C03C8B"/>
    <w:rsid w:val="00C03F3C"/>
    <w:rsid w:val="00C049BE"/>
    <w:rsid w:val="00C04A71"/>
    <w:rsid w:val="00C04DF0"/>
    <w:rsid w:val="00C05A4C"/>
    <w:rsid w:val="00C05A67"/>
    <w:rsid w:val="00C073E0"/>
    <w:rsid w:val="00C11113"/>
    <w:rsid w:val="00C11687"/>
    <w:rsid w:val="00C11A23"/>
    <w:rsid w:val="00C11E28"/>
    <w:rsid w:val="00C1225B"/>
    <w:rsid w:val="00C122F9"/>
    <w:rsid w:val="00C1253A"/>
    <w:rsid w:val="00C128C9"/>
    <w:rsid w:val="00C12CF3"/>
    <w:rsid w:val="00C12F88"/>
    <w:rsid w:val="00C131A8"/>
    <w:rsid w:val="00C1322D"/>
    <w:rsid w:val="00C135A3"/>
    <w:rsid w:val="00C1477A"/>
    <w:rsid w:val="00C14A62"/>
    <w:rsid w:val="00C152DB"/>
    <w:rsid w:val="00C158EB"/>
    <w:rsid w:val="00C159B1"/>
    <w:rsid w:val="00C161F5"/>
    <w:rsid w:val="00C16C92"/>
    <w:rsid w:val="00C1706B"/>
    <w:rsid w:val="00C17607"/>
    <w:rsid w:val="00C17648"/>
    <w:rsid w:val="00C17DB7"/>
    <w:rsid w:val="00C17E48"/>
    <w:rsid w:val="00C17FF5"/>
    <w:rsid w:val="00C201E7"/>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54B3"/>
    <w:rsid w:val="00C26170"/>
    <w:rsid w:val="00C26B5A"/>
    <w:rsid w:val="00C26D52"/>
    <w:rsid w:val="00C303E4"/>
    <w:rsid w:val="00C30775"/>
    <w:rsid w:val="00C30B8D"/>
    <w:rsid w:val="00C3134E"/>
    <w:rsid w:val="00C315D8"/>
    <w:rsid w:val="00C31C4A"/>
    <w:rsid w:val="00C31D2D"/>
    <w:rsid w:val="00C32639"/>
    <w:rsid w:val="00C32AD2"/>
    <w:rsid w:val="00C34193"/>
    <w:rsid w:val="00C347FD"/>
    <w:rsid w:val="00C34DAE"/>
    <w:rsid w:val="00C34E1E"/>
    <w:rsid w:val="00C34E5A"/>
    <w:rsid w:val="00C36219"/>
    <w:rsid w:val="00C3698E"/>
    <w:rsid w:val="00C36CCA"/>
    <w:rsid w:val="00C36E1C"/>
    <w:rsid w:val="00C36F42"/>
    <w:rsid w:val="00C3718A"/>
    <w:rsid w:val="00C377B1"/>
    <w:rsid w:val="00C377E9"/>
    <w:rsid w:val="00C379C5"/>
    <w:rsid w:val="00C37E84"/>
    <w:rsid w:val="00C37EEE"/>
    <w:rsid w:val="00C40453"/>
    <w:rsid w:val="00C40E71"/>
    <w:rsid w:val="00C41879"/>
    <w:rsid w:val="00C41A7C"/>
    <w:rsid w:val="00C4200A"/>
    <w:rsid w:val="00C42CEF"/>
    <w:rsid w:val="00C42D55"/>
    <w:rsid w:val="00C43080"/>
    <w:rsid w:val="00C4370E"/>
    <w:rsid w:val="00C43823"/>
    <w:rsid w:val="00C4384B"/>
    <w:rsid w:val="00C4393C"/>
    <w:rsid w:val="00C43BC1"/>
    <w:rsid w:val="00C44068"/>
    <w:rsid w:val="00C442AE"/>
    <w:rsid w:val="00C4518B"/>
    <w:rsid w:val="00C45780"/>
    <w:rsid w:val="00C458D6"/>
    <w:rsid w:val="00C46268"/>
    <w:rsid w:val="00C4655A"/>
    <w:rsid w:val="00C466BF"/>
    <w:rsid w:val="00C47385"/>
    <w:rsid w:val="00C47555"/>
    <w:rsid w:val="00C476AC"/>
    <w:rsid w:val="00C47E67"/>
    <w:rsid w:val="00C47FD9"/>
    <w:rsid w:val="00C50387"/>
    <w:rsid w:val="00C50C1A"/>
    <w:rsid w:val="00C51508"/>
    <w:rsid w:val="00C51D73"/>
    <w:rsid w:val="00C52A05"/>
    <w:rsid w:val="00C52E97"/>
    <w:rsid w:val="00C52EAF"/>
    <w:rsid w:val="00C53189"/>
    <w:rsid w:val="00C534E5"/>
    <w:rsid w:val="00C534F4"/>
    <w:rsid w:val="00C5375B"/>
    <w:rsid w:val="00C53ACF"/>
    <w:rsid w:val="00C53B15"/>
    <w:rsid w:val="00C53DA9"/>
    <w:rsid w:val="00C53DAD"/>
    <w:rsid w:val="00C53EF7"/>
    <w:rsid w:val="00C54280"/>
    <w:rsid w:val="00C54929"/>
    <w:rsid w:val="00C556B1"/>
    <w:rsid w:val="00C55A05"/>
    <w:rsid w:val="00C56101"/>
    <w:rsid w:val="00C565F2"/>
    <w:rsid w:val="00C56C45"/>
    <w:rsid w:val="00C573CC"/>
    <w:rsid w:val="00C57B81"/>
    <w:rsid w:val="00C57F5B"/>
    <w:rsid w:val="00C57FB9"/>
    <w:rsid w:val="00C6077B"/>
    <w:rsid w:val="00C60950"/>
    <w:rsid w:val="00C60DD1"/>
    <w:rsid w:val="00C61565"/>
    <w:rsid w:val="00C61574"/>
    <w:rsid w:val="00C615B4"/>
    <w:rsid w:val="00C61765"/>
    <w:rsid w:val="00C61F4C"/>
    <w:rsid w:val="00C6211D"/>
    <w:rsid w:val="00C62869"/>
    <w:rsid w:val="00C62B32"/>
    <w:rsid w:val="00C63DED"/>
    <w:rsid w:val="00C63E88"/>
    <w:rsid w:val="00C6465C"/>
    <w:rsid w:val="00C64F97"/>
    <w:rsid w:val="00C65585"/>
    <w:rsid w:val="00C656EB"/>
    <w:rsid w:val="00C65C5A"/>
    <w:rsid w:val="00C65D7B"/>
    <w:rsid w:val="00C65DF4"/>
    <w:rsid w:val="00C6762C"/>
    <w:rsid w:val="00C67B49"/>
    <w:rsid w:val="00C711F5"/>
    <w:rsid w:val="00C713A1"/>
    <w:rsid w:val="00C71828"/>
    <w:rsid w:val="00C71F40"/>
    <w:rsid w:val="00C72105"/>
    <w:rsid w:val="00C72BCE"/>
    <w:rsid w:val="00C74954"/>
    <w:rsid w:val="00C76028"/>
    <w:rsid w:val="00C76107"/>
    <w:rsid w:val="00C76184"/>
    <w:rsid w:val="00C7673D"/>
    <w:rsid w:val="00C76A80"/>
    <w:rsid w:val="00C76C27"/>
    <w:rsid w:val="00C76F07"/>
    <w:rsid w:val="00C77EF6"/>
    <w:rsid w:val="00C80B4B"/>
    <w:rsid w:val="00C80D63"/>
    <w:rsid w:val="00C812D5"/>
    <w:rsid w:val="00C81BEA"/>
    <w:rsid w:val="00C81DF5"/>
    <w:rsid w:val="00C82188"/>
    <w:rsid w:val="00C8242B"/>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21C4"/>
    <w:rsid w:val="00C9235F"/>
    <w:rsid w:val="00C9257F"/>
    <w:rsid w:val="00C9319C"/>
    <w:rsid w:val="00C934F6"/>
    <w:rsid w:val="00C93874"/>
    <w:rsid w:val="00C93A4C"/>
    <w:rsid w:val="00C94FD2"/>
    <w:rsid w:val="00C95341"/>
    <w:rsid w:val="00C95B76"/>
    <w:rsid w:val="00C964C3"/>
    <w:rsid w:val="00C96635"/>
    <w:rsid w:val="00C966B7"/>
    <w:rsid w:val="00C969DB"/>
    <w:rsid w:val="00C97A4A"/>
    <w:rsid w:val="00C97DC9"/>
    <w:rsid w:val="00C97EE3"/>
    <w:rsid w:val="00CA12BA"/>
    <w:rsid w:val="00CA165C"/>
    <w:rsid w:val="00CA1C0D"/>
    <w:rsid w:val="00CA1DAE"/>
    <w:rsid w:val="00CA2267"/>
    <w:rsid w:val="00CA38AD"/>
    <w:rsid w:val="00CA5098"/>
    <w:rsid w:val="00CA5503"/>
    <w:rsid w:val="00CA55C3"/>
    <w:rsid w:val="00CA66C3"/>
    <w:rsid w:val="00CA6CAD"/>
    <w:rsid w:val="00CA70A8"/>
    <w:rsid w:val="00CA70D0"/>
    <w:rsid w:val="00CA74A4"/>
    <w:rsid w:val="00CA7683"/>
    <w:rsid w:val="00CA7EA1"/>
    <w:rsid w:val="00CA7EEB"/>
    <w:rsid w:val="00CB009B"/>
    <w:rsid w:val="00CB0231"/>
    <w:rsid w:val="00CB0838"/>
    <w:rsid w:val="00CB1AFD"/>
    <w:rsid w:val="00CB1EB3"/>
    <w:rsid w:val="00CB2126"/>
    <w:rsid w:val="00CB24AD"/>
    <w:rsid w:val="00CB2C59"/>
    <w:rsid w:val="00CB2D9C"/>
    <w:rsid w:val="00CB34AB"/>
    <w:rsid w:val="00CB3529"/>
    <w:rsid w:val="00CB3562"/>
    <w:rsid w:val="00CB38A9"/>
    <w:rsid w:val="00CB4728"/>
    <w:rsid w:val="00CB59E7"/>
    <w:rsid w:val="00CB5E4A"/>
    <w:rsid w:val="00CB6976"/>
    <w:rsid w:val="00CB6FCA"/>
    <w:rsid w:val="00CB724D"/>
    <w:rsid w:val="00CB73EA"/>
    <w:rsid w:val="00CB79CC"/>
    <w:rsid w:val="00CB7D4E"/>
    <w:rsid w:val="00CC002B"/>
    <w:rsid w:val="00CC07E5"/>
    <w:rsid w:val="00CC09F0"/>
    <w:rsid w:val="00CC0C11"/>
    <w:rsid w:val="00CC1F52"/>
    <w:rsid w:val="00CC233F"/>
    <w:rsid w:val="00CC27FD"/>
    <w:rsid w:val="00CC31E8"/>
    <w:rsid w:val="00CC3AB9"/>
    <w:rsid w:val="00CC3C9E"/>
    <w:rsid w:val="00CC45E0"/>
    <w:rsid w:val="00CC4BBE"/>
    <w:rsid w:val="00CC4BC3"/>
    <w:rsid w:val="00CC50C7"/>
    <w:rsid w:val="00CC55AC"/>
    <w:rsid w:val="00CC5859"/>
    <w:rsid w:val="00CC6FF2"/>
    <w:rsid w:val="00CC71F3"/>
    <w:rsid w:val="00CC72C0"/>
    <w:rsid w:val="00CC757D"/>
    <w:rsid w:val="00CC7C74"/>
    <w:rsid w:val="00CD00DB"/>
    <w:rsid w:val="00CD0119"/>
    <w:rsid w:val="00CD07FD"/>
    <w:rsid w:val="00CD0866"/>
    <w:rsid w:val="00CD1169"/>
    <w:rsid w:val="00CD132A"/>
    <w:rsid w:val="00CD16C7"/>
    <w:rsid w:val="00CD1A40"/>
    <w:rsid w:val="00CD1B33"/>
    <w:rsid w:val="00CD25F3"/>
    <w:rsid w:val="00CD27FF"/>
    <w:rsid w:val="00CD305C"/>
    <w:rsid w:val="00CD3A6D"/>
    <w:rsid w:val="00CD3E5A"/>
    <w:rsid w:val="00CD3E63"/>
    <w:rsid w:val="00CD40A3"/>
    <w:rsid w:val="00CD4CD3"/>
    <w:rsid w:val="00CD589F"/>
    <w:rsid w:val="00CD60C9"/>
    <w:rsid w:val="00CD6345"/>
    <w:rsid w:val="00CD6BBB"/>
    <w:rsid w:val="00CD6C19"/>
    <w:rsid w:val="00CD6E47"/>
    <w:rsid w:val="00CD7482"/>
    <w:rsid w:val="00CE07C1"/>
    <w:rsid w:val="00CE1567"/>
    <w:rsid w:val="00CE186F"/>
    <w:rsid w:val="00CE1C09"/>
    <w:rsid w:val="00CE20E3"/>
    <w:rsid w:val="00CE24B7"/>
    <w:rsid w:val="00CE273A"/>
    <w:rsid w:val="00CE2D55"/>
    <w:rsid w:val="00CE321C"/>
    <w:rsid w:val="00CE32E8"/>
    <w:rsid w:val="00CE3700"/>
    <w:rsid w:val="00CE3B69"/>
    <w:rsid w:val="00CE4559"/>
    <w:rsid w:val="00CE5118"/>
    <w:rsid w:val="00CE5487"/>
    <w:rsid w:val="00CE59B5"/>
    <w:rsid w:val="00CE59DB"/>
    <w:rsid w:val="00CE5D3A"/>
    <w:rsid w:val="00CE7381"/>
    <w:rsid w:val="00CE7447"/>
    <w:rsid w:val="00CE74CE"/>
    <w:rsid w:val="00CF0829"/>
    <w:rsid w:val="00CF0E74"/>
    <w:rsid w:val="00CF1833"/>
    <w:rsid w:val="00CF1AEA"/>
    <w:rsid w:val="00CF2091"/>
    <w:rsid w:val="00CF21F6"/>
    <w:rsid w:val="00CF2278"/>
    <w:rsid w:val="00CF2C62"/>
    <w:rsid w:val="00CF2F66"/>
    <w:rsid w:val="00CF337B"/>
    <w:rsid w:val="00CF3FE7"/>
    <w:rsid w:val="00CF4059"/>
    <w:rsid w:val="00CF4416"/>
    <w:rsid w:val="00CF5762"/>
    <w:rsid w:val="00CF65B4"/>
    <w:rsid w:val="00CF69B0"/>
    <w:rsid w:val="00CF6C05"/>
    <w:rsid w:val="00CF7485"/>
    <w:rsid w:val="00CF7E56"/>
    <w:rsid w:val="00D0139C"/>
    <w:rsid w:val="00D01610"/>
    <w:rsid w:val="00D01744"/>
    <w:rsid w:val="00D025CE"/>
    <w:rsid w:val="00D02A0F"/>
    <w:rsid w:val="00D02DF3"/>
    <w:rsid w:val="00D03181"/>
    <w:rsid w:val="00D037DC"/>
    <w:rsid w:val="00D0383B"/>
    <w:rsid w:val="00D03A8A"/>
    <w:rsid w:val="00D03DA5"/>
    <w:rsid w:val="00D03F27"/>
    <w:rsid w:val="00D043EE"/>
    <w:rsid w:val="00D0470D"/>
    <w:rsid w:val="00D05249"/>
    <w:rsid w:val="00D055CA"/>
    <w:rsid w:val="00D056F2"/>
    <w:rsid w:val="00D059FC"/>
    <w:rsid w:val="00D05DEF"/>
    <w:rsid w:val="00D06861"/>
    <w:rsid w:val="00D0688A"/>
    <w:rsid w:val="00D06F22"/>
    <w:rsid w:val="00D07A9C"/>
    <w:rsid w:val="00D10076"/>
    <w:rsid w:val="00D1033B"/>
    <w:rsid w:val="00D10477"/>
    <w:rsid w:val="00D107E2"/>
    <w:rsid w:val="00D11D76"/>
    <w:rsid w:val="00D121F5"/>
    <w:rsid w:val="00D126E4"/>
    <w:rsid w:val="00D12A5D"/>
    <w:rsid w:val="00D131BF"/>
    <w:rsid w:val="00D140E6"/>
    <w:rsid w:val="00D158EF"/>
    <w:rsid w:val="00D15C14"/>
    <w:rsid w:val="00D15E74"/>
    <w:rsid w:val="00D15FAA"/>
    <w:rsid w:val="00D16ECB"/>
    <w:rsid w:val="00D16EEE"/>
    <w:rsid w:val="00D16FBE"/>
    <w:rsid w:val="00D17167"/>
    <w:rsid w:val="00D1794C"/>
    <w:rsid w:val="00D17BA5"/>
    <w:rsid w:val="00D2058D"/>
    <w:rsid w:val="00D2176E"/>
    <w:rsid w:val="00D2182A"/>
    <w:rsid w:val="00D22105"/>
    <w:rsid w:val="00D2211C"/>
    <w:rsid w:val="00D22945"/>
    <w:rsid w:val="00D22B55"/>
    <w:rsid w:val="00D23055"/>
    <w:rsid w:val="00D230AD"/>
    <w:rsid w:val="00D251AB"/>
    <w:rsid w:val="00D25AC6"/>
    <w:rsid w:val="00D261D3"/>
    <w:rsid w:val="00D31255"/>
    <w:rsid w:val="00D319DF"/>
    <w:rsid w:val="00D3225E"/>
    <w:rsid w:val="00D324BC"/>
    <w:rsid w:val="00D33565"/>
    <w:rsid w:val="00D33762"/>
    <w:rsid w:val="00D339DC"/>
    <w:rsid w:val="00D34025"/>
    <w:rsid w:val="00D34BD1"/>
    <w:rsid w:val="00D35177"/>
    <w:rsid w:val="00D356E1"/>
    <w:rsid w:val="00D40609"/>
    <w:rsid w:val="00D40983"/>
    <w:rsid w:val="00D40A1C"/>
    <w:rsid w:val="00D41188"/>
    <w:rsid w:val="00D417D3"/>
    <w:rsid w:val="00D418D5"/>
    <w:rsid w:val="00D41A6B"/>
    <w:rsid w:val="00D41DB1"/>
    <w:rsid w:val="00D42045"/>
    <w:rsid w:val="00D4276D"/>
    <w:rsid w:val="00D42798"/>
    <w:rsid w:val="00D42970"/>
    <w:rsid w:val="00D43492"/>
    <w:rsid w:val="00D43AED"/>
    <w:rsid w:val="00D44916"/>
    <w:rsid w:val="00D45CA4"/>
    <w:rsid w:val="00D45EA7"/>
    <w:rsid w:val="00D45F22"/>
    <w:rsid w:val="00D47178"/>
    <w:rsid w:val="00D4752E"/>
    <w:rsid w:val="00D47842"/>
    <w:rsid w:val="00D47BEF"/>
    <w:rsid w:val="00D50826"/>
    <w:rsid w:val="00D51675"/>
    <w:rsid w:val="00D51A75"/>
    <w:rsid w:val="00D51F73"/>
    <w:rsid w:val="00D52827"/>
    <w:rsid w:val="00D529BE"/>
    <w:rsid w:val="00D52CF6"/>
    <w:rsid w:val="00D53D3E"/>
    <w:rsid w:val="00D547E0"/>
    <w:rsid w:val="00D54992"/>
    <w:rsid w:val="00D55291"/>
    <w:rsid w:val="00D55C48"/>
    <w:rsid w:val="00D55E47"/>
    <w:rsid w:val="00D56997"/>
    <w:rsid w:val="00D570E6"/>
    <w:rsid w:val="00D5730F"/>
    <w:rsid w:val="00D5774F"/>
    <w:rsid w:val="00D57A52"/>
    <w:rsid w:val="00D60809"/>
    <w:rsid w:val="00D60D7F"/>
    <w:rsid w:val="00D61610"/>
    <w:rsid w:val="00D61C9C"/>
    <w:rsid w:val="00D62111"/>
    <w:rsid w:val="00D62229"/>
    <w:rsid w:val="00D625B8"/>
    <w:rsid w:val="00D626F8"/>
    <w:rsid w:val="00D634CD"/>
    <w:rsid w:val="00D636DC"/>
    <w:rsid w:val="00D63F4C"/>
    <w:rsid w:val="00D64265"/>
    <w:rsid w:val="00D64613"/>
    <w:rsid w:val="00D64702"/>
    <w:rsid w:val="00D64B6C"/>
    <w:rsid w:val="00D66BFD"/>
    <w:rsid w:val="00D66C91"/>
    <w:rsid w:val="00D674EE"/>
    <w:rsid w:val="00D67535"/>
    <w:rsid w:val="00D67B2A"/>
    <w:rsid w:val="00D67BC9"/>
    <w:rsid w:val="00D67DBC"/>
    <w:rsid w:val="00D704D9"/>
    <w:rsid w:val="00D70BD2"/>
    <w:rsid w:val="00D713F2"/>
    <w:rsid w:val="00D72705"/>
    <w:rsid w:val="00D738BF"/>
    <w:rsid w:val="00D73B93"/>
    <w:rsid w:val="00D73C95"/>
    <w:rsid w:val="00D740E1"/>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1AC9"/>
    <w:rsid w:val="00D822FA"/>
    <w:rsid w:val="00D82D02"/>
    <w:rsid w:val="00D82D0F"/>
    <w:rsid w:val="00D83A5A"/>
    <w:rsid w:val="00D83E13"/>
    <w:rsid w:val="00D84157"/>
    <w:rsid w:val="00D84BD7"/>
    <w:rsid w:val="00D84DCA"/>
    <w:rsid w:val="00D85114"/>
    <w:rsid w:val="00D857BC"/>
    <w:rsid w:val="00D86144"/>
    <w:rsid w:val="00D86755"/>
    <w:rsid w:val="00D8718F"/>
    <w:rsid w:val="00D871B6"/>
    <w:rsid w:val="00D875E1"/>
    <w:rsid w:val="00D90275"/>
    <w:rsid w:val="00D902F5"/>
    <w:rsid w:val="00D9075D"/>
    <w:rsid w:val="00D90959"/>
    <w:rsid w:val="00D91410"/>
    <w:rsid w:val="00D91438"/>
    <w:rsid w:val="00D91594"/>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90A"/>
    <w:rsid w:val="00D96C73"/>
    <w:rsid w:val="00D96D46"/>
    <w:rsid w:val="00D97C27"/>
    <w:rsid w:val="00DA0526"/>
    <w:rsid w:val="00DA0639"/>
    <w:rsid w:val="00DA0CF7"/>
    <w:rsid w:val="00DA0E96"/>
    <w:rsid w:val="00DA0EFD"/>
    <w:rsid w:val="00DA1203"/>
    <w:rsid w:val="00DA18DA"/>
    <w:rsid w:val="00DA1F0C"/>
    <w:rsid w:val="00DA2D81"/>
    <w:rsid w:val="00DA3565"/>
    <w:rsid w:val="00DA3A5B"/>
    <w:rsid w:val="00DA3D0B"/>
    <w:rsid w:val="00DA3F51"/>
    <w:rsid w:val="00DA45DB"/>
    <w:rsid w:val="00DA48D9"/>
    <w:rsid w:val="00DA49F8"/>
    <w:rsid w:val="00DA4AAE"/>
    <w:rsid w:val="00DA5572"/>
    <w:rsid w:val="00DA5860"/>
    <w:rsid w:val="00DA6A15"/>
    <w:rsid w:val="00DA6CC2"/>
    <w:rsid w:val="00DA7029"/>
    <w:rsid w:val="00DA77A0"/>
    <w:rsid w:val="00DB09A2"/>
    <w:rsid w:val="00DB0B48"/>
    <w:rsid w:val="00DB103D"/>
    <w:rsid w:val="00DB1448"/>
    <w:rsid w:val="00DB1998"/>
    <w:rsid w:val="00DB1FC4"/>
    <w:rsid w:val="00DB21F0"/>
    <w:rsid w:val="00DB2C5F"/>
    <w:rsid w:val="00DB3A58"/>
    <w:rsid w:val="00DB3BDF"/>
    <w:rsid w:val="00DB3C58"/>
    <w:rsid w:val="00DB3D46"/>
    <w:rsid w:val="00DB401C"/>
    <w:rsid w:val="00DB46C8"/>
    <w:rsid w:val="00DB51F6"/>
    <w:rsid w:val="00DB540E"/>
    <w:rsid w:val="00DB5A63"/>
    <w:rsid w:val="00DB6166"/>
    <w:rsid w:val="00DB656B"/>
    <w:rsid w:val="00DB691E"/>
    <w:rsid w:val="00DB7070"/>
    <w:rsid w:val="00DB75A3"/>
    <w:rsid w:val="00DB799D"/>
    <w:rsid w:val="00DC0574"/>
    <w:rsid w:val="00DC0C65"/>
    <w:rsid w:val="00DC16BF"/>
    <w:rsid w:val="00DC16E1"/>
    <w:rsid w:val="00DC16FC"/>
    <w:rsid w:val="00DC1881"/>
    <w:rsid w:val="00DC1ED7"/>
    <w:rsid w:val="00DC1F9C"/>
    <w:rsid w:val="00DC2864"/>
    <w:rsid w:val="00DC2FDB"/>
    <w:rsid w:val="00DC3A6F"/>
    <w:rsid w:val="00DC3D1C"/>
    <w:rsid w:val="00DC4141"/>
    <w:rsid w:val="00DC43E1"/>
    <w:rsid w:val="00DC4EE7"/>
    <w:rsid w:val="00DC5199"/>
    <w:rsid w:val="00DC5A32"/>
    <w:rsid w:val="00DC5E4E"/>
    <w:rsid w:val="00DC651B"/>
    <w:rsid w:val="00DC662F"/>
    <w:rsid w:val="00DC6E78"/>
    <w:rsid w:val="00DC729A"/>
    <w:rsid w:val="00DC7328"/>
    <w:rsid w:val="00DC73B1"/>
    <w:rsid w:val="00DC74C8"/>
    <w:rsid w:val="00DC7519"/>
    <w:rsid w:val="00DC75C6"/>
    <w:rsid w:val="00DC7630"/>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99"/>
    <w:rsid w:val="00DD7CB6"/>
    <w:rsid w:val="00DE0077"/>
    <w:rsid w:val="00DE0137"/>
    <w:rsid w:val="00DE01BA"/>
    <w:rsid w:val="00DE0DCF"/>
    <w:rsid w:val="00DE137B"/>
    <w:rsid w:val="00DE19D9"/>
    <w:rsid w:val="00DE1DC6"/>
    <w:rsid w:val="00DE1F77"/>
    <w:rsid w:val="00DE21C6"/>
    <w:rsid w:val="00DE22AA"/>
    <w:rsid w:val="00DE288F"/>
    <w:rsid w:val="00DE2B50"/>
    <w:rsid w:val="00DE2D49"/>
    <w:rsid w:val="00DE3E66"/>
    <w:rsid w:val="00DE3F75"/>
    <w:rsid w:val="00DE45F5"/>
    <w:rsid w:val="00DE4AAD"/>
    <w:rsid w:val="00DE4C0C"/>
    <w:rsid w:val="00DE4E7E"/>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3577"/>
    <w:rsid w:val="00DF4063"/>
    <w:rsid w:val="00DF5F13"/>
    <w:rsid w:val="00DF63DD"/>
    <w:rsid w:val="00DF6B62"/>
    <w:rsid w:val="00DF7BD0"/>
    <w:rsid w:val="00DF7BDF"/>
    <w:rsid w:val="00E00303"/>
    <w:rsid w:val="00E00489"/>
    <w:rsid w:val="00E00A62"/>
    <w:rsid w:val="00E010A0"/>
    <w:rsid w:val="00E0125E"/>
    <w:rsid w:val="00E01668"/>
    <w:rsid w:val="00E0173A"/>
    <w:rsid w:val="00E01849"/>
    <w:rsid w:val="00E01B34"/>
    <w:rsid w:val="00E020D1"/>
    <w:rsid w:val="00E02B64"/>
    <w:rsid w:val="00E02EAD"/>
    <w:rsid w:val="00E03D3F"/>
    <w:rsid w:val="00E0437C"/>
    <w:rsid w:val="00E0452C"/>
    <w:rsid w:val="00E04D61"/>
    <w:rsid w:val="00E0504C"/>
    <w:rsid w:val="00E05074"/>
    <w:rsid w:val="00E05489"/>
    <w:rsid w:val="00E05741"/>
    <w:rsid w:val="00E05F7F"/>
    <w:rsid w:val="00E06930"/>
    <w:rsid w:val="00E06971"/>
    <w:rsid w:val="00E105B3"/>
    <w:rsid w:val="00E10846"/>
    <w:rsid w:val="00E108F4"/>
    <w:rsid w:val="00E10D4E"/>
    <w:rsid w:val="00E1100C"/>
    <w:rsid w:val="00E11489"/>
    <w:rsid w:val="00E11711"/>
    <w:rsid w:val="00E11E63"/>
    <w:rsid w:val="00E12696"/>
    <w:rsid w:val="00E12DEE"/>
    <w:rsid w:val="00E1310D"/>
    <w:rsid w:val="00E13359"/>
    <w:rsid w:val="00E138BF"/>
    <w:rsid w:val="00E14155"/>
    <w:rsid w:val="00E14EFA"/>
    <w:rsid w:val="00E151B9"/>
    <w:rsid w:val="00E158C4"/>
    <w:rsid w:val="00E161E6"/>
    <w:rsid w:val="00E167C9"/>
    <w:rsid w:val="00E1698C"/>
    <w:rsid w:val="00E172BE"/>
    <w:rsid w:val="00E177F6"/>
    <w:rsid w:val="00E17CF7"/>
    <w:rsid w:val="00E205D6"/>
    <w:rsid w:val="00E216EC"/>
    <w:rsid w:val="00E2189A"/>
    <w:rsid w:val="00E22B5A"/>
    <w:rsid w:val="00E22B68"/>
    <w:rsid w:val="00E231C9"/>
    <w:rsid w:val="00E23EBF"/>
    <w:rsid w:val="00E23FD5"/>
    <w:rsid w:val="00E24669"/>
    <w:rsid w:val="00E24C48"/>
    <w:rsid w:val="00E256AE"/>
    <w:rsid w:val="00E25981"/>
    <w:rsid w:val="00E26141"/>
    <w:rsid w:val="00E266F5"/>
    <w:rsid w:val="00E270D3"/>
    <w:rsid w:val="00E27FC7"/>
    <w:rsid w:val="00E30700"/>
    <w:rsid w:val="00E31360"/>
    <w:rsid w:val="00E313B7"/>
    <w:rsid w:val="00E31D28"/>
    <w:rsid w:val="00E325FF"/>
    <w:rsid w:val="00E32CB8"/>
    <w:rsid w:val="00E3440F"/>
    <w:rsid w:val="00E34F3A"/>
    <w:rsid w:val="00E35F99"/>
    <w:rsid w:val="00E35F9A"/>
    <w:rsid w:val="00E3637F"/>
    <w:rsid w:val="00E364B6"/>
    <w:rsid w:val="00E36723"/>
    <w:rsid w:val="00E3713C"/>
    <w:rsid w:val="00E3767B"/>
    <w:rsid w:val="00E37E1C"/>
    <w:rsid w:val="00E40126"/>
    <w:rsid w:val="00E40CBF"/>
    <w:rsid w:val="00E40E7D"/>
    <w:rsid w:val="00E40EE4"/>
    <w:rsid w:val="00E413C6"/>
    <w:rsid w:val="00E420D5"/>
    <w:rsid w:val="00E42517"/>
    <w:rsid w:val="00E42D55"/>
    <w:rsid w:val="00E42FFE"/>
    <w:rsid w:val="00E4316E"/>
    <w:rsid w:val="00E435AB"/>
    <w:rsid w:val="00E44275"/>
    <w:rsid w:val="00E44777"/>
    <w:rsid w:val="00E4535F"/>
    <w:rsid w:val="00E461D0"/>
    <w:rsid w:val="00E466BC"/>
    <w:rsid w:val="00E4686A"/>
    <w:rsid w:val="00E479FD"/>
    <w:rsid w:val="00E504D6"/>
    <w:rsid w:val="00E50B6F"/>
    <w:rsid w:val="00E50EBE"/>
    <w:rsid w:val="00E50F69"/>
    <w:rsid w:val="00E50FC6"/>
    <w:rsid w:val="00E517CD"/>
    <w:rsid w:val="00E52185"/>
    <w:rsid w:val="00E52372"/>
    <w:rsid w:val="00E52786"/>
    <w:rsid w:val="00E52C21"/>
    <w:rsid w:val="00E52F05"/>
    <w:rsid w:val="00E53785"/>
    <w:rsid w:val="00E540CA"/>
    <w:rsid w:val="00E55B28"/>
    <w:rsid w:val="00E56D4A"/>
    <w:rsid w:val="00E57119"/>
    <w:rsid w:val="00E5719E"/>
    <w:rsid w:val="00E57D7B"/>
    <w:rsid w:val="00E57ED4"/>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55"/>
    <w:rsid w:val="00E64595"/>
    <w:rsid w:val="00E646BB"/>
    <w:rsid w:val="00E64D24"/>
    <w:rsid w:val="00E64E69"/>
    <w:rsid w:val="00E6549C"/>
    <w:rsid w:val="00E654B9"/>
    <w:rsid w:val="00E6589D"/>
    <w:rsid w:val="00E65E8C"/>
    <w:rsid w:val="00E665E7"/>
    <w:rsid w:val="00E66C96"/>
    <w:rsid w:val="00E70130"/>
    <w:rsid w:val="00E70480"/>
    <w:rsid w:val="00E715FC"/>
    <w:rsid w:val="00E71A45"/>
    <w:rsid w:val="00E71C21"/>
    <w:rsid w:val="00E72D84"/>
    <w:rsid w:val="00E730FC"/>
    <w:rsid w:val="00E7385A"/>
    <w:rsid w:val="00E73CE6"/>
    <w:rsid w:val="00E74780"/>
    <w:rsid w:val="00E74956"/>
    <w:rsid w:val="00E752F7"/>
    <w:rsid w:val="00E75848"/>
    <w:rsid w:val="00E759D4"/>
    <w:rsid w:val="00E75C8B"/>
    <w:rsid w:val="00E76A3C"/>
    <w:rsid w:val="00E76F9B"/>
    <w:rsid w:val="00E771FC"/>
    <w:rsid w:val="00E773E5"/>
    <w:rsid w:val="00E77751"/>
    <w:rsid w:val="00E77BDD"/>
    <w:rsid w:val="00E806D3"/>
    <w:rsid w:val="00E81C34"/>
    <w:rsid w:val="00E81D83"/>
    <w:rsid w:val="00E81E92"/>
    <w:rsid w:val="00E821BB"/>
    <w:rsid w:val="00E822E9"/>
    <w:rsid w:val="00E826FE"/>
    <w:rsid w:val="00E8275E"/>
    <w:rsid w:val="00E827AF"/>
    <w:rsid w:val="00E82DE9"/>
    <w:rsid w:val="00E83253"/>
    <w:rsid w:val="00E844AB"/>
    <w:rsid w:val="00E84C97"/>
    <w:rsid w:val="00E85005"/>
    <w:rsid w:val="00E85296"/>
    <w:rsid w:val="00E8533B"/>
    <w:rsid w:val="00E8575B"/>
    <w:rsid w:val="00E85931"/>
    <w:rsid w:val="00E85E4E"/>
    <w:rsid w:val="00E862BB"/>
    <w:rsid w:val="00E86327"/>
    <w:rsid w:val="00E86DF0"/>
    <w:rsid w:val="00E87BD2"/>
    <w:rsid w:val="00E87CDC"/>
    <w:rsid w:val="00E90B33"/>
    <w:rsid w:val="00E911E0"/>
    <w:rsid w:val="00E91426"/>
    <w:rsid w:val="00E93407"/>
    <w:rsid w:val="00E940A8"/>
    <w:rsid w:val="00E94759"/>
    <w:rsid w:val="00E947E8"/>
    <w:rsid w:val="00E94B0F"/>
    <w:rsid w:val="00E9503F"/>
    <w:rsid w:val="00E96726"/>
    <w:rsid w:val="00E96E68"/>
    <w:rsid w:val="00E973BA"/>
    <w:rsid w:val="00E97EA1"/>
    <w:rsid w:val="00EA0BBE"/>
    <w:rsid w:val="00EA16FA"/>
    <w:rsid w:val="00EA1FBC"/>
    <w:rsid w:val="00EA20A1"/>
    <w:rsid w:val="00EA212B"/>
    <w:rsid w:val="00EA24FB"/>
    <w:rsid w:val="00EA2D44"/>
    <w:rsid w:val="00EA32F4"/>
    <w:rsid w:val="00EA3A1D"/>
    <w:rsid w:val="00EA3CD7"/>
    <w:rsid w:val="00EA3E2D"/>
    <w:rsid w:val="00EA429D"/>
    <w:rsid w:val="00EA43AF"/>
    <w:rsid w:val="00EA4676"/>
    <w:rsid w:val="00EA4C7C"/>
    <w:rsid w:val="00EA4D4C"/>
    <w:rsid w:val="00EA554F"/>
    <w:rsid w:val="00EA6250"/>
    <w:rsid w:val="00EA66A4"/>
    <w:rsid w:val="00EA6819"/>
    <w:rsid w:val="00EA6A1E"/>
    <w:rsid w:val="00EA75BD"/>
    <w:rsid w:val="00EA7C47"/>
    <w:rsid w:val="00EB0F0F"/>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439"/>
    <w:rsid w:val="00EC09C6"/>
    <w:rsid w:val="00EC0EA5"/>
    <w:rsid w:val="00EC1056"/>
    <w:rsid w:val="00EC1470"/>
    <w:rsid w:val="00EC222E"/>
    <w:rsid w:val="00EC25CD"/>
    <w:rsid w:val="00EC2716"/>
    <w:rsid w:val="00EC2DBB"/>
    <w:rsid w:val="00EC358E"/>
    <w:rsid w:val="00EC3F3F"/>
    <w:rsid w:val="00EC3FD2"/>
    <w:rsid w:val="00EC4095"/>
    <w:rsid w:val="00EC43B5"/>
    <w:rsid w:val="00EC4537"/>
    <w:rsid w:val="00EC4960"/>
    <w:rsid w:val="00EC4AE3"/>
    <w:rsid w:val="00EC54EE"/>
    <w:rsid w:val="00EC59B2"/>
    <w:rsid w:val="00EC5A3B"/>
    <w:rsid w:val="00EC6BCB"/>
    <w:rsid w:val="00EC786C"/>
    <w:rsid w:val="00EC7ADD"/>
    <w:rsid w:val="00ED04FE"/>
    <w:rsid w:val="00ED0DD0"/>
    <w:rsid w:val="00ED1989"/>
    <w:rsid w:val="00ED28F2"/>
    <w:rsid w:val="00ED3145"/>
    <w:rsid w:val="00ED3309"/>
    <w:rsid w:val="00ED356E"/>
    <w:rsid w:val="00ED3BDA"/>
    <w:rsid w:val="00ED3DA4"/>
    <w:rsid w:val="00ED4B67"/>
    <w:rsid w:val="00ED5A3B"/>
    <w:rsid w:val="00ED5C30"/>
    <w:rsid w:val="00ED5E02"/>
    <w:rsid w:val="00ED5EED"/>
    <w:rsid w:val="00ED6B1C"/>
    <w:rsid w:val="00ED6CF7"/>
    <w:rsid w:val="00ED6F33"/>
    <w:rsid w:val="00ED741E"/>
    <w:rsid w:val="00ED7716"/>
    <w:rsid w:val="00ED7737"/>
    <w:rsid w:val="00ED7747"/>
    <w:rsid w:val="00ED7CF4"/>
    <w:rsid w:val="00EE0EA8"/>
    <w:rsid w:val="00EE1B0E"/>
    <w:rsid w:val="00EE1CA1"/>
    <w:rsid w:val="00EE22FB"/>
    <w:rsid w:val="00EE2407"/>
    <w:rsid w:val="00EE26AE"/>
    <w:rsid w:val="00EE29C8"/>
    <w:rsid w:val="00EE2A54"/>
    <w:rsid w:val="00EE2FC2"/>
    <w:rsid w:val="00EE303D"/>
    <w:rsid w:val="00EE3B88"/>
    <w:rsid w:val="00EE4B75"/>
    <w:rsid w:val="00EE4DBD"/>
    <w:rsid w:val="00EE6025"/>
    <w:rsid w:val="00EE6AC6"/>
    <w:rsid w:val="00EE6E26"/>
    <w:rsid w:val="00EE784F"/>
    <w:rsid w:val="00EE7A1D"/>
    <w:rsid w:val="00EF0500"/>
    <w:rsid w:val="00EF1002"/>
    <w:rsid w:val="00EF139A"/>
    <w:rsid w:val="00EF143F"/>
    <w:rsid w:val="00EF23D8"/>
    <w:rsid w:val="00EF2569"/>
    <w:rsid w:val="00EF2A5A"/>
    <w:rsid w:val="00EF2A87"/>
    <w:rsid w:val="00EF3A74"/>
    <w:rsid w:val="00EF3AE9"/>
    <w:rsid w:val="00EF3EA5"/>
    <w:rsid w:val="00EF49FB"/>
    <w:rsid w:val="00EF4D23"/>
    <w:rsid w:val="00EF53B4"/>
    <w:rsid w:val="00EF55D6"/>
    <w:rsid w:val="00EF644D"/>
    <w:rsid w:val="00EF6D29"/>
    <w:rsid w:val="00EF7138"/>
    <w:rsid w:val="00EF7149"/>
    <w:rsid w:val="00EF766B"/>
    <w:rsid w:val="00F00881"/>
    <w:rsid w:val="00F00917"/>
    <w:rsid w:val="00F010BB"/>
    <w:rsid w:val="00F012C1"/>
    <w:rsid w:val="00F0175F"/>
    <w:rsid w:val="00F023EC"/>
    <w:rsid w:val="00F03280"/>
    <w:rsid w:val="00F0362A"/>
    <w:rsid w:val="00F0385C"/>
    <w:rsid w:val="00F03ABE"/>
    <w:rsid w:val="00F04345"/>
    <w:rsid w:val="00F047A4"/>
    <w:rsid w:val="00F04F52"/>
    <w:rsid w:val="00F0510F"/>
    <w:rsid w:val="00F0563F"/>
    <w:rsid w:val="00F06429"/>
    <w:rsid w:val="00F064EF"/>
    <w:rsid w:val="00F06558"/>
    <w:rsid w:val="00F067A8"/>
    <w:rsid w:val="00F06F42"/>
    <w:rsid w:val="00F07122"/>
    <w:rsid w:val="00F074C9"/>
    <w:rsid w:val="00F07C82"/>
    <w:rsid w:val="00F07F5E"/>
    <w:rsid w:val="00F1001E"/>
    <w:rsid w:val="00F106BB"/>
    <w:rsid w:val="00F11027"/>
    <w:rsid w:val="00F111BA"/>
    <w:rsid w:val="00F116DD"/>
    <w:rsid w:val="00F11D9F"/>
    <w:rsid w:val="00F11E31"/>
    <w:rsid w:val="00F12EA8"/>
    <w:rsid w:val="00F13137"/>
    <w:rsid w:val="00F13AA1"/>
    <w:rsid w:val="00F13F2A"/>
    <w:rsid w:val="00F15097"/>
    <w:rsid w:val="00F15671"/>
    <w:rsid w:val="00F15DC7"/>
    <w:rsid w:val="00F16695"/>
    <w:rsid w:val="00F202E3"/>
    <w:rsid w:val="00F20C6E"/>
    <w:rsid w:val="00F20D6C"/>
    <w:rsid w:val="00F2255F"/>
    <w:rsid w:val="00F225CF"/>
    <w:rsid w:val="00F22882"/>
    <w:rsid w:val="00F22985"/>
    <w:rsid w:val="00F22AEF"/>
    <w:rsid w:val="00F22F7A"/>
    <w:rsid w:val="00F2322E"/>
    <w:rsid w:val="00F2343C"/>
    <w:rsid w:val="00F23CBA"/>
    <w:rsid w:val="00F23CFC"/>
    <w:rsid w:val="00F24076"/>
    <w:rsid w:val="00F240CB"/>
    <w:rsid w:val="00F2492F"/>
    <w:rsid w:val="00F2500D"/>
    <w:rsid w:val="00F25742"/>
    <w:rsid w:val="00F2596D"/>
    <w:rsid w:val="00F25CAA"/>
    <w:rsid w:val="00F26AD6"/>
    <w:rsid w:val="00F2711C"/>
    <w:rsid w:val="00F277E8"/>
    <w:rsid w:val="00F27B04"/>
    <w:rsid w:val="00F27E3D"/>
    <w:rsid w:val="00F301D0"/>
    <w:rsid w:val="00F3069F"/>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6D5"/>
    <w:rsid w:val="00F361AE"/>
    <w:rsid w:val="00F36240"/>
    <w:rsid w:val="00F363EB"/>
    <w:rsid w:val="00F365DE"/>
    <w:rsid w:val="00F36764"/>
    <w:rsid w:val="00F367CF"/>
    <w:rsid w:val="00F36D37"/>
    <w:rsid w:val="00F3719A"/>
    <w:rsid w:val="00F379BF"/>
    <w:rsid w:val="00F37EA7"/>
    <w:rsid w:val="00F40805"/>
    <w:rsid w:val="00F40C5E"/>
    <w:rsid w:val="00F40CAB"/>
    <w:rsid w:val="00F40E3E"/>
    <w:rsid w:val="00F4163A"/>
    <w:rsid w:val="00F41873"/>
    <w:rsid w:val="00F419C3"/>
    <w:rsid w:val="00F41D91"/>
    <w:rsid w:val="00F41E2B"/>
    <w:rsid w:val="00F423BE"/>
    <w:rsid w:val="00F424A5"/>
    <w:rsid w:val="00F425EF"/>
    <w:rsid w:val="00F428AC"/>
    <w:rsid w:val="00F42DDA"/>
    <w:rsid w:val="00F42EE3"/>
    <w:rsid w:val="00F43660"/>
    <w:rsid w:val="00F44542"/>
    <w:rsid w:val="00F448DD"/>
    <w:rsid w:val="00F44C5F"/>
    <w:rsid w:val="00F44DB8"/>
    <w:rsid w:val="00F45760"/>
    <w:rsid w:val="00F45925"/>
    <w:rsid w:val="00F46BA6"/>
    <w:rsid w:val="00F46C97"/>
    <w:rsid w:val="00F4703E"/>
    <w:rsid w:val="00F50781"/>
    <w:rsid w:val="00F50CA3"/>
    <w:rsid w:val="00F517ED"/>
    <w:rsid w:val="00F51BE0"/>
    <w:rsid w:val="00F51F3F"/>
    <w:rsid w:val="00F528B5"/>
    <w:rsid w:val="00F528E7"/>
    <w:rsid w:val="00F52C8A"/>
    <w:rsid w:val="00F53615"/>
    <w:rsid w:val="00F53A91"/>
    <w:rsid w:val="00F54783"/>
    <w:rsid w:val="00F547E9"/>
    <w:rsid w:val="00F5494E"/>
    <w:rsid w:val="00F54ABE"/>
    <w:rsid w:val="00F5564F"/>
    <w:rsid w:val="00F55804"/>
    <w:rsid w:val="00F55F1A"/>
    <w:rsid w:val="00F56310"/>
    <w:rsid w:val="00F5684C"/>
    <w:rsid w:val="00F57210"/>
    <w:rsid w:val="00F577FC"/>
    <w:rsid w:val="00F602F0"/>
    <w:rsid w:val="00F60C90"/>
    <w:rsid w:val="00F619EE"/>
    <w:rsid w:val="00F61CF5"/>
    <w:rsid w:val="00F61FF9"/>
    <w:rsid w:val="00F62069"/>
    <w:rsid w:val="00F62159"/>
    <w:rsid w:val="00F62A7C"/>
    <w:rsid w:val="00F62B93"/>
    <w:rsid w:val="00F633E5"/>
    <w:rsid w:val="00F63C89"/>
    <w:rsid w:val="00F63E8C"/>
    <w:rsid w:val="00F64701"/>
    <w:rsid w:val="00F647EC"/>
    <w:rsid w:val="00F64FAB"/>
    <w:rsid w:val="00F65CEA"/>
    <w:rsid w:val="00F65F15"/>
    <w:rsid w:val="00F66443"/>
    <w:rsid w:val="00F670A5"/>
    <w:rsid w:val="00F675EA"/>
    <w:rsid w:val="00F7074A"/>
    <w:rsid w:val="00F71687"/>
    <w:rsid w:val="00F71708"/>
    <w:rsid w:val="00F717C1"/>
    <w:rsid w:val="00F71AB3"/>
    <w:rsid w:val="00F723A7"/>
    <w:rsid w:val="00F725D3"/>
    <w:rsid w:val="00F7281E"/>
    <w:rsid w:val="00F72C1A"/>
    <w:rsid w:val="00F72C3D"/>
    <w:rsid w:val="00F73269"/>
    <w:rsid w:val="00F737AB"/>
    <w:rsid w:val="00F74216"/>
    <w:rsid w:val="00F74F0F"/>
    <w:rsid w:val="00F751FA"/>
    <w:rsid w:val="00F75731"/>
    <w:rsid w:val="00F75841"/>
    <w:rsid w:val="00F76089"/>
    <w:rsid w:val="00F76333"/>
    <w:rsid w:val="00F77100"/>
    <w:rsid w:val="00F77C84"/>
    <w:rsid w:val="00F8090F"/>
    <w:rsid w:val="00F8139A"/>
    <w:rsid w:val="00F82AAE"/>
    <w:rsid w:val="00F834BE"/>
    <w:rsid w:val="00F838A9"/>
    <w:rsid w:val="00F849E3"/>
    <w:rsid w:val="00F84B4E"/>
    <w:rsid w:val="00F84C44"/>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7D2"/>
    <w:rsid w:val="00F95D94"/>
    <w:rsid w:val="00F96F86"/>
    <w:rsid w:val="00FA02B8"/>
    <w:rsid w:val="00FA0980"/>
    <w:rsid w:val="00FA1028"/>
    <w:rsid w:val="00FA157E"/>
    <w:rsid w:val="00FA181F"/>
    <w:rsid w:val="00FA1C1F"/>
    <w:rsid w:val="00FA1E82"/>
    <w:rsid w:val="00FA2137"/>
    <w:rsid w:val="00FA272D"/>
    <w:rsid w:val="00FA2C40"/>
    <w:rsid w:val="00FA338D"/>
    <w:rsid w:val="00FA34A2"/>
    <w:rsid w:val="00FA3742"/>
    <w:rsid w:val="00FA3837"/>
    <w:rsid w:val="00FA39FC"/>
    <w:rsid w:val="00FA3E30"/>
    <w:rsid w:val="00FA44B4"/>
    <w:rsid w:val="00FA4538"/>
    <w:rsid w:val="00FA4998"/>
    <w:rsid w:val="00FA4DC2"/>
    <w:rsid w:val="00FA67E3"/>
    <w:rsid w:val="00FA7157"/>
    <w:rsid w:val="00FA73A6"/>
    <w:rsid w:val="00FA7698"/>
    <w:rsid w:val="00FA78C2"/>
    <w:rsid w:val="00FA7A2D"/>
    <w:rsid w:val="00FA7B4F"/>
    <w:rsid w:val="00FB06E7"/>
    <w:rsid w:val="00FB06E9"/>
    <w:rsid w:val="00FB0822"/>
    <w:rsid w:val="00FB1093"/>
    <w:rsid w:val="00FB115F"/>
    <w:rsid w:val="00FB13A0"/>
    <w:rsid w:val="00FB227E"/>
    <w:rsid w:val="00FB267D"/>
    <w:rsid w:val="00FB2A18"/>
    <w:rsid w:val="00FB2BF4"/>
    <w:rsid w:val="00FB2C8D"/>
    <w:rsid w:val="00FB2DC6"/>
    <w:rsid w:val="00FB5E81"/>
    <w:rsid w:val="00FB6E6C"/>
    <w:rsid w:val="00FB71B0"/>
    <w:rsid w:val="00FB7ABA"/>
    <w:rsid w:val="00FB7C21"/>
    <w:rsid w:val="00FB7C46"/>
    <w:rsid w:val="00FC04E0"/>
    <w:rsid w:val="00FC0D98"/>
    <w:rsid w:val="00FC1042"/>
    <w:rsid w:val="00FC11C6"/>
    <w:rsid w:val="00FC1268"/>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AE7"/>
    <w:rsid w:val="00FD0B44"/>
    <w:rsid w:val="00FD0F70"/>
    <w:rsid w:val="00FD2315"/>
    <w:rsid w:val="00FD29A7"/>
    <w:rsid w:val="00FD2B15"/>
    <w:rsid w:val="00FD3092"/>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1E64"/>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624E"/>
    <w:rsid w:val="00FE6415"/>
    <w:rsid w:val="00FE69E7"/>
    <w:rsid w:val="00FE6BB8"/>
    <w:rsid w:val="00FE6DF0"/>
    <w:rsid w:val="00FE6E76"/>
    <w:rsid w:val="00FF027B"/>
    <w:rsid w:val="00FF1174"/>
    <w:rsid w:val="00FF165A"/>
    <w:rsid w:val="00FF1747"/>
    <w:rsid w:val="00FF1B72"/>
    <w:rsid w:val="00FF1CF1"/>
    <w:rsid w:val="00FF1F4C"/>
    <w:rsid w:val="00FF2076"/>
    <w:rsid w:val="00FF35DC"/>
    <w:rsid w:val="00FF3A6A"/>
    <w:rsid w:val="00FF3C7A"/>
    <w:rsid w:val="00FF3E09"/>
    <w:rsid w:val="00FF411C"/>
    <w:rsid w:val="00FF4B2E"/>
    <w:rsid w:val="00FF4E4B"/>
    <w:rsid w:val="00FF4E4E"/>
    <w:rsid w:val="00FF5049"/>
    <w:rsid w:val="00FF5D1F"/>
    <w:rsid w:val="00FF5F95"/>
    <w:rsid w:val="00FF6126"/>
    <w:rsid w:val="00FF61F5"/>
    <w:rsid w:val="00FF62AA"/>
    <w:rsid w:val="00FF64D7"/>
    <w:rsid w:val="00FF6B6C"/>
    <w:rsid w:val="00FF6D46"/>
    <w:rsid w:val="010E4264"/>
    <w:rsid w:val="01AA2C10"/>
    <w:rsid w:val="037738D8"/>
    <w:rsid w:val="03DA64D5"/>
    <w:rsid w:val="03EE579D"/>
    <w:rsid w:val="04CC22AE"/>
    <w:rsid w:val="05A96137"/>
    <w:rsid w:val="06DF0467"/>
    <w:rsid w:val="06ED7147"/>
    <w:rsid w:val="075F0692"/>
    <w:rsid w:val="08F53B23"/>
    <w:rsid w:val="091221EC"/>
    <w:rsid w:val="097633A7"/>
    <w:rsid w:val="0A070656"/>
    <w:rsid w:val="0A913ED8"/>
    <w:rsid w:val="0AB15C78"/>
    <w:rsid w:val="0B0F299D"/>
    <w:rsid w:val="0B24171E"/>
    <w:rsid w:val="0D584403"/>
    <w:rsid w:val="0F333B7C"/>
    <w:rsid w:val="101C0A97"/>
    <w:rsid w:val="101E7626"/>
    <w:rsid w:val="10F67974"/>
    <w:rsid w:val="116353E3"/>
    <w:rsid w:val="117C7228"/>
    <w:rsid w:val="1213654F"/>
    <w:rsid w:val="13977E74"/>
    <w:rsid w:val="140F6AB2"/>
    <w:rsid w:val="146F2C7A"/>
    <w:rsid w:val="149E4992"/>
    <w:rsid w:val="151E3433"/>
    <w:rsid w:val="15D7246E"/>
    <w:rsid w:val="15DB004C"/>
    <w:rsid w:val="15E81457"/>
    <w:rsid w:val="17064457"/>
    <w:rsid w:val="189439F5"/>
    <w:rsid w:val="1A442DE9"/>
    <w:rsid w:val="1BBC26CD"/>
    <w:rsid w:val="1D321E13"/>
    <w:rsid w:val="1E0471FD"/>
    <w:rsid w:val="1F462152"/>
    <w:rsid w:val="20674C4D"/>
    <w:rsid w:val="21455F84"/>
    <w:rsid w:val="21B80E46"/>
    <w:rsid w:val="224176AA"/>
    <w:rsid w:val="228C1199"/>
    <w:rsid w:val="22B60484"/>
    <w:rsid w:val="240D1563"/>
    <w:rsid w:val="24977600"/>
    <w:rsid w:val="2573210F"/>
    <w:rsid w:val="25B85A99"/>
    <w:rsid w:val="25F4310A"/>
    <w:rsid w:val="272F1A96"/>
    <w:rsid w:val="28815009"/>
    <w:rsid w:val="2913469E"/>
    <w:rsid w:val="297B0CF7"/>
    <w:rsid w:val="2A51423E"/>
    <w:rsid w:val="2AAB4039"/>
    <w:rsid w:val="2B000229"/>
    <w:rsid w:val="2B1E0D76"/>
    <w:rsid w:val="2C6C6B02"/>
    <w:rsid w:val="2C8933F2"/>
    <w:rsid w:val="2E992581"/>
    <w:rsid w:val="2EDD2DD9"/>
    <w:rsid w:val="2EFA61AC"/>
    <w:rsid w:val="2F723467"/>
    <w:rsid w:val="326C0551"/>
    <w:rsid w:val="32A02B99"/>
    <w:rsid w:val="339806CE"/>
    <w:rsid w:val="33D414D0"/>
    <w:rsid w:val="342B7064"/>
    <w:rsid w:val="35CD358A"/>
    <w:rsid w:val="37467D39"/>
    <w:rsid w:val="385F359C"/>
    <w:rsid w:val="39043836"/>
    <w:rsid w:val="3B407142"/>
    <w:rsid w:val="3B83340C"/>
    <w:rsid w:val="3BA80B19"/>
    <w:rsid w:val="3BD278B5"/>
    <w:rsid w:val="3C4240EC"/>
    <w:rsid w:val="3CFE449C"/>
    <w:rsid w:val="3D5B4B3B"/>
    <w:rsid w:val="3F3A1FEB"/>
    <w:rsid w:val="40885740"/>
    <w:rsid w:val="41084A3F"/>
    <w:rsid w:val="411D5B20"/>
    <w:rsid w:val="41244028"/>
    <w:rsid w:val="420025C1"/>
    <w:rsid w:val="42253D73"/>
    <w:rsid w:val="44EE262E"/>
    <w:rsid w:val="46D24C3B"/>
    <w:rsid w:val="47843179"/>
    <w:rsid w:val="48BE4421"/>
    <w:rsid w:val="4A3D29C4"/>
    <w:rsid w:val="4BBC0DF6"/>
    <w:rsid w:val="4C455E93"/>
    <w:rsid w:val="4DB43E22"/>
    <w:rsid w:val="4E406760"/>
    <w:rsid w:val="4E6268C7"/>
    <w:rsid w:val="4EAC5711"/>
    <w:rsid w:val="4EDA0D8F"/>
    <w:rsid w:val="4FB4174C"/>
    <w:rsid w:val="504301B5"/>
    <w:rsid w:val="51B2004B"/>
    <w:rsid w:val="51E87B6F"/>
    <w:rsid w:val="521765DE"/>
    <w:rsid w:val="529B1FE0"/>
    <w:rsid w:val="53B11E10"/>
    <w:rsid w:val="545072A1"/>
    <w:rsid w:val="55622629"/>
    <w:rsid w:val="557701D2"/>
    <w:rsid w:val="55D85CD1"/>
    <w:rsid w:val="57295D4A"/>
    <w:rsid w:val="59960B11"/>
    <w:rsid w:val="5A3A2DDD"/>
    <w:rsid w:val="5A563FC2"/>
    <w:rsid w:val="5AE16DC9"/>
    <w:rsid w:val="60153554"/>
    <w:rsid w:val="60447752"/>
    <w:rsid w:val="608154DB"/>
    <w:rsid w:val="63A14D89"/>
    <w:rsid w:val="64441196"/>
    <w:rsid w:val="65752997"/>
    <w:rsid w:val="66DE607E"/>
    <w:rsid w:val="68C70FC8"/>
    <w:rsid w:val="68CE6F38"/>
    <w:rsid w:val="68D41C2A"/>
    <w:rsid w:val="6A73365E"/>
    <w:rsid w:val="6B241A17"/>
    <w:rsid w:val="6E9C0F6F"/>
    <w:rsid w:val="7103031A"/>
    <w:rsid w:val="71AD7318"/>
    <w:rsid w:val="726D70E7"/>
    <w:rsid w:val="74F80B33"/>
    <w:rsid w:val="75AD060A"/>
    <w:rsid w:val="761F28A3"/>
    <w:rsid w:val="76275962"/>
    <w:rsid w:val="77CC74DE"/>
    <w:rsid w:val="7867CFD2"/>
    <w:rsid w:val="7B1403CC"/>
    <w:rsid w:val="7B713DD3"/>
    <w:rsid w:val="7C9C4E59"/>
    <w:rsid w:val="7F7F269A"/>
    <w:rsid w:val="7FF6E55D"/>
    <w:rsid w:val="BCDEBBFD"/>
    <w:rsid w:val="DEFE3CEF"/>
    <w:rsid w:val="FF33A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0"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6"/>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77"/>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104"/>
    <w:unhideWhenUsed/>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7"/>
    <w:link w:val="78"/>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79"/>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80"/>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1"/>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6"/>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index 5"/>
    <w:basedOn w:val="1"/>
    <w:next w:val="1"/>
    <w:qFormat/>
    <w:uiPriority w:val="0"/>
    <w:pPr>
      <w:ind w:left="1680" w:firstLine="880" w:firstLineChars="200"/>
    </w:pPr>
    <w:rPr>
      <w:rFonts w:ascii="Calibri" w:hAnsi="Calibri" w:eastAsia="仿宋"/>
      <w:sz w:val="28"/>
    </w:rPr>
  </w:style>
  <w:style w:type="paragraph" w:styleId="16">
    <w:name w:val="annotation text"/>
    <w:basedOn w:val="1"/>
    <w:link w:val="60"/>
    <w:unhideWhenUsed/>
    <w:qFormat/>
    <w:uiPriority w:val="0"/>
    <w:pPr>
      <w:jc w:val="left"/>
    </w:pPr>
  </w:style>
  <w:style w:type="paragraph" w:styleId="17">
    <w:name w:val="Body Text 3"/>
    <w:basedOn w:val="1"/>
    <w:link w:val="63"/>
    <w:qFormat/>
    <w:uiPriority w:val="0"/>
    <w:pPr>
      <w:spacing w:line="500" w:lineRule="exact"/>
    </w:pPr>
    <w:rPr>
      <w:b/>
      <w:bCs/>
      <w:kern w:val="0"/>
      <w:sz w:val="24"/>
    </w:rPr>
  </w:style>
  <w:style w:type="paragraph" w:styleId="18">
    <w:name w:val="List Bullet 3"/>
    <w:basedOn w:val="1"/>
    <w:qFormat/>
    <w:uiPriority w:val="0"/>
    <w:pPr>
      <w:numPr>
        <w:ilvl w:val="0"/>
        <w:numId w:val="2"/>
      </w:numPr>
      <w:ind w:firstLine="200" w:firstLineChars="200"/>
    </w:pPr>
    <w:rPr>
      <w:rFonts w:ascii="Calibri" w:hAnsi="Calibri" w:eastAsia="仿宋"/>
      <w:sz w:val="28"/>
    </w:rPr>
  </w:style>
  <w:style w:type="paragraph" w:styleId="19">
    <w:name w:val="Body Text"/>
    <w:basedOn w:val="1"/>
    <w:next w:val="1"/>
    <w:link w:val="81"/>
    <w:qFormat/>
    <w:uiPriority w:val="0"/>
    <w:pPr>
      <w:spacing w:line="380" w:lineRule="exact"/>
    </w:pPr>
    <w:rPr>
      <w:kern w:val="0"/>
      <w:sz w:val="24"/>
    </w:rPr>
  </w:style>
  <w:style w:type="paragraph" w:styleId="20">
    <w:name w:val="Body Text Indent"/>
    <w:basedOn w:val="1"/>
    <w:link w:val="82"/>
    <w:qFormat/>
    <w:uiPriority w:val="0"/>
    <w:pPr>
      <w:ind w:firstLine="830" w:firstLineChars="352"/>
    </w:pPr>
    <w:rPr>
      <w:rFonts w:ascii="仿宋_GB2312" w:eastAsia="仿宋_GB2312"/>
      <w:kern w:val="0"/>
      <w:sz w:val="32"/>
      <w:szCs w:val="20"/>
    </w:rPr>
  </w:style>
  <w:style w:type="paragraph" w:styleId="21">
    <w:name w:val="List Number 3"/>
    <w:basedOn w:val="1"/>
    <w:qFormat/>
    <w:uiPriority w:val="0"/>
    <w:pPr>
      <w:numPr>
        <w:ilvl w:val="0"/>
        <w:numId w:val="3"/>
      </w:numPr>
    </w:pPr>
  </w:style>
  <w:style w:type="paragraph" w:styleId="22">
    <w:name w:val="List 2"/>
    <w:basedOn w:val="1"/>
    <w:qFormat/>
    <w:uiPriority w:val="0"/>
    <w:pPr>
      <w:ind w:left="100" w:leftChars="200" w:hanging="200" w:hangingChars="200"/>
    </w:pPr>
    <w:rPr>
      <w:sz w:val="28"/>
    </w:rPr>
  </w:style>
  <w:style w:type="paragraph" w:styleId="23">
    <w:name w:val="Block Text"/>
    <w:basedOn w:val="1"/>
    <w:next w:val="19"/>
    <w:qFormat/>
    <w:uiPriority w:val="0"/>
    <w:pPr>
      <w:spacing w:after="120"/>
      <w:ind w:left="1440" w:leftChars="700" w:right="700" w:rightChars="700" w:firstLine="880" w:firstLineChars="200"/>
    </w:pPr>
    <w:rPr>
      <w:rFonts w:ascii="Calibri" w:hAnsi="Calibri" w:eastAsia="仿宋"/>
      <w:sz w:val="28"/>
    </w:rPr>
  </w:style>
  <w:style w:type="paragraph" w:styleId="24">
    <w:name w:val="toc 5"/>
    <w:basedOn w:val="1"/>
    <w:next w:val="1"/>
    <w:unhideWhenUsed/>
    <w:qFormat/>
    <w:uiPriority w:val="39"/>
    <w:pPr>
      <w:ind w:left="1680" w:leftChars="800"/>
    </w:pPr>
    <w:rPr>
      <w:rFonts w:ascii="Calibri" w:hAnsi="Calibri"/>
      <w:szCs w:val="22"/>
    </w:rPr>
  </w:style>
  <w:style w:type="paragraph" w:styleId="25">
    <w:name w:val="toc 3"/>
    <w:basedOn w:val="1"/>
    <w:next w:val="1"/>
    <w:unhideWhenUsed/>
    <w:qFormat/>
    <w:uiPriority w:val="0"/>
    <w:pPr>
      <w:ind w:left="840" w:leftChars="400"/>
    </w:pPr>
    <w:rPr>
      <w:rFonts w:ascii="Calibri" w:hAnsi="Calibri"/>
      <w:szCs w:val="22"/>
    </w:rPr>
  </w:style>
  <w:style w:type="paragraph" w:styleId="26">
    <w:name w:val="Plain Text"/>
    <w:basedOn w:val="1"/>
    <w:link w:val="83"/>
    <w:qFormat/>
    <w:uiPriority w:val="0"/>
    <w:rPr>
      <w:rFonts w:ascii="宋体" w:hAnsi="Courier New"/>
      <w:kern w:val="0"/>
      <w:sz w:val="20"/>
      <w:szCs w:val="21"/>
    </w:rPr>
  </w:style>
  <w:style w:type="paragraph" w:styleId="27">
    <w:name w:val="toc 8"/>
    <w:basedOn w:val="1"/>
    <w:next w:val="1"/>
    <w:unhideWhenUsed/>
    <w:qFormat/>
    <w:uiPriority w:val="39"/>
    <w:pPr>
      <w:ind w:left="2940" w:leftChars="1400"/>
    </w:pPr>
    <w:rPr>
      <w:rFonts w:ascii="Calibri" w:hAnsi="Calibri"/>
      <w:szCs w:val="22"/>
    </w:rPr>
  </w:style>
  <w:style w:type="paragraph" w:styleId="28">
    <w:name w:val="Date"/>
    <w:basedOn w:val="1"/>
    <w:next w:val="1"/>
    <w:link w:val="84"/>
    <w:qFormat/>
    <w:uiPriority w:val="0"/>
    <w:pPr>
      <w:ind w:left="100" w:leftChars="2500"/>
    </w:pPr>
    <w:rPr>
      <w:rFonts w:ascii="宋体" w:hAnsi="Courier New"/>
      <w:kern w:val="0"/>
      <w:sz w:val="20"/>
      <w:szCs w:val="21"/>
    </w:rPr>
  </w:style>
  <w:style w:type="paragraph" w:styleId="29">
    <w:name w:val="Body Text Indent 2"/>
    <w:basedOn w:val="1"/>
    <w:link w:val="85"/>
    <w:qFormat/>
    <w:uiPriority w:val="0"/>
    <w:pPr>
      <w:ind w:firstLine="630"/>
    </w:pPr>
    <w:rPr>
      <w:kern w:val="0"/>
      <w:sz w:val="32"/>
      <w:szCs w:val="20"/>
    </w:rPr>
  </w:style>
  <w:style w:type="paragraph" w:styleId="30">
    <w:name w:val="endnote text"/>
    <w:basedOn w:val="1"/>
    <w:link w:val="68"/>
    <w:unhideWhenUsed/>
    <w:qFormat/>
    <w:uiPriority w:val="99"/>
    <w:pPr>
      <w:snapToGrid w:val="0"/>
      <w:jc w:val="left"/>
    </w:pPr>
  </w:style>
  <w:style w:type="paragraph" w:styleId="31">
    <w:name w:val="Balloon Text"/>
    <w:basedOn w:val="1"/>
    <w:link w:val="86"/>
    <w:qFormat/>
    <w:uiPriority w:val="0"/>
    <w:rPr>
      <w:kern w:val="0"/>
      <w:sz w:val="18"/>
      <w:szCs w:val="18"/>
    </w:rPr>
  </w:style>
  <w:style w:type="paragraph" w:styleId="32">
    <w:name w:val="footer"/>
    <w:basedOn w:val="1"/>
    <w:link w:val="87"/>
    <w:unhideWhenUsed/>
    <w:qFormat/>
    <w:uiPriority w:val="0"/>
    <w:pPr>
      <w:tabs>
        <w:tab w:val="center" w:pos="4153"/>
        <w:tab w:val="right" w:pos="8306"/>
      </w:tabs>
      <w:snapToGrid w:val="0"/>
      <w:jc w:val="left"/>
    </w:pPr>
    <w:rPr>
      <w:kern w:val="0"/>
      <w:sz w:val="18"/>
      <w:szCs w:val="18"/>
    </w:rPr>
  </w:style>
  <w:style w:type="paragraph" w:styleId="33">
    <w:name w:val="header"/>
    <w:basedOn w:val="1"/>
    <w:link w:val="88"/>
    <w:unhideWhenUsed/>
    <w:qFormat/>
    <w:uiPriority w:val="0"/>
    <w:pPr>
      <w:pBdr>
        <w:bottom w:val="single" w:color="auto" w:sz="6" w:space="1"/>
      </w:pBdr>
      <w:tabs>
        <w:tab w:val="center" w:pos="0"/>
        <w:tab w:val="lef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5">
    <w:name w:val="toc 4"/>
    <w:basedOn w:val="1"/>
    <w:next w:val="1"/>
    <w:unhideWhenUsed/>
    <w:qFormat/>
    <w:uiPriority w:val="39"/>
    <w:pPr>
      <w:ind w:left="1260" w:leftChars="600"/>
    </w:pPr>
    <w:rPr>
      <w:rFonts w:ascii="Calibri" w:hAnsi="Calibri"/>
      <w:szCs w:val="22"/>
    </w:rPr>
  </w:style>
  <w:style w:type="paragraph" w:styleId="36">
    <w:name w:val="List"/>
    <w:basedOn w:val="1"/>
    <w:qFormat/>
    <w:uiPriority w:val="99"/>
    <w:pPr>
      <w:ind w:left="200" w:hanging="200" w:hangingChars="200"/>
    </w:pPr>
    <w:rPr>
      <w:sz w:val="28"/>
    </w:rPr>
  </w:style>
  <w:style w:type="paragraph" w:styleId="37">
    <w:name w:val="footnote text"/>
    <w:basedOn w:val="1"/>
    <w:link w:val="89"/>
    <w:unhideWhenUsed/>
    <w:qFormat/>
    <w:uiPriority w:val="0"/>
    <w:pPr>
      <w:snapToGrid w:val="0"/>
      <w:jc w:val="left"/>
    </w:pPr>
    <w:rPr>
      <w:sz w:val="18"/>
      <w:szCs w:val="18"/>
    </w:rPr>
  </w:style>
  <w:style w:type="paragraph" w:styleId="38">
    <w:name w:val="toc 6"/>
    <w:basedOn w:val="1"/>
    <w:next w:val="1"/>
    <w:unhideWhenUsed/>
    <w:qFormat/>
    <w:uiPriority w:val="39"/>
    <w:pPr>
      <w:ind w:left="2100" w:leftChars="1000"/>
    </w:pPr>
    <w:rPr>
      <w:rFonts w:ascii="Calibri" w:hAnsi="Calibri"/>
      <w:szCs w:val="22"/>
    </w:rPr>
  </w:style>
  <w:style w:type="paragraph" w:styleId="39">
    <w:name w:val="Body Text Indent 3"/>
    <w:basedOn w:val="1"/>
    <w:link w:val="90"/>
    <w:qFormat/>
    <w:uiPriority w:val="0"/>
    <w:pPr>
      <w:spacing w:after="120"/>
      <w:ind w:left="420" w:leftChars="200"/>
    </w:pPr>
    <w:rPr>
      <w:kern w:val="0"/>
      <w:sz w:val="16"/>
      <w:szCs w:val="16"/>
    </w:rPr>
  </w:style>
  <w:style w:type="paragraph" w:styleId="40">
    <w:name w:val="toc 2"/>
    <w:basedOn w:val="1"/>
    <w:next w:val="1"/>
    <w:unhideWhenUsed/>
    <w:qFormat/>
    <w:uiPriority w:val="0"/>
    <w:pPr>
      <w:ind w:left="420" w:leftChars="200"/>
    </w:pPr>
  </w:style>
  <w:style w:type="paragraph" w:styleId="41">
    <w:name w:val="toc 9"/>
    <w:basedOn w:val="1"/>
    <w:next w:val="1"/>
    <w:unhideWhenUsed/>
    <w:qFormat/>
    <w:uiPriority w:val="39"/>
    <w:pPr>
      <w:ind w:left="3360" w:leftChars="1600"/>
    </w:pPr>
    <w:rPr>
      <w:rFonts w:ascii="Calibri" w:hAnsi="Calibri"/>
      <w:szCs w:val="22"/>
    </w:rPr>
  </w:style>
  <w:style w:type="paragraph" w:styleId="42">
    <w:name w:val="Body Text 2"/>
    <w:basedOn w:val="1"/>
    <w:link w:val="91"/>
    <w:qFormat/>
    <w:uiPriority w:val="0"/>
    <w:pPr>
      <w:spacing w:after="120" w:line="480" w:lineRule="auto"/>
    </w:pPr>
    <w:rPr>
      <w:kern w:val="0"/>
      <w:sz w:val="20"/>
    </w:rPr>
  </w:style>
  <w:style w:type="paragraph" w:styleId="43">
    <w:name w:val="HTML Preformatted"/>
    <w:basedOn w:val="1"/>
    <w:link w:val="10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80" w:firstLineChars="200"/>
      <w:jc w:val="left"/>
    </w:pPr>
    <w:rPr>
      <w:rFonts w:hint="eastAsia" w:ascii="宋体" w:hAnsi="宋体"/>
      <w:kern w:val="0"/>
      <w:sz w:val="24"/>
    </w:rPr>
  </w:style>
  <w:style w:type="paragraph" w:styleId="44">
    <w:name w:val="Normal (Web)"/>
    <w:basedOn w:val="1"/>
    <w:qFormat/>
    <w:uiPriority w:val="0"/>
    <w:pPr>
      <w:widowControl/>
      <w:spacing w:before="100" w:beforeAutospacing="1" w:after="100" w:afterAutospacing="1"/>
      <w:jc w:val="left"/>
    </w:pPr>
    <w:rPr>
      <w:rFonts w:ascii="宋体" w:hAnsi="宋体"/>
      <w:kern w:val="0"/>
      <w:sz w:val="24"/>
    </w:rPr>
  </w:style>
  <w:style w:type="paragraph" w:styleId="45">
    <w:name w:val="index 1"/>
    <w:basedOn w:val="1"/>
    <w:next w:val="1"/>
    <w:semiHidden/>
    <w:qFormat/>
    <w:uiPriority w:val="0"/>
    <w:pPr>
      <w:spacing w:line="400" w:lineRule="exact"/>
      <w:ind w:firstLine="420" w:firstLineChars="200"/>
    </w:pPr>
    <w:rPr>
      <w:rFonts w:ascii="宋体" w:hAnsi="Courier New"/>
      <w:b/>
      <w:szCs w:val="20"/>
    </w:rPr>
  </w:style>
  <w:style w:type="paragraph" w:styleId="46">
    <w:name w:val="Title"/>
    <w:basedOn w:val="1"/>
    <w:next w:val="1"/>
    <w:link w:val="70"/>
    <w:qFormat/>
    <w:uiPriority w:val="10"/>
    <w:pPr>
      <w:spacing w:before="240" w:after="60"/>
      <w:jc w:val="center"/>
      <w:outlineLvl w:val="0"/>
    </w:pPr>
    <w:rPr>
      <w:rFonts w:ascii="Cambria" w:hAnsi="Cambria"/>
      <w:b/>
      <w:bCs/>
      <w:sz w:val="32"/>
      <w:szCs w:val="32"/>
    </w:rPr>
  </w:style>
  <w:style w:type="paragraph" w:styleId="47">
    <w:name w:val="annotation subject"/>
    <w:basedOn w:val="16"/>
    <w:next w:val="16"/>
    <w:link w:val="64"/>
    <w:unhideWhenUsed/>
    <w:qFormat/>
    <w:uiPriority w:val="99"/>
    <w:rPr>
      <w:b/>
      <w:bCs/>
    </w:r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rPr>
  </w:style>
  <w:style w:type="character" w:styleId="52">
    <w:name w:val="endnote reference"/>
    <w:unhideWhenUsed/>
    <w:qFormat/>
    <w:uiPriority w:val="99"/>
    <w:rPr>
      <w:vertAlign w:val="superscript"/>
    </w:rPr>
  </w:style>
  <w:style w:type="character" w:styleId="53">
    <w:name w:val="page number"/>
    <w:qFormat/>
    <w:uiPriority w:val="0"/>
  </w:style>
  <w:style w:type="character" w:styleId="54">
    <w:name w:val="FollowedHyperlink"/>
    <w:qFormat/>
    <w:uiPriority w:val="0"/>
    <w:rPr>
      <w:color w:val="800080"/>
      <w:u w:val="single"/>
    </w:rPr>
  </w:style>
  <w:style w:type="character" w:styleId="55">
    <w:name w:val="Hyperlink"/>
    <w:qFormat/>
    <w:uiPriority w:val="99"/>
    <w:rPr>
      <w:color w:val="0000FF"/>
      <w:u w:val="single"/>
    </w:rPr>
  </w:style>
  <w:style w:type="character" w:styleId="56">
    <w:name w:val="annotation reference"/>
    <w:unhideWhenUsed/>
    <w:qFormat/>
    <w:uiPriority w:val="99"/>
    <w:rPr>
      <w:sz w:val="21"/>
      <w:szCs w:val="21"/>
    </w:rPr>
  </w:style>
  <w:style w:type="character" w:styleId="57">
    <w:name w:val="footnote reference"/>
    <w:unhideWhenUsed/>
    <w:qFormat/>
    <w:uiPriority w:val="99"/>
    <w:rPr>
      <w:vertAlign w:val="superscript"/>
    </w:rPr>
  </w:style>
  <w:style w:type="paragraph" w:customStyle="1" w:styleId="58">
    <w:name w:val="01 正文-首行缩进2字符"/>
    <w:basedOn w:val="1"/>
    <w:qFormat/>
    <w:uiPriority w:val="0"/>
    <w:pPr>
      <w:spacing w:beforeLines="50" w:afterLines="50"/>
      <w:ind w:firstLine="964" w:firstLineChars="200"/>
    </w:pPr>
    <w:rPr>
      <w:rFonts w:ascii="Arial" w:hAnsi="Arial" w:eastAsia="仿宋"/>
      <w:color w:val="000000"/>
      <w:sz w:val="28"/>
    </w:rPr>
  </w:style>
  <w:style w:type="character" w:customStyle="1" w:styleId="59">
    <w:name w:val="apple-style-span"/>
    <w:qFormat/>
    <w:uiPriority w:val="0"/>
  </w:style>
  <w:style w:type="character" w:customStyle="1" w:styleId="60">
    <w:name w:val="批注文字 Char2"/>
    <w:link w:val="16"/>
    <w:qFormat/>
    <w:uiPriority w:val="0"/>
    <w:rPr>
      <w:rFonts w:ascii="Times New Roman" w:hAnsi="Times New Roman"/>
      <w:kern w:val="2"/>
      <w:sz w:val="21"/>
      <w:szCs w:val="24"/>
    </w:rPr>
  </w:style>
  <w:style w:type="character" w:customStyle="1" w:styleId="61">
    <w:name w:val="标题 8 Char"/>
    <w:link w:val="10"/>
    <w:qFormat/>
    <w:uiPriority w:val="0"/>
    <w:rPr>
      <w:rFonts w:ascii="Arial" w:hAnsi="Arial" w:eastAsia="黑体"/>
      <w:kern w:val="2"/>
      <w:sz w:val="24"/>
      <w:szCs w:val="24"/>
    </w:rPr>
  </w:style>
  <w:style w:type="character" w:customStyle="1" w:styleId="62">
    <w:name w:val="批注文字 字符"/>
    <w:qFormat/>
    <w:uiPriority w:val="0"/>
    <w:rPr>
      <w:rFonts w:ascii="Times New Roman" w:hAnsi="Times New Roman"/>
      <w:kern w:val="2"/>
      <w:sz w:val="21"/>
      <w:szCs w:val="24"/>
    </w:rPr>
  </w:style>
  <w:style w:type="character" w:customStyle="1" w:styleId="63">
    <w:name w:val="正文文本 3 Char"/>
    <w:link w:val="17"/>
    <w:qFormat/>
    <w:uiPriority w:val="0"/>
    <w:rPr>
      <w:rFonts w:ascii="Times New Roman" w:hAnsi="Times New Roman" w:eastAsia="宋体" w:cs="Times New Roman"/>
      <w:b/>
      <w:bCs/>
      <w:sz w:val="24"/>
      <w:szCs w:val="24"/>
    </w:rPr>
  </w:style>
  <w:style w:type="character" w:customStyle="1" w:styleId="64">
    <w:name w:val="批注主题 Char"/>
    <w:link w:val="47"/>
    <w:semiHidden/>
    <w:qFormat/>
    <w:uiPriority w:val="99"/>
    <w:rPr>
      <w:rFonts w:ascii="Times New Roman" w:hAnsi="Times New Roman"/>
      <w:b/>
      <w:bCs/>
      <w:kern w:val="2"/>
      <w:sz w:val="21"/>
      <w:szCs w:val="24"/>
    </w:rPr>
  </w:style>
  <w:style w:type="character" w:customStyle="1" w:styleId="65">
    <w:name w:val="font121"/>
    <w:qFormat/>
    <w:uiPriority w:val="0"/>
    <w:rPr>
      <w:rFonts w:ascii="Arial" w:hAnsi="Arial" w:cs="Arial"/>
      <w:color w:val="000000"/>
      <w:sz w:val="20"/>
      <w:szCs w:val="20"/>
      <w:u w:val="none"/>
    </w:rPr>
  </w:style>
  <w:style w:type="character" w:customStyle="1" w:styleId="66">
    <w:name w:val="标题 9 Char"/>
    <w:link w:val="11"/>
    <w:qFormat/>
    <w:uiPriority w:val="0"/>
    <w:rPr>
      <w:rFonts w:ascii="Arial" w:hAnsi="Arial" w:eastAsia="黑体"/>
      <w:kern w:val="2"/>
      <w:sz w:val="21"/>
      <w:szCs w:val="24"/>
    </w:rPr>
  </w:style>
  <w:style w:type="character" w:customStyle="1" w:styleId="67">
    <w:name w:val="正文文本缩进 字符"/>
    <w:qFormat/>
    <w:uiPriority w:val="0"/>
    <w:rPr>
      <w:rFonts w:ascii="仿宋_GB2312" w:hAnsi="Times New Roman" w:eastAsia="仿宋_GB2312" w:cs="Times New Roman"/>
      <w:sz w:val="32"/>
      <w:szCs w:val="20"/>
    </w:rPr>
  </w:style>
  <w:style w:type="character" w:customStyle="1" w:styleId="68">
    <w:name w:val="尾注文本 Char"/>
    <w:link w:val="30"/>
    <w:semiHidden/>
    <w:qFormat/>
    <w:uiPriority w:val="99"/>
    <w:rPr>
      <w:rFonts w:ascii="Times New Roman" w:hAnsi="Times New Roman"/>
      <w:kern w:val="2"/>
      <w:sz w:val="21"/>
      <w:szCs w:val="24"/>
    </w:rPr>
  </w:style>
  <w:style w:type="character" w:customStyle="1" w:styleId="69">
    <w:name w:val="纯文本 字符"/>
    <w:qFormat/>
    <w:uiPriority w:val="0"/>
    <w:rPr>
      <w:rFonts w:ascii="宋体" w:hAnsi="Courier New" w:eastAsia="宋体" w:cs="Courier New"/>
      <w:szCs w:val="21"/>
    </w:rPr>
  </w:style>
  <w:style w:type="character" w:customStyle="1" w:styleId="70">
    <w:name w:val="标题 Char"/>
    <w:link w:val="46"/>
    <w:qFormat/>
    <w:uiPriority w:val="10"/>
    <w:rPr>
      <w:rFonts w:ascii="Cambria" w:hAnsi="Cambria" w:cs="Times New Roman"/>
      <w:b/>
      <w:bCs/>
      <w:kern w:val="2"/>
      <w:sz w:val="32"/>
      <w:szCs w:val="32"/>
    </w:rPr>
  </w:style>
  <w:style w:type="character" w:customStyle="1" w:styleId="71">
    <w:name w:val="font131"/>
    <w:qFormat/>
    <w:uiPriority w:val="0"/>
    <w:rPr>
      <w:rFonts w:ascii="Arial" w:hAnsi="Arial" w:cs="Arial"/>
      <w:color w:val="000000"/>
      <w:sz w:val="20"/>
      <w:szCs w:val="20"/>
      <w:u w:val="none"/>
    </w:rPr>
  </w:style>
  <w:style w:type="character" w:customStyle="1" w:styleId="72">
    <w:name w:val="font101"/>
    <w:qFormat/>
    <w:uiPriority w:val="0"/>
    <w:rPr>
      <w:rFonts w:hint="eastAsia" w:ascii="宋体" w:hAnsi="宋体" w:eastAsia="宋体" w:cs="宋体"/>
      <w:color w:val="000000"/>
      <w:sz w:val="20"/>
      <w:szCs w:val="20"/>
      <w:u w:val="none"/>
    </w:rPr>
  </w:style>
  <w:style w:type="character" w:customStyle="1" w:styleId="73">
    <w:name w:val="font41"/>
    <w:qFormat/>
    <w:uiPriority w:val="0"/>
    <w:rPr>
      <w:rFonts w:hint="eastAsia" w:ascii="宋体" w:hAnsi="宋体" w:eastAsia="宋体" w:cs="宋体"/>
      <w:color w:val="000000"/>
      <w:sz w:val="24"/>
      <w:szCs w:val="24"/>
      <w:u w:val="none"/>
    </w:rPr>
  </w:style>
  <w:style w:type="character" w:customStyle="1" w:styleId="74">
    <w:name w:val="标题 1 Char"/>
    <w:link w:val="2"/>
    <w:qFormat/>
    <w:uiPriority w:val="0"/>
    <w:rPr>
      <w:rFonts w:ascii="Times New Roman" w:hAnsi="Times New Roman" w:eastAsia="宋体" w:cs="Times New Roman"/>
      <w:b/>
      <w:bCs/>
      <w:kern w:val="44"/>
      <w:sz w:val="44"/>
      <w:szCs w:val="44"/>
    </w:rPr>
  </w:style>
  <w:style w:type="character" w:customStyle="1" w:styleId="75">
    <w:name w:val="font01"/>
    <w:qFormat/>
    <w:uiPriority w:val="0"/>
    <w:rPr>
      <w:rFonts w:hint="eastAsia" w:ascii="宋体" w:hAnsi="宋体" w:eastAsia="宋体" w:cs="宋体"/>
      <w:color w:val="000000"/>
      <w:sz w:val="18"/>
      <w:szCs w:val="18"/>
      <w:u w:val="none"/>
    </w:rPr>
  </w:style>
  <w:style w:type="character" w:customStyle="1" w:styleId="76">
    <w:name w:val="标题 2 Char"/>
    <w:link w:val="3"/>
    <w:qFormat/>
    <w:uiPriority w:val="0"/>
    <w:rPr>
      <w:rFonts w:ascii="Arial" w:hAnsi="Arial" w:eastAsia="黑体" w:cs="Times New Roman"/>
      <w:b/>
      <w:bCs/>
      <w:sz w:val="32"/>
      <w:szCs w:val="32"/>
    </w:rPr>
  </w:style>
  <w:style w:type="character" w:customStyle="1" w:styleId="77">
    <w:name w:val="标题 3 Char"/>
    <w:link w:val="4"/>
    <w:qFormat/>
    <w:uiPriority w:val="0"/>
    <w:rPr>
      <w:rFonts w:ascii="Times New Roman" w:hAnsi="Times New Roman" w:eastAsia="宋体" w:cs="Times New Roman"/>
      <w:b/>
      <w:bCs/>
      <w:sz w:val="32"/>
      <w:szCs w:val="32"/>
    </w:rPr>
  </w:style>
  <w:style w:type="character" w:customStyle="1" w:styleId="78">
    <w:name w:val="标题 5 Char1"/>
    <w:link w:val="6"/>
    <w:qFormat/>
    <w:uiPriority w:val="0"/>
    <w:rPr>
      <w:b/>
      <w:kern w:val="2"/>
      <w:sz w:val="28"/>
      <w:szCs w:val="24"/>
    </w:rPr>
  </w:style>
  <w:style w:type="character" w:customStyle="1" w:styleId="79">
    <w:name w:val="标题 6 Char"/>
    <w:link w:val="8"/>
    <w:qFormat/>
    <w:uiPriority w:val="0"/>
    <w:rPr>
      <w:rFonts w:ascii="Arial" w:hAnsi="Arial" w:eastAsia="黑体"/>
      <w:b/>
      <w:kern w:val="2"/>
      <w:sz w:val="24"/>
      <w:szCs w:val="24"/>
    </w:rPr>
  </w:style>
  <w:style w:type="character" w:customStyle="1" w:styleId="80">
    <w:name w:val="标题 7 Char"/>
    <w:link w:val="9"/>
    <w:qFormat/>
    <w:uiPriority w:val="0"/>
    <w:rPr>
      <w:rFonts w:ascii="Times New Roman" w:hAnsi="Times New Roman"/>
      <w:b/>
      <w:kern w:val="2"/>
      <w:sz w:val="24"/>
      <w:szCs w:val="24"/>
    </w:rPr>
  </w:style>
  <w:style w:type="character" w:customStyle="1" w:styleId="81">
    <w:name w:val="正文文本 Char"/>
    <w:link w:val="19"/>
    <w:qFormat/>
    <w:uiPriority w:val="99"/>
    <w:rPr>
      <w:rFonts w:ascii="Times New Roman" w:hAnsi="Times New Roman" w:eastAsia="宋体" w:cs="Times New Roman"/>
      <w:sz w:val="24"/>
      <w:szCs w:val="24"/>
    </w:rPr>
  </w:style>
  <w:style w:type="character" w:customStyle="1" w:styleId="82">
    <w:name w:val="正文文本缩进 Char"/>
    <w:link w:val="20"/>
    <w:qFormat/>
    <w:uiPriority w:val="0"/>
    <w:rPr>
      <w:rFonts w:ascii="仿宋_GB2312" w:hAnsi="Times New Roman" w:eastAsia="仿宋_GB2312" w:cs="Times New Roman"/>
      <w:sz w:val="32"/>
      <w:szCs w:val="20"/>
    </w:rPr>
  </w:style>
  <w:style w:type="character" w:customStyle="1" w:styleId="83">
    <w:name w:val="纯文本 Char"/>
    <w:link w:val="26"/>
    <w:qFormat/>
    <w:uiPriority w:val="0"/>
    <w:rPr>
      <w:rFonts w:ascii="宋体" w:hAnsi="Courier New" w:eastAsia="宋体" w:cs="Courier New"/>
      <w:szCs w:val="21"/>
    </w:rPr>
  </w:style>
  <w:style w:type="character" w:customStyle="1" w:styleId="84">
    <w:name w:val="日期 Char"/>
    <w:link w:val="28"/>
    <w:qFormat/>
    <w:uiPriority w:val="0"/>
    <w:rPr>
      <w:rFonts w:ascii="宋体" w:hAnsi="Courier New" w:eastAsia="宋体" w:cs="Courier New"/>
      <w:szCs w:val="21"/>
    </w:rPr>
  </w:style>
  <w:style w:type="character" w:customStyle="1" w:styleId="85">
    <w:name w:val="正文文本缩进 2 Char"/>
    <w:link w:val="29"/>
    <w:qFormat/>
    <w:uiPriority w:val="0"/>
    <w:rPr>
      <w:rFonts w:ascii="Times New Roman" w:hAnsi="Times New Roman" w:eastAsia="宋体" w:cs="Times New Roman"/>
      <w:sz w:val="32"/>
      <w:szCs w:val="20"/>
    </w:rPr>
  </w:style>
  <w:style w:type="character" w:customStyle="1" w:styleId="86">
    <w:name w:val="批注框文本 Char"/>
    <w:link w:val="31"/>
    <w:qFormat/>
    <w:uiPriority w:val="0"/>
    <w:rPr>
      <w:rFonts w:ascii="Times New Roman" w:hAnsi="Times New Roman" w:eastAsia="宋体" w:cs="Times New Roman"/>
      <w:sz w:val="18"/>
      <w:szCs w:val="18"/>
    </w:rPr>
  </w:style>
  <w:style w:type="character" w:customStyle="1" w:styleId="87">
    <w:name w:val="页脚 Char"/>
    <w:link w:val="32"/>
    <w:qFormat/>
    <w:uiPriority w:val="99"/>
    <w:rPr>
      <w:sz w:val="18"/>
      <w:szCs w:val="18"/>
    </w:rPr>
  </w:style>
  <w:style w:type="character" w:customStyle="1" w:styleId="88">
    <w:name w:val="页眉 Char"/>
    <w:link w:val="33"/>
    <w:qFormat/>
    <w:uiPriority w:val="99"/>
    <w:rPr>
      <w:rFonts w:ascii="Times New Roman" w:hAnsi="Times New Roman"/>
      <w:kern w:val="2"/>
      <w:sz w:val="18"/>
      <w:szCs w:val="18"/>
    </w:rPr>
  </w:style>
  <w:style w:type="character" w:customStyle="1" w:styleId="89">
    <w:name w:val="脚注文本 Char"/>
    <w:link w:val="37"/>
    <w:semiHidden/>
    <w:qFormat/>
    <w:uiPriority w:val="99"/>
    <w:rPr>
      <w:rFonts w:ascii="Times New Roman" w:hAnsi="Times New Roman"/>
      <w:kern w:val="2"/>
      <w:sz w:val="18"/>
      <w:szCs w:val="18"/>
    </w:rPr>
  </w:style>
  <w:style w:type="character" w:customStyle="1" w:styleId="90">
    <w:name w:val="正文文本缩进 3 Char"/>
    <w:link w:val="39"/>
    <w:qFormat/>
    <w:uiPriority w:val="0"/>
    <w:rPr>
      <w:rFonts w:ascii="Times New Roman" w:hAnsi="Times New Roman" w:eastAsia="宋体" w:cs="Times New Roman"/>
      <w:sz w:val="16"/>
      <w:szCs w:val="16"/>
    </w:rPr>
  </w:style>
  <w:style w:type="character" w:customStyle="1" w:styleId="91">
    <w:name w:val="正文文本 2 Char"/>
    <w:link w:val="42"/>
    <w:qFormat/>
    <w:uiPriority w:val="0"/>
    <w:rPr>
      <w:rFonts w:ascii="Times New Roman" w:hAnsi="Times New Roman" w:eastAsia="宋体" w:cs="Times New Roman"/>
      <w:szCs w:val="24"/>
    </w:rPr>
  </w:style>
  <w:style w:type="character" w:customStyle="1" w:styleId="9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3">
    <w:name w:val="批注文字 Char"/>
    <w:qFormat/>
    <w:uiPriority w:val="0"/>
    <w:rPr>
      <w:rFonts w:ascii="Times New Roman" w:hAnsi="Times New Roman"/>
      <w:kern w:val="2"/>
      <w:sz w:val="21"/>
      <w:szCs w:val="24"/>
    </w:rPr>
  </w:style>
  <w:style w:type="character" w:customStyle="1" w:styleId="94">
    <w:name w:val="标题 1 字符"/>
    <w:qFormat/>
    <w:uiPriority w:val="9"/>
    <w:rPr>
      <w:rFonts w:ascii="Times New Roman" w:hAnsi="Times New Roman" w:eastAsia="宋体" w:cs="Times New Roman"/>
      <w:b/>
      <w:bCs/>
      <w:kern w:val="44"/>
      <w:sz w:val="44"/>
      <w:szCs w:val="44"/>
    </w:rPr>
  </w:style>
  <w:style w:type="character" w:customStyle="1" w:styleId="95">
    <w:name w:val="批注文字 Char1"/>
    <w:semiHidden/>
    <w:qFormat/>
    <w:locked/>
    <w:uiPriority w:val="0"/>
    <w:rPr>
      <w:rFonts w:ascii="Times New Roman" w:hAnsi="Times New Roman"/>
      <w:kern w:val="2"/>
      <w:sz w:val="21"/>
      <w:szCs w:val="24"/>
    </w:rPr>
  </w:style>
  <w:style w:type="character" w:customStyle="1" w:styleId="96">
    <w:name w:val="headline-content4"/>
    <w:qFormat/>
    <w:uiPriority w:val="0"/>
  </w:style>
  <w:style w:type="character" w:customStyle="1" w:styleId="97">
    <w:name w:val="纯文本 字符1"/>
    <w:qFormat/>
    <w:uiPriority w:val="0"/>
    <w:rPr>
      <w:rFonts w:ascii="宋体" w:hAnsi="Courier New"/>
    </w:rPr>
  </w:style>
  <w:style w:type="character" w:customStyle="1" w:styleId="98">
    <w:name w:val="标题 5 Char"/>
    <w:qFormat/>
    <w:uiPriority w:val="0"/>
    <w:rPr>
      <w:b/>
      <w:kern w:val="2"/>
      <w:sz w:val="28"/>
      <w:szCs w:val="24"/>
    </w:rPr>
  </w:style>
  <w:style w:type="character" w:customStyle="1" w:styleId="99">
    <w:name w:val="textcontents"/>
    <w:qFormat/>
    <w:uiPriority w:val="0"/>
  </w:style>
  <w:style w:type="character" w:customStyle="1" w:styleId="100">
    <w:name w:val="普通文字 Char Char2"/>
    <w:qFormat/>
    <w:uiPriority w:val="0"/>
    <w:rPr>
      <w:rFonts w:ascii="宋体" w:hAnsi="Courier New" w:eastAsia="宋体"/>
      <w:kern w:val="2"/>
      <w:sz w:val="21"/>
      <w:lang w:val="en-US" w:eastAsia="zh-CN" w:bidi="ar-SA"/>
    </w:rPr>
  </w:style>
  <w:style w:type="character" w:customStyle="1" w:styleId="101">
    <w:name w:val="case31"/>
    <w:qFormat/>
    <w:uiPriority w:val="0"/>
    <w:rPr>
      <w:rFonts w:hint="default" w:ascii="_x000B__x000C_" w:hAnsi="_x000B__x000C_"/>
      <w:sz w:val="21"/>
      <w:szCs w:val="21"/>
    </w:rPr>
  </w:style>
  <w:style w:type="character" w:customStyle="1" w:styleId="102">
    <w:name w:val="纯文本 字符3"/>
    <w:qFormat/>
    <w:uiPriority w:val="0"/>
    <w:rPr>
      <w:rFonts w:ascii="宋体" w:hAnsi="Courier New" w:eastAsia="宋体" w:cs="Courier New"/>
      <w:szCs w:val="21"/>
    </w:rPr>
  </w:style>
  <w:style w:type="character" w:customStyle="1" w:styleId="103">
    <w:name w:val="NormalCharacter"/>
    <w:qFormat/>
    <w:uiPriority w:val="0"/>
  </w:style>
  <w:style w:type="character" w:customStyle="1" w:styleId="104">
    <w:name w:val="标题 4 Char"/>
    <w:link w:val="5"/>
    <w:semiHidden/>
    <w:qFormat/>
    <w:uiPriority w:val="9"/>
    <w:rPr>
      <w:rFonts w:ascii="Cambria" w:hAnsi="Cambria" w:eastAsia="宋体" w:cs="Times New Roman"/>
      <w:b/>
      <w:bCs/>
      <w:kern w:val="2"/>
      <w:sz w:val="28"/>
      <w:szCs w:val="28"/>
    </w:rPr>
  </w:style>
  <w:style w:type="character" w:customStyle="1" w:styleId="105">
    <w:name w:val="HTML 预设格式 Char"/>
    <w:link w:val="43"/>
    <w:qFormat/>
    <w:uiPriority w:val="0"/>
    <w:rPr>
      <w:rFonts w:ascii="宋体" w:hAnsi="宋体"/>
      <w:sz w:val="24"/>
      <w:szCs w:val="24"/>
    </w:rPr>
  </w:style>
  <w:style w:type="character" w:customStyle="1" w:styleId="106">
    <w:name w:val="font21"/>
    <w:qFormat/>
    <w:uiPriority w:val="0"/>
    <w:rPr>
      <w:rFonts w:hint="eastAsia" w:ascii="宋体" w:hAnsi="宋体" w:eastAsia="宋体" w:cs="宋体"/>
      <w:color w:val="000000"/>
      <w:sz w:val="18"/>
      <w:szCs w:val="18"/>
      <w:u w:val="none"/>
    </w:rPr>
  </w:style>
  <w:style w:type="character" w:customStyle="1" w:styleId="107">
    <w:name w:val="font11"/>
    <w:qFormat/>
    <w:uiPriority w:val="0"/>
    <w:rPr>
      <w:rFonts w:hint="eastAsia" w:ascii="宋体" w:hAnsi="宋体" w:eastAsia="宋体" w:cs="宋体"/>
      <w:color w:val="FF0000"/>
      <w:sz w:val="18"/>
      <w:szCs w:val="18"/>
      <w:u w:val="none"/>
    </w:rPr>
  </w:style>
  <w:style w:type="character" w:customStyle="1" w:styleId="108">
    <w:name w:val="font141"/>
    <w:qFormat/>
    <w:uiPriority w:val="0"/>
    <w:rPr>
      <w:rFonts w:hint="eastAsia" w:ascii="宋体" w:hAnsi="宋体" w:eastAsia="宋体" w:cs="宋体"/>
      <w:color w:val="000000"/>
      <w:sz w:val="20"/>
      <w:szCs w:val="20"/>
      <w:u w:val="none"/>
    </w:rPr>
  </w:style>
  <w:style w:type="character" w:customStyle="1" w:styleId="109">
    <w:name w:val="font81"/>
    <w:qFormat/>
    <w:uiPriority w:val="0"/>
    <w:rPr>
      <w:rFonts w:hint="eastAsia" w:ascii="宋体" w:hAnsi="宋体" w:eastAsia="宋体" w:cs="宋体"/>
      <w:color w:val="FF0000"/>
      <w:sz w:val="18"/>
      <w:szCs w:val="18"/>
      <w:u w:val="none"/>
    </w:rPr>
  </w:style>
  <w:style w:type="character" w:customStyle="1" w:styleId="110">
    <w:name w:val="font31"/>
    <w:qFormat/>
    <w:uiPriority w:val="0"/>
    <w:rPr>
      <w:rFonts w:hint="eastAsia" w:ascii="仿宋" w:hAnsi="仿宋" w:eastAsia="仿宋" w:cs="仿宋"/>
      <w:color w:val="000000"/>
      <w:sz w:val="24"/>
      <w:szCs w:val="24"/>
      <w:u w:val="none"/>
    </w:rPr>
  </w:style>
  <w:style w:type="character" w:customStyle="1" w:styleId="111">
    <w:name w:val="font51"/>
    <w:qFormat/>
    <w:uiPriority w:val="0"/>
    <w:rPr>
      <w:rFonts w:hint="eastAsia" w:ascii="宋体" w:hAnsi="宋体" w:eastAsia="宋体" w:cs="宋体"/>
      <w:color w:val="FF0000"/>
      <w:sz w:val="18"/>
      <w:szCs w:val="18"/>
      <w:u w:val="none"/>
    </w:rPr>
  </w:style>
  <w:style w:type="character" w:customStyle="1" w:styleId="112">
    <w:name w:val="font91"/>
    <w:qFormat/>
    <w:uiPriority w:val="0"/>
    <w:rPr>
      <w:rFonts w:ascii="Arial" w:hAnsi="Arial" w:cs="Arial"/>
      <w:color w:val="000000"/>
      <w:sz w:val="20"/>
      <w:szCs w:val="20"/>
      <w:u w:val="none"/>
    </w:rPr>
  </w:style>
  <w:style w:type="character" w:customStyle="1" w:styleId="113">
    <w:name w:val="font112"/>
    <w:qFormat/>
    <w:uiPriority w:val="0"/>
    <w:rPr>
      <w:rFonts w:hint="eastAsia" w:ascii="宋体" w:hAnsi="宋体" w:eastAsia="宋体" w:cs="宋体"/>
      <w:color w:val="000000"/>
      <w:sz w:val="20"/>
      <w:szCs w:val="20"/>
      <w:u w:val="none"/>
    </w:rPr>
  </w:style>
  <w:style w:type="paragraph" w:customStyle="1" w:styleId="114">
    <w:name w:val="正文首行缩进两字符"/>
    <w:basedOn w:val="1"/>
    <w:qFormat/>
    <w:uiPriority w:val="0"/>
    <w:pPr>
      <w:spacing w:line="360" w:lineRule="auto"/>
      <w:ind w:firstLine="200" w:firstLineChars="200"/>
    </w:pPr>
  </w:style>
  <w:style w:type="paragraph" w:customStyle="1" w:styleId="115">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6">
    <w:name w:val="样式 首行缩进:  2 字符"/>
    <w:basedOn w:val="1"/>
    <w:qFormat/>
    <w:uiPriority w:val="0"/>
    <w:pPr>
      <w:spacing w:line="400" w:lineRule="exact"/>
      <w:ind w:firstLine="200" w:firstLineChars="200"/>
    </w:pPr>
    <w:rPr>
      <w:rFonts w:cs="宋体"/>
      <w:sz w:val="24"/>
    </w:rPr>
  </w:style>
  <w:style w:type="paragraph" w:customStyle="1" w:styleId="117">
    <w:name w:val="Default"/>
    <w:next w:val="1"/>
    <w:qFormat/>
    <w:uiPriority w:val="0"/>
    <w:pPr>
      <w:autoSpaceDE w:val="0"/>
      <w:autoSpaceDN w:val="0"/>
      <w:adjustRightInd w:val="0"/>
    </w:pPr>
    <w:rPr>
      <w:rFonts w:ascii="宋体" w:hAnsi="Times New Roman" w:eastAsia="宋体" w:cs="宋体"/>
      <w:color w:val="000000"/>
      <w:sz w:val="24"/>
      <w:szCs w:val="24"/>
      <w:lang w:val="en-US" w:eastAsia="zh-CN" w:bidi="ar-SA"/>
    </w:rPr>
  </w:style>
  <w:style w:type="paragraph" w:customStyle="1" w:styleId="118">
    <w:name w:val="表格"/>
    <w:basedOn w:val="1"/>
    <w:qFormat/>
    <w:uiPriority w:val="0"/>
    <w:pPr>
      <w:spacing w:line="400" w:lineRule="exact"/>
    </w:pPr>
    <w:rPr>
      <w:sz w:val="24"/>
    </w:rPr>
  </w:style>
  <w:style w:type="paragraph" w:customStyle="1" w:styleId="119">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20">
    <w:name w:val="Char1"/>
    <w:basedOn w:val="1"/>
    <w:qFormat/>
    <w:uiPriority w:val="0"/>
    <w:rPr>
      <w:szCs w:val="21"/>
    </w:rPr>
  </w:style>
  <w:style w:type="paragraph" w:styleId="121">
    <w:name w:val="List Paragraph"/>
    <w:basedOn w:val="1"/>
    <w:qFormat/>
    <w:uiPriority w:val="0"/>
    <w:pPr>
      <w:ind w:firstLine="420" w:firstLineChars="200"/>
    </w:pPr>
  </w:style>
  <w:style w:type="paragraph" w:customStyle="1" w:styleId="122">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23">
    <w:name w:val="正文段"/>
    <w:basedOn w:val="1"/>
    <w:qFormat/>
    <w:uiPriority w:val="0"/>
    <w:pPr>
      <w:widowControl/>
      <w:snapToGrid w:val="0"/>
      <w:spacing w:after="50" w:afterLines="50"/>
      <w:ind w:firstLine="200" w:firstLineChars="200"/>
    </w:pPr>
    <w:rPr>
      <w:kern w:val="0"/>
      <w:sz w:val="24"/>
      <w:szCs w:val="20"/>
    </w:rPr>
  </w:style>
  <w:style w:type="paragraph" w:customStyle="1" w:styleId="124">
    <w:name w:val="纯文本1"/>
    <w:basedOn w:val="1"/>
    <w:qFormat/>
    <w:uiPriority w:val="0"/>
    <w:rPr>
      <w:rFonts w:ascii="宋体" w:hAnsi="Courier New" w:cs="Century"/>
      <w:szCs w:val="21"/>
    </w:rPr>
  </w:style>
  <w:style w:type="paragraph" w:customStyle="1" w:styleId="125">
    <w:name w:val="Table Paragraph"/>
    <w:basedOn w:val="1"/>
    <w:qFormat/>
    <w:uiPriority w:val="1"/>
    <w:pPr>
      <w:jc w:val="left"/>
    </w:pPr>
    <w:rPr>
      <w:rFonts w:ascii="Calibri" w:hAnsi="Calibri"/>
      <w:kern w:val="0"/>
      <w:sz w:val="22"/>
      <w:szCs w:val="22"/>
      <w:lang w:eastAsia="en-US"/>
    </w:rPr>
  </w:style>
  <w:style w:type="paragraph" w:customStyle="1" w:styleId="126">
    <w:name w:val="默认段落字体 Para Char Char Char Char Char Char Char Char Char1 Char Char Char Char"/>
    <w:basedOn w:val="1"/>
    <w:qFormat/>
    <w:uiPriority w:val="0"/>
    <w:rPr>
      <w:rFonts w:ascii="Tahoma" w:hAnsi="Tahoma"/>
      <w:sz w:val="24"/>
      <w:szCs w:val="20"/>
    </w:rPr>
  </w:style>
  <w:style w:type="paragraph" w:customStyle="1" w:styleId="12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28">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29">
    <w:name w:val="投标文件格式"/>
    <w:basedOn w:val="1"/>
    <w:qFormat/>
    <w:uiPriority w:val="0"/>
    <w:pPr>
      <w:autoSpaceDE w:val="0"/>
      <w:autoSpaceDN w:val="0"/>
      <w:adjustRightInd w:val="0"/>
      <w:snapToGrid w:val="0"/>
      <w:spacing w:line="360" w:lineRule="auto"/>
      <w:ind w:firstLine="560" w:firstLineChars="200"/>
      <w:jc w:val="left"/>
    </w:pPr>
    <w:rPr>
      <w:rFonts w:ascii="仿宋_GB2312" w:hAnsi="宋体" w:eastAsia="仿宋_GB2312" w:cs="SimSun,Bold"/>
      <w:kern w:val="0"/>
      <w:sz w:val="28"/>
      <w:szCs w:val="28"/>
    </w:rPr>
  </w:style>
  <w:style w:type="paragraph" w:customStyle="1" w:styleId="130">
    <w:name w:val="佛山投标文件格式"/>
    <w:basedOn w:val="1"/>
    <w:qFormat/>
    <w:uiPriority w:val="0"/>
    <w:pPr>
      <w:autoSpaceDE w:val="0"/>
      <w:autoSpaceDN w:val="0"/>
      <w:adjustRightInd w:val="0"/>
      <w:snapToGrid w:val="0"/>
      <w:spacing w:line="360" w:lineRule="auto"/>
      <w:ind w:firstLine="480" w:firstLineChars="200"/>
      <w:jc w:val="left"/>
    </w:pPr>
    <w:rPr>
      <w:rFonts w:ascii="宋体" w:hAnsi="宋体" w:eastAsia="仿宋" w:cs="SimSun,Bold"/>
      <w:bCs/>
      <w:kern w:val="0"/>
      <w:sz w:val="24"/>
    </w:rPr>
  </w:style>
  <w:style w:type="table" w:customStyle="1" w:styleId="131">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table" w:customStyle="1" w:styleId="132">
    <w:name w:val="网格型1"/>
    <w:basedOn w:val="48"/>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102</Pages>
  <Words>54507</Words>
  <Characters>56798</Characters>
  <Lines>468</Lines>
  <Paragraphs>131</Paragraphs>
  <TotalTime>105</TotalTime>
  <ScaleCrop>false</ScaleCrop>
  <LinksUpToDate>false</LinksUpToDate>
  <CharactersWithSpaces>62858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2024-06-04T04:13:00Z</dcterms:created>
  <dc:creator>番茄花园</dc:creator>
  <cp:lastModifiedBy>剑剑剑剑剑剑</cp:lastModifiedBy>
  <cp:lastPrinted>2024-06-11T08:34:00Z</cp:lastPrinted>
  <dcterms:modified xsi:type="dcterms:W3CDTF">2024-07-04T14:50:50Z</dcterms:modified>
  <dc:title>公开招标采购文件范本</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EB70ADC0425B4C7B927F1F8821C4C2E1_13</vt:lpwstr>
  </property>
</Properties>
</file>