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w w:val="100"/>
          <w:sz w:val="32"/>
          <w:szCs w:val="32"/>
          <w:u w:val="none"/>
          <w:shd w:val="clear" w:color="auto" w:fill="FFFFFF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广西壮族自治区重污染天气消除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rPr>
          <w:rFonts w:hint="eastAsia" w:ascii="Times New Roman" w:hAnsi="Times New Roman" w:eastAsia="方正小标宋_GBK"/>
          <w:color w:val="000000"/>
          <w:sz w:val="44"/>
          <w:szCs w:val="44"/>
          <w:u w:val="singl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攻坚行动实施方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600" w:lineRule="exact"/>
        <w:ind w:left="0" w:leftChars="0" w:right="0" w:rightChars="0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600" w:lineRule="exact"/>
        <w:ind w:left="0" w:leftChars="0" w:right="0" w:rightChars="0" w:firstLine="640" w:firstLineChars="200"/>
        <w:textAlignment w:val="auto"/>
        <w:rPr>
          <w:rFonts w:hint="eastAsia" w:ascii="黑体" w:eastAsia="黑体"/>
          <w:sz w:val="32"/>
          <w:szCs w:val="32"/>
          <w:u w:val="none"/>
        </w:rPr>
      </w:pPr>
      <w:r>
        <w:rPr>
          <w:rFonts w:hint="eastAsia" w:ascii="黑体" w:eastAsia="黑体"/>
          <w:sz w:val="32"/>
          <w:szCs w:val="32"/>
          <w:u w:val="none"/>
        </w:rPr>
        <w:t>一、总体要求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</w:rPr>
        <w:t>（一）攻坚目标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Autospacing="0" w:line="600" w:lineRule="exact"/>
        <w:ind w:left="0" w:leftChars="0" w:right="0" w:rightChars="0" w:firstLine="616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spacing w:val="0"/>
          <w:sz w:val="32"/>
          <w:szCs w:val="32"/>
          <w:u w:val="none"/>
        </w:rPr>
        <w:t>到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2025</w:t>
      </w:r>
      <w:r>
        <w:rPr>
          <w:rFonts w:hint="default" w:ascii="Times New Roman" w:hAnsi="Times New Roman" w:eastAsia="仿宋" w:cs="Times New Roman"/>
          <w:spacing w:val="0"/>
          <w:sz w:val="32"/>
          <w:szCs w:val="32"/>
          <w:u w:val="none"/>
        </w:rPr>
        <w:t>年，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u w:val="none"/>
          <w:lang w:eastAsia="zh-CN"/>
        </w:rPr>
        <w:t>全区重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u w:val="none"/>
        </w:rPr>
        <w:t>度及以上</w:t>
      </w:r>
      <w:r>
        <w:rPr>
          <w:rFonts w:hint="default" w:ascii="Times New Roman" w:hAnsi="Times New Roman" w:eastAsia="仿宋" w:cs="Times New Roman"/>
          <w:color w:val="auto"/>
          <w:spacing w:val="0"/>
          <w:position w:val="1"/>
          <w:sz w:val="32"/>
          <w:szCs w:val="32"/>
          <w:u w:val="none"/>
        </w:rPr>
        <w:t>污染天数比率控制</w:t>
      </w:r>
      <w:r>
        <w:rPr>
          <w:rFonts w:hint="default" w:ascii="Times New Roman" w:hAnsi="Times New Roman" w:eastAsia="仿宋" w:cs="Times New Roman"/>
          <w:color w:val="auto"/>
          <w:position w:val="1"/>
          <w:sz w:val="32"/>
          <w:szCs w:val="32"/>
          <w:u w:val="none"/>
        </w:rPr>
        <w:t>在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u w:val="none"/>
          <w:lang w:val="en-US" w:eastAsia="zh-CN"/>
        </w:rPr>
        <w:t>0.0%</w:t>
      </w:r>
      <w:r>
        <w:rPr>
          <w:rFonts w:hint="default" w:ascii="Times New Roman" w:hAnsi="Times New Roman" w:eastAsia="仿宋" w:cs="Times New Roman"/>
          <w:color w:val="auto"/>
          <w:spacing w:val="0"/>
          <w:position w:val="1"/>
          <w:sz w:val="32"/>
          <w:szCs w:val="32"/>
          <w:u w:val="none"/>
        </w:rPr>
        <w:t>以内，</w:t>
      </w:r>
      <w:r>
        <w:rPr>
          <w:rFonts w:hint="default" w:ascii="Times New Roman" w:hAnsi="Times New Roman" w:eastAsia="仿宋" w:cs="Times New Roman"/>
          <w:color w:val="auto"/>
          <w:spacing w:val="0"/>
          <w:position w:val="1"/>
          <w:sz w:val="32"/>
          <w:szCs w:val="32"/>
          <w:u w:val="none"/>
          <w:lang w:eastAsia="zh-CN"/>
        </w:rPr>
        <w:t>各</w:t>
      </w:r>
      <w:r>
        <w:rPr>
          <w:rFonts w:hint="default" w:ascii="Times New Roman" w:hAnsi="Times New Roman" w:eastAsia="仿宋" w:cs="Times New Roman"/>
          <w:spacing w:val="0"/>
          <w:position w:val="1"/>
          <w:sz w:val="32"/>
          <w:szCs w:val="32"/>
          <w:u w:val="none"/>
          <w:lang w:val="en-US" w:eastAsia="zh-CN"/>
        </w:rPr>
        <w:t>设区</w:t>
      </w:r>
      <w:r>
        <w:rPr>
          <w:rFonts w:hint="default" w:ascii="Times New Roman" w:hAnsi="Times New Roman" w:eastAsia="仿宋" w:cs="Times New Roman"/>
          <w:color w:val="auto"/>
          <w:spacing w:val="0"/>
          <w:position w:val="1"/>
          <w:sz w:val="32"/>
          <w:szCs w:val="32"/>
          <w:u w:val="none"/>
          <w:lang w:val="en-US" w:eastAsia="zh-CN"/>
        </w:rPr>
        <w:t>市</w:t>
      </w:r>
      <w:r>
        <w:rPr>
          <w:rFonts w:hint="default" w:ascii="Times New Roman" w:hAnsi="Times New Roman" w:eastAsia="仿宋" w:cs="Times New Roman"/>
          <w:spacing w:val="0"/>
          <w:position w:val="1"/>
          <w:sz w:val="32"/>
          <w:szCs w:val="32"/>
          <w:u w:val="none"/>
        </w:rPr>
        <w:t>消</w:t>
      </w:r>
      <w:r>
        <w:rPr>
          <w:rFonts w:hint="default" w:ascii="Times New Roman" w:hAnsi="Times New Roman" w:eastAsia="仿宋" w:cs="Times New Roman"/>
          <w:position w:val="1"/>
          <w:sz w:val="32"/>
          <w:szCs w:val="32"/>
          <w:u w:val="none"/>
        </w:rPr>
        <w:t>除</w:t>
      </w:r>
      <w:r>
        <w:rPr>
          <w:rFonts w:hint="default" w:ascii="Times New Roman" w:hAnsi="Times New Roman" w:eastAsia="仿宋" w:cs="Times New Roman"/>
          <w:spacing w:val="0"/>
          <w:sz w:val="32"/>
          <w:szCs w:val="32"/>
          <w:u w:val="none"/>
        </w:rPr>
        <w:t>重污染天气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u w:val="none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</w:rPr>
        <w:t>（二）攻坚思路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Autospacing="0" w:line="600" w:lineRule="exact"/>
        <w:ind w:left="0" w:leftChars="0" w:right="0" w:rightChars="0" w:firstLine="6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坚持源头防控、系统治理，以钢铁、焦化、建材、有色、石化、化工、工业涂装等行业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和</w:t>
      </w:r>
      <w:r>
        <w:rPr>
          <w:rFonts w:hint="eastAsia" w:ascii="仿宋" w:hAnsi="仿宋" w:eastAsia="仿宋" w:cs="仿宋"/>
          <w:sz w:val="32"/>
          <w:szCs w:val="32"/>
          <w:u w:val="none"/>
        </w:rPr>
        <w:t>柴油货车、秸秆焚烧等领域为重点，全面提升污染治理水平。坚持突出重点、分区施策，聚焦细颗粒物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（PM</w:t>
      </w:r>
      <w:r>
        <w:rPr>
          <w:rFonts w:hint="default" w:ascii="Times New Roman" w:hAnsi="Times New Roman" w:eastAsia="仿宋" w:cs="Times New Roman"/>
          <w:position w:val="-3"/>
          <w:sz w:val="32"/>
          <w:szCs w:val="32"/>
          <w:u w:val="none"/>
          <w:vertAlign w:val="subscript"/>
        </w:rPr>
        <w:t>2.5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）</w:t>
      </w:r>
      <w:r>
        <w:rPr>
          <w:rFonts w:hint="eastAsia" w:ascii="仿宋" w:hAnsi="仿宋" w:eastAsia="仿宋" w:cs="仿宋"/>
          <w:sz w:val="32"/>
          <w:szCs w:val="32"/>
          <w:u w:val="none"/>
        </w:rPr>
        <w:t>污染，以秋冬季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（10月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—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次年3月）</w:t>
      </w:r>
      <w:r>
        <w:rPr>
          <w:rFonts w:hint="eastAsia" w:ascii="仿宋" w:hAnsi="仿宋" w:eastAsia="仿宋" w:cs="仿宋"/>
          <w:sz w:val="32"/>
          <w:szCs w:val="32"/>
          <w:u w:val="none"/>
        </w:rPr>
        <w:t>为重点时段，根据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各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设区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  <w:u w:val="none"/>
        </w:rPr>
        <w:t>污染特征，提出针对性攻坚措施。坚持科学研判、协同应对，强化重污染天气应对全过程科技支撑，提升空气质量预测预报能力，强化区域协作机制，精准有效应对重污染天气。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600" w:lineRule="exact"/>
        <w:ind w:left="0" w:leftChars="0" w:right="0" w:rightChars="0" w:firstLine="640" w:firstLineChars="200"/>
        <w:textAlignment w:val="auto"/>
        <w:rPr>
          <w:rFonts w:hint="eastAsia" w:ascii="黑体" w:eastAsia="黑体"/>
          <w:sz w:val="32"/>
          <w:szCs w:val="32"/>
          <w:u w:val="none"/>
        </w:rPr>
      </w:pPr>
      <w:r>
        <w:rPr>
          <w:rFonts w:hint="eastAsia" w:ascii="黑体" w:eastAsia="黑体"/>
          <w:sz w:val="32"/>
          <w:szCs w:val="32"/>
          <w:u w:val="none"/>
        </w:rPr>
        <w:t>二、大气减污降碳协同增效行动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b/>
          <w:spacing w:val="0"/>
          <w:sz w:val="32"/>
          <w:szCs w:val="32"/>
          <w:u w:val="none"/>
        </w:rPr>
        <w:t>推动产业结构和布局优化调整。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</w:rPr>
        <w:t>坚决遏制高耗能、高排放、低水平项目盲目发展，严格落实国家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  <w:lang w:eastAsia="zh-CN"/>
        </w:rPr>
        <w:t>、自治区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</w:rPr>
        <w:t>产业规划、产业政策、“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  <w:lang w:eastAsia="zh-CN"/>
        </w:rPr>
        <w:t>三线一单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</w:rPr>
        <w:t>”、规划环评，以及产能置换、煤炭消费减量替代、区域污染物削减等要求，坚决叫停不符合要求的高耗能、高排放、低水平项目。依法依规退出重点行业落后产能，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  <w:lang w:val="en-US" w:eastAsia="zh-CN"/>
        </w:rPr>
        <w:t>根据国家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u w:val="none"/>
          <w:lang w:val="en-US" w:eastAsia="zh-CN"/>
        </w:rPr>
        <w:t>修订的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</w:rPr>
        <w:t>《产业结构调整指导目录》，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  <w:lang w:eastAsia="zh-CN"/>
        </w:rPr>
        <w:t>按要求淘汰或限制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</w:rPr>
        <w:t>大气污染物排放强度高、治理难度大的工艺和装备。推行钢铁、焦化、烧结一体化布局，有序推动长流程炼钢转型为电炉短流程炼钢。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u w:val="none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自治区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u w:val="none"/>
        </w:rPr>
        <w:t>发展改革委、工业和信息化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厅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u w:val="none"/>
        </w:rPr>
        <w:t>、生态环境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厅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u w:val="none"/>
        </w:rPr>
        <w:t>等按职责分工负责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u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00"/>
        <w:jc w:val="both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b/>
          <w:spacing w:val="0"/>
          <w:sz w:val="32"/>
          <w:szCs w:val="32"/>
          <w:u w:val="none"/>
        </w:rPr>
        <w:t>推动能源绿色低碳转型。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</w:rPr>
        <w:t>大力发展新能源和清洁能源，非化石能源逐步成为能源消费增量主体。严控煤炭消费增长，推动煤炭清洁高效利用。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  <w:lang w:eastAsia="zh-CN"/>
        </w:rPr>
        <w:t>着力整合供热资源，加快供热区域热网互联互通，充分释放燃煤电厂、工业余热等供热能力，发展长输供热项目，淘汰管网覆盖范围内的燃煤锅炉和散煤。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</w:rPr>
        <w:t>实施工业炉窑清洁能源替代，大力推进电能替代煤炭，在不影响民生用气稳定、已落实合同气源的前提下，稳妥有序引导以气代煤。</w:t>
      </w: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u w:val="none"/>
        </w:rPr>
        <w:t>（</w:t>
      </w:r>
      <w:r>
        <w:rPr>
          <w:rFonts w:hint="eastAsia" w:ascii="楷体" w:hAnsi="楷体" w:eastAsia="楷体" w:cs="楷体"/>
          <w:b w:val="0"/>
          <w:bCs/>
          <w:spacing w:val="0"/>
          <w:sz w:val="32"/>
          <w:szCs w:val="32"/>
          <w:highlight w:val="none"/>
          <w:u w:val="none"/>
          <w:lang w:val="en-US" w:eastAsia="zh-CN"/>
        </w:rPr>
        <w:t>自治区</w:t>
      </w:r>
      <w:r>
        <w:rPr>
          <w:rFonts w:hint="eastAsia" w:ascii="楷体" w:hAnsi="楷体" w:eastAsia="楷体" w:cs="楷体"/>
          <w:b w:val="0"/>
          <w:bCs/>
          <w:spacing w:val="0"/>
          <w:sz w:val="32"/>
          <w:szCs w:val="32"/>
          <w:highlight w:val="none"/>
          <w:u w:val="none"/>
        </w:rPr>
        <w:t>发展改革委、财政</w:t>
      </w:r>
      <w:r>
        <w:rPr>
          <w:rFonts w:hint="eastAsia" w:ascii="楷体" w:hAnsi="楷体" w:eastAsia="楷体" w:cs="楷体"/>
          <w:b w:val="0"/>
          <w:bCs/>
          <w:spacing w:val="0"/>
          <w:sz w:val="32"/>
          <w:szCs w:val="32"/>
          <w:highlight w:val="none"/>
          <w:u w:val="none"/>
          <w:lang w:val="en-US" w:eastAsia="zh-CN"/>
        </w:rPr>
        <w:t>厅</w:t>
      </w:r>
      <w:r>
        <w:rPr>
          <w:rFonts w:hint="eastAsia" w:ascii="楷体" w:hAnsi="楷体" w:eastAsia="楷体" w:cs="楷体"/>
          <w:b w:val="0"/>
          <w:bCs/>
          <w:spacing w:val="0"/>
          <w:sz w:val="32"/>
          <w:szCs w:val="32"/>
          <w:highlight w:val="none"/>
          <w:u w:val="none"/>
        </w:rPr>
        <w:t>、</w:t>
      </w: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u w:val="none"/>
        </w:rPr>
        <w:t>生态环境</w:t>
      </w: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u w:val="none"/>
          <w:lang w:eastAsia="zh-CN"/>
        </w:rPr>
        <w:t>厅</w:t>
      </w: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u w:val="none"/>
        </w:rPr>
        <w:t>、住房城乡建设</w:t>
      </w: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u w:val="none"/>
          <w:lang w:val="en-US" w:eastAsia="zh-CN"/>
        </w:rPr>
        <w:t>厅</w:t>
      </w: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u w:val="none"/>
        </w:rPr>
        <w:t>、农业农村</w:t>
      </w: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u w:val="none"/>
          <w:lang w:val="en-US" w:eastAsia="zh-CN"/>
        </w:rPr>
        <w:t>厅</w:t>
      </w: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u w:val="none"/>
        </w:rPr>
        <w:t>、市场监管局等按职责分工负责）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00"/>
        <w:jc w:val="both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spacing w:val="0"/>
          <w:sz w:val="32"/>
          <w:szCs w:val="32"/>
          <w:u w:val="none"/>
        </w:rPr>
        <w:t>开展传统产业集群升级改造。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</w:rPr>
        <w:t>开展涉气产业集群排查及分类治理，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  <w:lang w:eastAsia="zh-CN"/>
        </w:rPr>
        <w:t>各地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</w:rPr>
        <w:t>要进一步分析产业发展定位，“一群一策”制定整治提升方案，树立行业标杆，从生产工艺、产品质量、产能规模、能耗水平、燃料类型、原辅材料替代、污染治理和区域环境综合整治等方面明确升级改造标准。实施拉单挂账式管理，淘汰关停一批、搬迁入园一批、就地改造一批、做优做强一批，切实提升产业发展质量和环保治理水平。完善动态管理机制，严防“散乱污”企业反弹。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</w:rPr>
        <w:t>（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  <w:lang w:val="en-US" w:eastAsia="zh-CN"/>
        </w:rPr>
        <w:t>自治区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</w:rPr>
        <w:t>生态环境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  <w:lang w:val="en-US" w:eastAsia="zh-CN"/>
        </w:rPr>
        <w:t>厅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</w:rPr>
        <w:t>、发展改革委、工业和信息化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  <w:lang w:val="en-US" w:eastAsia="zh-CN"/>
        </w:rPr>
        <w:t>厅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</w:rPr>
        <w:t>等按职责分工负责）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600" w:lineRule="exact"/>
        <w:ind w:left="0" w:leftChars="0" w:right="0" w:rightChars="0" w:firstLine="640" w:firstLineChars="200"/>
        <w:textAlignment w:val="auto"/>
        <w:rPr>
          <w:rFonts w:hint="eastAsia" w:ascii="黑体" w:eastAsia="黑体"/>
          <w:sz w:val="32"/>
          <w:szCs w:val="32"/>
          <w:u w:val="none"/>
          <w:lang w:val="zh-CN" w:eastAsia="zh-CN"/>
        </w:rPr>
      </w:pPr>
      <w:r>
        <w:rPr>
          <w:rFonts w:hint="eastAsia" w:ascii="黑体" w:eastAsia="黑体"/>
          <w:sz w:val="32"/>
          <w:szCs w:val="32"/>
          <w:u w:val="none"/>
          <w:lang w:val="zh-CN" w:eastAsia="zh-CN"/>
        </w:rPr>
        <w:t>三、秸秆禁烧和综合利用行动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00"/>
        <w:jc w:val="both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b/>
          <w:spacing w:val="0"/>
          <w:sz w:val="32"/>
          <w:szCs w:val="32"/>
          <w:u w:val="none"/>
        </w:rPr>
        <w:t>加快推进秸秆焚烧综合治理。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</w:rPr>
        <w:t>坚持“政府引导、市场运作、疏堵结合、以疏为主”的原则，全面推进秸秆“五化”综合利用，持续提高秸秆综合利用率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推动制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糖企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业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包干处理禁烧重点区域蔗叶试点工作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</w:rPr>
        <w:t>。深入推进秸秆禁烧管控，</w:t>
      </w:r>
      <w:r>
        <w:rPr>
          <w:rFonts w:ascii="Times New Roman" w:hAnsi="Times New Roman" w:eastAsia="仿宋"/>
          <w:color w:val="000000"/>
          <w:sz w:val="32"/>
          <w:u w:val="none"/>
        </w:rPr>
        <w:t>完善市、县、乡（镇）、村四级全覆盖网格化禁烧监管体系</w:t>
      </w:r>
      <w:r>
        <w:rPr>
          <w:rFonts w:ascii="Times New Roman" w:hAnsi="Times New Roman" w:eastAsia="仿宋"/>
          <w:color w:val="000000"/>
          <w:sz w:val="32"/>
          <w:szCs w:val="32"/>
          <w:u w:val="none"/>
        </w:rPr>
        <w:t>，</w:t>
      </w:r>
      <w:r>
        <w:rPr>
          <w:rFonts w:hint="eastAsia" w:ascii="Times New Roman" w:hAnsi="Times New Roman" w:eastAsia="仿宋"/>
          <w:color w:val="000000"/>
          <w:sz w:val="32"/>
          <w:szCs w:val="32"/>
          <w:u w:val="none"/>
        </w:rPr>
        <w:t>落实</w:t>
      </w:r>
      <w:r>
        <w:rPr>
          <w:rFonts w:ascii="Times New Roman" w:hAnsi="Times New Roman" w:eastAsia="仿宋"/>
          <w:color w:val="000000"/>
          <w:sz w:val="32"/>
          <w:szCs w:val="32"/>
          <w:u w:val="none"/>
        </w:rPr>
        <w:t>网格员管理制度，强化</w:t>
      </w:r>
      <w:r>
        <w:rPr>
          <w:rFonts w:hint="eastAsia" w:ascii="Times New Roman" w:hAnsi="Times New Roman" w:eastAsia="仿宋"/>
          <w:color w:val="000000"/>
          <w:sz w:val="32"/>
          <w:szCs w:val="32"/>
          <w:u w:val="none"/>
          <w:lang w:eastAsia="zh-CN"/>
        </w:rPr>
        <w:t>“</w:t>
      </w:r>
      <w:r>
        <w:rPr>
          <w:rFonts w:ascii="Times New Roman" w:hAnsi="Times New Roman" w:eastAsia="仿宋"/>
          <w:color w:val="000000"/>
          <w:sz w:val="32"/>
          <w:szCs w:val="32"/>
          <w:u w:val="none"/>
        </w:rPr>
        <w:t>定点、定时、定人、定责</w:t>
      </w:r>
      <w:r>
        <w:rPr>
          <w:rFonts w:hint="eastAsia" w:ascii="Times New Roman" w:hAnsi="Times New Roman" w:eastAsia="仿宋"/>
          <w:color w:val="000000"/>
          <w:sz w:val="32"/>
          <w:szCs w:val="32"/>
          <w:u w:val="none"/>
          <w:lang w:eastAsia="zh-CN"/>
        </w:rPr>
        <w:t>”</w:t>
      </w:r>
      <w:r>
        <w:rPr>
          <w:rFonts w:ascii="Times New Roman" w:hAnsi="Times New Roman" w:eastAsia="仿宋"/>
          <w:color w:val="000000"/>
          <w:sz w:val="32"/>
          <w:szCs w:val="32"/>
          <w:u w:val="none"/>
        </w:rPr>
        <w:t>管控</w:t>
      </w:r>
      <w:r>
        <w:rPr>
          <w:rFonts w:hint="eastAsia" w:ascii="Times New Roman" w:hAnsi="Times New Roman" w:eastAsia="仿宋"/>
          <w:color w:val="000000"/>
          <w:sz w:val="32"/>
          <w:szCs w:val="32"/>
          <w:u w:val="none"/>
          <w:lang w:eastAsia="zh-CN"/>
        </w:rPr>
        <w:t>，实行清单式责任管理。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</w:rPr>
        <w:t>充分利用卫星遥感、高清视频监控、无人机等先进技术，强化不利气象条件下的监管执法，对秸秆焚烧问题突出诱发重污染天气的，严肃追责问责。紧盯收工时、上半夜、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  <w:lang w:eastAsia="zh-CN"/>
        </w:rPr>
        <w:t>降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</w:rPr>
        <w:t>雨前、播种前等重要时间节点，制定专项工作方案，科学有序疏导。</w:t>
      </w: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u w:val="none"/>
        </w:rPr>
        <w:t>（</w:t>
      </w: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u w:val="none"/>
          <w:lang w:val="en-US" w:eastAsia="zh-CN"/>
        </w:rPr>
        <w:t>自治区</w:t>
      </w: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u w:val="none"/>
        </w:rPr>
        <w:t>生态环境</w:t>
      </w: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u w:val="none"/>
          <w:lang w:val="en-US" w:eastAsia="zh-CN"/>
        </w:rPr>
        <w:t>厅</w:t>
      </w: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u w:val="none"/>
        </w:rPr>
        <w:t>、农业农村</w:t>
      </w: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u w:val="none"/>
          <w:lang w:val="en-US" w:eastAsia="zh-CN"/>
        </w:rPr>
        <w:t>厅</w:t>
      </w: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u w:val="none"/>
        </w:rPr>
        <w:t>、发展改革委</w:t>
      </w: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u w:val="none"/>
          <w:lang w:eastAsia="zh-CN"/>
        </w:rPr>
        <w:t>、糖业发展办</w:t>
      </w: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u w:val="none"/>
        </w:rPr>
        <w:t>等按职责分工负责）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600" w:lineRule="exact"/>
        <w:ind w:left="0" w:leftChars="0" w:right="0" w:rightChars="0" w:firstLine="640" w:firstLineChars="200"/>
        <w:textAlignment w:val="auto"/>
        <w:rPr>
          <w:rFonts w:hint="eastAsia" w:ascii="黑体" w:eastAsia="黑体"/>
          <w:sz w:val="32"/>
          <w:szCs w:val="32"/>
          <w:u w:val="none"/>
          <w:lang w:val="zh-CN" w:eastAsia="zh-CN"/>
        </w:rPr>
      </w:pPr>
      <w:r>
        <w:rPr>
          <w:rFonts w:hint="eastAsia" w:ascii="黑体" w:eastAsia="黑体"/>
          <w:sz w:val="32"/>
          <w:szCs w:val="32"/>
          <w:u w:val="none"/>
          <w:lang w:val="zh-CN" w:eastAsia="zh-CN"/>
        </w:rPr>
        <w:t>四、烟花爆竹禁燃限放管控行动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 w:firstLineChars="200"/>
        <w:textAlignment w:val="auto"/>
        <w:outlineLvl w:val="1"/>
        <w:rPr>
          <w:rFonts w:ascii="Times New Roman" w:hAnsi="Times New Roman" w:eastAsia="楷体"/>
          <w:color w:val="000000"/>
          <w:w w:val="100"/>
          <w:sz w:val="32"/>
          <w:szCs w:val="32"/>
          <w:u w:val="none"/>
        </w:rPr>
      </w:pPr>
      <w:r>
        <w:rPr>
          <w:rFonts w:ascii="Times New Roman" w:hAnsi="Times New Roman" w:eastAsia="仿宋"/>
          <w:color w:val="000000"/>
          <w:sz w:val="32"/>
          <w:szCs w:val="32"/>
          <w:u w:val="none"/>
        </w:rPr>
        <w:t>严格落实烟花爆竹禁限放区域的责任和监管要求，紧盯重点时段（</w:t>
      </w:r>
      <w:r>
        <w:rPr>
          <w:rFonts w:hint="eastAsia" w:ascii="Times New Roman" w:hAnsi="Times New Roman" w:eastAsia="仿宋"/>
          <w:color w:val="000000"/>
          <w:sz w:val="32"/>
          <w:szCs w:val="32"/>
          <w:u w:val="none"/>
          <w:lang w:eastAsia="zh-CN"/>
        </w:rPr>
        <w:t>春节、元宵节</w:t>
      </w:r>
      <w:r>
        <w:rPr>
          <w:rFonts w:ascii="Times New Roman" w:hAnsi="Times New Roman" w:eastAsia="仿宋"/>
          <w:color w:val="000000"/>
          <w:sz w:val="32"/>
          <w:szCs w:val="32"/>
          <w:u w:val="none"/>
        </w:rPr>
        <w:t>）和重点区域（庙宇、祠堂、城中村、河岸、禁放区和限放区交界处），</w:t>
      </w:r>
      <w:r>
        <w:rPr>
          <w:rFonts w:hint="eastAsia" w:ascii="Times New Roman" w:hAnsi="Times New Roman" w:eastAsia="仿宋"/>
          <w:color w:val="000000"/>
          <w:sz w:val="32"/>
          <w:szCs w:val="32"/>
          <w:u w:val="none"/>
          <w:lang w:eastAsia="zh-CN"/>
        </w:rPr>
        <w:t>强化</w:t>
      </w:r>
      <w:r>
        <w:rPr>
          <w:rFonts w:ascii="Times New Roman" w:hAnsi="Times New Roman" w:eastAsia="仿宋"/>
          <w:color w:val="000000"/>
          <w:sz w:val="32"/>
          <w:szCs w:val="32"/>
          <w:u w:val="none"/>
        </w:rPr>
        <w:t>执法管控</w:t>
      </w:r>
      <w:r>
        <w:rPr>
          <w:rFonts w:hint="eastAsia" w:ascii="Times New Roman" w:hAnsi="Times New Roman" w:eastAsia="仿宋"/>
          <w:color w:val="000000"/>
          <w:sz w:val="32"/>
          <w:szCs w:val="32"/>
          <w:u w:val="none"/>
          <w:lang w:eastAsia="zh-CN"/>
        </w:rPr>
        <w:t>，</w:t>
      </w:r>
      <w:r>
        <w:rPr>
          <w:rFonts w:ascii="Times New Roman" w:hAnsi="Times New Roman" w:eastAsia="仿宋"/>
          <w:color w:val="000000"/>
          <w:sz w:val="32"/>
          <w:szCs w:val="32"/>
          <w:u w:val="none"/>
        </w:rPr>
        <w:t>加大对违法违规生产、运输、销售、燃放烟花爆竹行为的处罚力度。</w:t>
      </w:r>
      <w:r>
        <w:rPr>
          <w:rFonts w:ascii="Times New Roman" w:hAnsi="Times New Roman" w:eastAsia="楷体"/>
          <w:color w:val="000000"/>
          <w:w w:val="100"/>
          <w:sz w:val="32"/>
          <w:szCs w:val="32"/>
          <w:u w:val="none"/>
        </w:rPr>
        <w:t>（自治区公安厅、生态环境厅</w:t>
      </w:r>
      <w:r>
        <w:rPr>
          <w:rFonts w:hint="eastAsia" w:ascii="Times New Roman" w:hAnsi="Times New Roman" w:eastAsia="楷体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Times New Roman" w:hAnsi="Times New Roman" w:eastAsia="楷体"/>
          <w:color w:val="000000"/>
          <w:sz w:val="32"/>
          <w:szCs w:val="32"/>
          <w:u w:val="none"/>
        </w:rPr>
        <w:t>市场监管局</w:t>
      </w:r>
      <w:r>
        <w:rPr>
          <w:rFonts w:hint="eastAsia" w:ascii="Times New Roman" w:hAnsi="Times New Roman" w:eastAsia="楷体"/>
          <w:color w:val="000000"/>
          <w:sz w:val="32"/>
          <w:szCs w:val="32"/>
          <w:u w:val="none"/>
          <w:lang w:eastAsia="zh-CN"/>
        </w:rPr>
        <w:t>牵头</w:t>
      </w:r>
      <w:r>
        <w:rPr>
          <w:rFonts w:hint="eastAsia" w:ascii="Times New Roman" w:hAnsi="Times New Roman" w:eastAsia="楷体"/>
          <w:color w:val="000000"/>
          <w:w w:val="100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楷体"/>
          <w:color w:val="000000"/>
          <w:w w:val="100"/>
          <w:sz w:val="32"/>
          <w:szCs w:val="32"/>
          <w:u w:val="none"/>
        </w:rPr>
        <w:t>自治区</w:t>
      </w:r>
      <w:r>
        <w:rPr>
          <w:rFonts w:ascii="Times New Roman" w:hAnsi="Times New Roman" w:eastAsia="楷体"/>
          <w:color w:val="000000"/>
          <w:w w:val="100"/>
          <w:sz w:val="32"/>
          <w:szCs w:val="32"/>
          <w:u w:val="none"/>
        </w:rPr>
        <w:t>应急厅</w:t>
      </w:r>
      <w:r>
        <w:rPr>
          <w:rFonts w:hint="eastAsia" w:ascii="Times New Roman" w:hAnsi="Times New Roman" w:eastAsia="楷体"/>
          <w:color w:val="000000"/>
          <w:w w:val="100"/>
          <w:sz w:val="32"/>
          <w:szCs w:val="32"/>
          <w:u w:val="none"/>
          <w:lang w:eastAsia="zh-CN"/>
        </w:rPr>
        <w:t>参与</w:t>
      </w:r>
      <w:r>
        <w:rPr>
          <w:rFonts w:ascii="Times New Roman" w:hAnsi="Times New Roman" w:eastAsia="楷体"/>
          <w:color w:val="000000"/>
          <w:w w:val="100"/>
          <w:sz w:val="32"/>
          <w:szCs w:val="32"/>
          <w:u w:val="none"/>
        </w:rPr>
        <w:t>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600" w:lineRule="exact"/>
        <w:ind w:left="0" w:leftChars="0" w:right="0" w:rightChars="0" w:firstLine="640" w:firstLineChars="200"/>
        <w:textAlignment w:val="auto"/>
        <w:rPr>
          <w:rFonts w:hint="eastAsia" w:ascii="黑体" w:eastAsia="黑体"/>
          <w:sz w:val="32"/>
          <w:szCs w:val="32"/>
          <w:u w:val="none"/>
        </w:rPr>
      </w:pPr>
      <w:r>
        <w:rPr>
          <w:rFonts w:hint="eastAsia" w:ascii="黑体" w:eastAsia="黑体"/>
          <w:sz w:val="32"/>
          <w:szCs w:val="32"/>
          <w:u w:val="none"/>
          <w:lang w:val="zh-CN" w:eastAsia="zh-CN"/>
        </w:rPr>
        <w:t>五</w:t>
      </w:r>
      <w:r>
        <w:rPr>
          <w:rFonts w:hint="eastAsia" w:ascii="黑体" w:eastAsia="黑体"/>
          <w:sz w:val="32"/>
          <w:szCs w:val="32"/>
          <w:u w:val="none"/>
        </w:rPr>
        <w:t>、重污染天气联合应对行动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00"/>
        <w:jc w:val="both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spacing w:val="0"/>
          <w:sz w:val="32"/>
          <w:szCs w:val="32"/>
          <w:u w:val="none"/>
        </w:rPr>
        <w:t>加强重污染天气应对能力建设。</w:t>
      </w:r>
      <w:r>
        <w:rPr>
          <w:rFonts w:hint="eastAsia" w:ascii="仿宋" w:hAnsi="仿宋" w:eastAsia="仿宋" w:cs="仿宋"/>
          <w:b w:val="0"/>
          <w:bCs/>
          <w:spacing w:val="0"/>
          <w:sz w:val="32"/>
          <w:szCs w:val="32"/>
          <w:u w:val="none"/>
          <w:lang w:eastAsia="zh-CN"/>
        </w:rPr>
        <w:t>按国家要求，参与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u w:val="none"/>
        </w:rPr>
        <w:t>完善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highlight w:val="none"/>
          <w:u w:val="none"/>
        </w:rPr>
        <w:t>“国家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u w:val="none"/>
        </w:rPr>
        <w:t>—区域—省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u w:val="none"/>
          <w:lang w:eastAsia="zh-CN"/>
        </w:rPr>
        <w:t>（区、市）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u w:val="none"/>
        </w:rPr>
        <w:t>级—市级”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</w:rPr>
        <w:t>空气质量预报体系，加强各级预报中心建设</w:t>
      </w:r>
      <w:r>
        <w:rPr>
          <w:rFonts w:hint="default" w:ascii="Times New Roman" w:hAnsi="Times New Roman" w:eastAsia="仿宋" w:cs="Times New Roman"/>
          <w:spacing w:val="0"/>
          <w:sz w:val="32"/>
          <w:szCs w:val="32"/>
          <w:u w:val="none"/>
        </w:rPr>
        <w:t>和空气质量预测预报能力建设，不断提高未来7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</w:rPr>
        <w:t>—</w:t>
      </w:r>
      <w:r>
        <w:rPr>
          <w:rFonts w:hint="default" w:ascii="Times New Roman" w:hAnsi="Times New Roman" w:eastAsia="仿宋" w:cs="Times New Roman"/>
          <w:spacing w:val="0"/>
          <w:sz w:val="32"/>
          <w:szCs w:val="32"/>
          <w:u w:val="none"/>
        </w:rPr>
        <w:t>10天区域污染过程预报准确率，研究提升未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</w:rPr>
        <w:t>来月尺度区域空气质量趋势预测能力。进一步深化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  <w:lang w:eastAsia="zh-CN"/>
        </w:rPr>
        <w:t>城市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</w:rPr>
        <w:t>重污染天气来源成因研究。及时开展重污染天气应急响应效果评估，结合重污染成因分析，系统总结监测预报、预警响应、措施落实等各环节执行情况和成效，梳理薄弱环节，不断完善相关</w:t>
      </w:r>
      <w:r>
        <w:rPr>
          <w:rFonts w:hint="eastAsia" w:ascii="仿宋" w:hAnsi="仿宋" w:eastAsia="仿宋" w:cs="仿宋"/>
          <w:b w:val="0"/>
          <w:sz w:val="32"/>
          <w:szCs w:val="32"/>
          <w:u w:val="none"/>
        </w:rPr>
        <w:t>工作机制。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</w:rPr>
        <w:t>（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  <w:lang w:val="en-US" w:eastAsia="zh-CN"/>
        </w:rPr>
        <w:t>自治区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</w:rPr>
        <w:t>生态环境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  <w:lang w:val="en-US" w:eastAsia="zh-CN"/>
        </w:rPr>
        <w:t>厅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</w:rPr>
        <w:t>、科技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  <w:lang w:val="en-US" w:eastAsia="zh-CN"/>
        </w:rPr>
        <w:t>厅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</w:rPr>
        <w:t>、气象局等按职责分工负责）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00"/>
        <w:jc w:val="both"/>
        <w:textAlignment w:val="auto"/>
        <w:rPr>
          <w:rFonts w:hint="default" w:ascii="Times New Roman" w:hAnsi="Times New Roman" w:eastAsia="楷体" w:cs="Times New Roman"/>
          <w:b w:val="0"/>
          <w:bCs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b/>
          <w:spacing w:val="0"/>
          <w:sz w:val="32"/>
          <w:szCs w:val="32"/>
          <w:highlight w:val="none"/>
          <w:u w:val="none"/>
          <w:lang w:val="en-US" w:eastAsia="zh-CN" w:bidi="zh-CN"/>
        </w:rPr>
        <w:t>严格执行</w:t>
      </w:r>
      <w:r>
        <w:rPr>
          <w:rFonts w:hint="default" w:ascii="Times New Roman" w:hAnsi="Times New Roman" w:eastAsia="仿宋" w:cs="Times New Roman"/>
          <w:b/>
          <w:spacing w:val="0"/>
          <w:sz w:val="32"/>
          <w:szCs w:val="32"/>
          <w:highlight w:val="none"/>
          <w:u w:val="none"/>
          <w:lang w:val="zh-CN" w:eastAsia="zh-CN" w:bidi="zh-CN"/>
        </w:rPr>
        <w:t>污染天气应急预案。</w:t>
      </w:r>
      <w:r>
        <w:rPr>
          <w:rFonts w:hint="default" w:ascii="Times New Roman" w:hAnsi="Times New Roman" w:eastAsia="仿宋" w:cs="Times New Roman"/>
          <w:spacing w:val="0"/>
          <w:sz w:val="32"/>
          <w:szCs w:val="32"/>
          <w:highlight w:val="none"/>
          <w:u w:val="none"/>
          <w:lang w:val="zh-CN" w:eastAsia="zh-CN" w:bidi="zh-CN"/>
        </w:rPr>
        <w:t>各设区市严格按照广西壮族自治区污染天气预警启动标准，分区应对分类施策。</w:t>
      </w:r>
      <w:r>
        <w:rPr>
          <w:rFonts w:hint="default" w:ascii="Times New Roman" w:hAnsi="Times New Roman" w:eastAsia="仿宋" w:cs="Times New Roman"/>
          <w:color w:val="000000"/>
          <w:sz w:val="30"/>
          <w:szCs w:val="30"/>
          <w:highlight w:val="none"/>
          <w:u w:val="none"/>
        </w:rPr>
        <w:t>污染天气预警启动应遵守或严于以下标准</w:t>
      </w:r>
      <w:r>
        <w:rPr>
          <w:rFonts w:hint="default" w:ascii="Times New Roman" w:hAnsi="Times New Roman" w:eastAsia="仿宋" w:cs="Times New Roman"/>
          <w:color w:val="000000"/>
          <w:sz w:val="30"/>
          <w:szCs w:val="30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spacing w:val="0"/>
          <w:sz w:val="32"/>
          <w:szCs w:val="32"/>
          <w:highlight w:val="none"/>
          <w:u w:val="none"/>
          <w:lang w:val="zh-CN" w:eastAsia="zh-CN" w:bidi="zh-CN"/>
        </w:rPr>
        <w:t>黄色预警以预测日AQI＞</w:t>
      </w:r>
      <w:r>
        <w:rPr>
          <w:rFonts w:hint="default" w:ascii="Times New Roman" w:hAnsi="Times New Roman" w:eastAsia="仿宋" w:cs="Times New Roman"/>
          <w:spacing w:val="0"/>
          <w:sz w:val="32"/>
          <w:szCs w:val="32"/>
          <w:u w:val="none"/>
          <w:lang w:val="en-US" w:eastAsia="zh-CN" w:bidi="zh-CN"/>
        </w:rPr>
        <w:t>100</w:t>
      </w:r>
      <w:r>
        <w:rPr>
          <w:rFonts w:hint="default" w:ascii="Times New Roman" w:hAnsi="Times New Roman" w:eastAsia="仿宋" w:cs="Times New Roman"/>
          <w:spacing w:val="0"/>
          <w:sz w:val="32"/>
          <w:szCs w:val="32"/>
          <w:u w:val="none"/>
          <w:lang w:val="zh-CN" w:eastAsia="zh-CN" w:bidi="zh-CN"/>
        </w:rPr>
        <w:t>持续48小时及以上、橙色预警以预测日AQI&gt;</w:t>
      </w:r>
      <w:r>
        <w:rPr>
          <w:rFonts w:hint="default" w:ascii="Times New Roman" w:hAnsi="Times New Roman" w:eastAsia="仿宋" w:cs="Times New Roman"/>
          <w:spacing w:val="0"/>
          <w:sz w:val="32"/>
          <w:szCs w:val="32"/>
          <w:u w:val="none"/>
          <w:lang w:val="en-US" w:eastAsia="zh-CN" w:bidi="zh-CN"/>
        </w:rPr>
        <w:t>100</w:t>
      </w:r>
      <w:r>
        <w:rPr>
          <w:rFonts w:hint="default" w:ascii="Times New Roman" w:hAnsi="Times New Roman" w:eastAsia="仿宋" w:cs="Times New Roman"/>
          <w:spacing w:val="0"/>
          <w:sz w:val="32"/>
          <w:szCs w:val="32"/>
          <w:u w:val="none"/>
          <w:lang w:val="zh-CN" w:eastAsia="zh-CN" w:bidi="zh-CN"/>
        </w:rPr>
        <w:t>持续</w:t>
      </w:r>
      <w:r>
        <w:rPr>
          <w:rFonts w:hint="default" w:ascii="Times New Roman" w:hAnsi="Times New Roman" w:eastAsia="仿宋" w:cs="Times New Roman"/>
          <w:spacing w:val="0"/>
          <w:sz w:val="32"/>
          <w:szCs w:val="32"/>
          <w:u w:val="none"/>
          <w:lang w:val="en-US" w:eastAsia="zh-CN" w:bidi="zh-CN"/>
        </w:rPr>
        <w:t>72</w:t>
      </w:r>
      <w:r>
        <w:rPr>
          <w:rFonts w:hint="default" w:ascii="Times New Roman" w:hAnsi="Times New Roman" w:eastAsia="仿宋" w:cs="Times New Roman"/>
          <w:spacing w:val="0"/>
          <w:sz w:val="32"/>
          <w:szCs w:val="32"/>
          <w:u w:val="none"/>
          <w:lang w:val="zh-CN" w:eastAsia="zh-CN" w:bidi="zh-CN"/>
        </w:rPr>
        <w:t>小时且预测 AQI 日均值＞150 持续48小时及以上或预测日AQI＞</w:t>
      </w:r>
      <w:r>
        <w:rPr>
          <w:rFonts w:hint="default" w:ascii="Times New Roman" w:hAnsi="Times New Roman" w:eastAsia="仿宋" w:cs="Times New Roman"/>
          <w:spacing w:val="0"/>
          <w:sz w:val="32"/>
          <w:szCs w:val="32"/>
          <w:u w:val="none"/>
          <w:lang w:val="en-US" w:eastAsia="zh-CN" w:bidi="zh-CN"/>
        </w:rPr>
        <w:t>200</w:t>
      </w:r>
      <w:r>
        <w:rPr>
          <w:rFonts w:hint="default" w:ascii="Times New Roman" w:hAnsi="Times New Roman" w:eastAsia="仿宋" w:cs="Times New Roman"/>
          <w:spacing w:val="0"/>
          <w:sz w:val="32"/>
          <w:szCs w:val="32"/>
          <w:u w:val="none"/>
          <w:lang w:val="zh-CN" w:eastAsia="zh-CN" w:bidi="zh-CN"/>
        </w:rPr>
        <w:t>、红色预警以预测日AQI&gt;</w:t>
      </w:r>
      <w:r>
        <w:rPr>
          <w:rFonts w:hint="default" w:ascii="Times New Roman" w:hAnsi="Times New Roman" w:eastAsia="仿宋" w:cs="Times New Roman"/>
          <w:spacing w:val="0"/>
          <w:sz w:val="32"/>
          <w:szCs w:val="32"/>
          <w:u w:val="none"/>
          <w:lang w:val="en-US" w:eastAsia="zh-CN" w:bidi="zh-CN"/>
        </w:rPr>
        <w:t>100</w:t>
      </w:r>
      <w:r>
        <w:rPr>
          <w:rFonts w:hint="default" w:ascii="Times New Roman" w:hAnsi="Times New Roman" w:eastAsia="仿宋" w:cs="Times New Roman"/>
          <w:spacing w:val="0"/>
          <w:sz w:val="32"/>
          <w:szCs w:val="32"/>
          <w:u w:val="none"/>
          <w:lang w:val="zh-CN" w:eastAsia="zh-CN" w:bidi="zh-CN"/>
        </w:rPr>
        <w:t>持续</w:t>
      </w:r>
      <w:r>
        <w:rPr>
          <w:rFonts w:hint="default" w:ascii="Times New Roman" w:hAnsi="Times New Roman" w:eastAsia="仿宋" w:cs="Times New Roman"/>
          <w:spacing w:val="0"/>
          <w:sz w:val="32"/>
          <w:szCs w:val="32"/>
          <w:u w:val="none"/>
          <w:lang w:val="en-US" w:eastAsia="zh-CN" w:bidi="zh-CN"/>
        </w:rPr>
        <w:t>96</w:t>
      </w:r>
      <w:r>
        <w:rPr>
          <w:rFonts w:hint="default" w:ascii="Times New Roman" w:hAnsi="Times New Roman" w:eastAsia="仿宋" w:cs="Times New Roman"/>
          <w:spacing w:val="0"/>
          <w:sz w:val="32"/>
          <w:szCs w:val="32"/>
          <w:u w:val="none"/>
          <w:lang w:val="zh-CN" w:eastAsia="zh-CN" w:bidi="zh-CN"/>
        </w:rPr>
        <w:t>小时及以上且日预测AQI&gt;200持续48小时及以上或预测日AQI＞300为启动条件。</w:t>
      </w:r>
      <w:r>
        <w:rPr>
          <w:rFonts w:hint="default" w:ascii="Times New Roman" w:hAnsi="Times New Roman" w:eastAsia="楷体" w:cs="Times New Roman"/>
          <w:b w:val="0"/>
          <w:bCs/>
          <w:sz w:val="32"/>
          <w:szCs w:val="32"/>
          <w:u w:val="none"/>
        </w:rPr>
        <w:t>（</w:t>
      </w:r>
      <w:r>
        <w:rPr>
          <w:rFonts w:hint="default" w:ascii="Times New Roman" w:hAnsi="Times New Roman" w:eastAsia="楷体" w:cs="Times New Roman"/>
          <w:b w:val="0"/>
          <w:bCs/>
          <w:sz w:val="32"/>
          <w:szCs w:val="32"/>
          <w:u w:val="none"/>
          <w:lang w:val="en-US" w:eastAsia="zh-CN"/>
        </w:rPr>
        <w:t>自治区</w:t>
      </w:r>
      <w:r>
        <w:rPr>
          <w:rFonts w:hint="default" w:ascii="Times New Roman" w:hAnsi="Times New Roman" w:eastAsia="楷体" w:cs="Times New Roman"/>
          <w:b w:val="0"/>
          <w:bCs/>
          <w:sz w:val="32"/>
          <w:szCs w:val="32"/>
          <w:u w:val="none"/>
        </w:rPr>
        <w:t>生态环境</w:t>
      </w:r>
      <w:r>
        <w:rPr>
          <w:rFonts w:hint="default" w:ascii="Times New Roman" w:hAnsi="Times New Roman" w:eastAsia="楷体" w:cs="Times New Roman"/>
          <w:b w:val="0"/>
          <w:bCs/>
          <w:sz w:val="32"/>
          <w:szCs w:val="32"/>
          <w:u w:val="none"/>
          <w:lang w:val="en-US" w:eastAsia="zh-CN"/>
        </w:rPr>
        <w:t>厅</w:t>
      </w:r>
      <w:r>
        <w:rPr>
          <w:rFonts w:hint="default" w:ascii="Times New Roman" w:hAnsi="Times New Roman" w:eastAsia="楷体" w:cs="Times New Roman"/>
          <w:b w:val="0"/>
          <w:bCs/>
          <w:sz w:val="32"/>
          <w:szCs w:val="32"/>
          <w:u w:val="none"/>
        </w:rPr>
        <w:t>牵头负责）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00"/>
        <w:jc w:val="both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spacing w:val="0"/>
          <w:sz w:val="32"/>
          <w:szCs w:val="32"/>
          <w:u w:val="none"/>
        </w:rPr>
        <w:t>强化应急减排措施清单化管理。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</w:rPr>
        <w:t>推进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  <w:lang w:eastAsia="zh-CN"/>
        </w:rPr>
        <w:t>大气污染源减排清单更新工作。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</w:rPr>
        <w:t>工业源应急减排措施应落实到具体生产线、生产环节、生产设施，做到可操作、可监测、可核查，企业作为责任主体，应制定“一厂一策”操作方案并落实到位。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</w:rPr>
        <w:t>（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  <w:lang w:val="en-US" w:eastAsia="zh-CN"/>
        </w:rPr>
        <w:t>自治区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</w:rPr>
        <w:t>生态环境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  <w:lang w:val="en-US" w:eastAsia="zh-CN"/>
        </w:rPr>
        <w:t>厅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</w:rPr>
        <w:t>牵头负责）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Autospacing="0" w:line="600" w:lineRule="exact"/>
        <w:ind w:left="0" w:leftChars="0" w:right="0" w:rightChars="0" w:firstLine="60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sz w:val="32"/>
          <w:szCs w:val="32"/>
          <w:u w:val="none"/>
        </w:rPr>
        <w:t>深化区域应急联动机制。</w:t>
      </w:r>
      <w:r>
        <w:rPr>
          <w:rFonts w:hint="eastAsia" w:ascii="仿宋" w:hAnsi="仿宋" w:eastAsia="仿宋" w:cs="仿宋"/>
          <w:sz w:val="32"/>
          <w:szCs w:val="32"/>
          <w:u w:val="none"/>
        </w:rPr>
        <w:t>深化</w:t>
      </w:r>
      <w:r>
        <w:rPr>
          <w:rFonts w:hint="eastAsia" w:ascii="仿宋" w:hAnsi="仿宋" w:eastAsia="仿宋" w:cs="仿宋"/>
          <w:sz w:val="32"/>
          <w:szCs w:val="32"/>
          <w:u w:val="none"/>
          <w:lang w:val="zh-CN" w:eastAsia="zh-CN"/>
        </w:rPr>
        <w:t>城市</w:t>
      </w:r>
      <w:r>
        <w:rPr>
          <w:rFonts w:hint="eastAsia" w:ascii="仿宋" w:hAnsi="仿宋" w:eastAsia="仿宋" w:cs="仿宋"/>
          <w:sz w:val="32"/>
          <w:szCs w:val="32"/>
          <w:u w:val="none"/>
        </w:rPr>
        <w:t>联防联控协作机制，推动建立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通道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城市区</w:t>
      </w:r>
      <w:r>
        <w:rPr>
          <w:rFonts w:hint="eastAsia" w:ascii="仿宋" w:hAnsi="仿宋" w:eastAsia="仿宋" w:cs="仿宋"/>
          <w:sz w:val="32"/>
          <w:szCs w:val="32"/>
          <w:u w:val="none"/>
        </w:rPr>
        <w:t>域大气污染联防联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</w:rPr>
        <w:t>控工作机制。强化重污染天气区域应急联动机制，深化区域重污染天气联合应对。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</w:rPr>
        <w:t>（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  <w:lang w:val="en-US" w:eastAsia="zh-CN"/>
        </w:rPr>
        <w:t>自治区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</w:rPr>
        <w:t>生态环境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  <w:lang w:val="en-US" w:eastAsia="zh-CN"/>
        </w:rPr>
        <w:t>厅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</w:rPr>
        <w:t>牵头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  <w:lang w:eastAsia="zh-CN"/>
        </w:rPr>
        <w:t>，相关部门参与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</w:rPr>
        <w:t>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600" w:lineRule="exact"/>
        <w:ind w:left="0" w:leftChars="0" w:right="0" w:rightChars="0" w:firstLine="640" w:firstLineChars="200"/>
        <w:textAlignment w:val="auto"/>
        <w:rPr>
          <w:rFonts w:hint="eastAsia" w:ascii="黑体" w:eastAsia="黑体"/>
          <w:sz w:val="32"/>
          <w:szCs w:val="32"/>
          <w:u w:val="none"/>
        </w:rPr>
      </w:pPr>
      <w:r>
        <w:rPr>
          <w:rFonts w:hint="eastAsia" w:ascii="黑体" w:eastAsia="黑体"/>
          <w:sz w:val="32"/>
          <w:szCs w:val="32"/>
          <w:u w:val="none"/>
          <w:lang w:val="zh-CN" w:eastAsia="zh-CN"/>
        </w:rPr>
        <w:t>六</w:t>
      </w:r>
      <w:r>
        <w:rPr>
          <w:rFonts w:hint="eastAsia" w:ascii="黑体" w:eastAsia="黑体"/>
          <w:sz w:val="32"/>
          <w:szCs w:val="32"/>
          <w:u w:val="none"/>
        </w:rPr>
        <w:t>、强化监管执法攻坚行动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00"/>
        <w:jc w:val="both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spacing w:val="0"/>
          <w:sz w:val="32"/>
          <w:szCs w:val="32"/>
          <w:u w:val="none"/>
        </w:rPr>
        <w:t>严格日常监管执法。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</w:rPr>
        <w:t>建设区域联合执法信息共享机制，开展跨区域大气污染专项治理和联合执法。在锅炉炉窑综合治理、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  <w:lang w:val="zh-CN" w:eastAsia="zh-CN"/>
        </w:rPr>
        <w:t>煤炭质量、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</w:rPr>
        <w:t>柴油车（</w:t>
      </w:r>
      <w:r>
        <w:rPr>
          <w:rFonts w:hint="eastAsia" w:ascii="仿宋" w:hAnsi="仿宋" w:eastAsia="仿宋" w:cs="仿宋"/>
          <w:sz w:val="32"/>
          <w:szCs w:val="32"/>
          <w:u w:val="none"/>
        </w:rPr>
        <w:t>机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</w:rPr>
        <w:t>）、油品质量、扬尘管控等领域实施多部门联合执法，严厉打击违法排污行为。加强执法监测联动，重点查处无证排污或不按证排污、旁路偷排、未安装或不正常运行治污设施、超标排放、弄虚作假等行为。督促相关问题整改到位，并举一反三加强监管；违法情节严重的，依法严厉查处，典型案例公开曝光。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</w:rPr>
        <w:t>（</w:t>
      </w: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u w:val="none"/>
        </w:rPr>
        <w:t>自治区发展改革委</w:t>
      </w: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  <w:lang w:val="en-US" w:eastAsia="zh-CN"/>
        </w:rPr>
        <w:t>自治区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</w:rPr>
        <w:t>生态环境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  <w:lang w:val="en-US" w:eastAsia="zh-CN"/>
        </w:rPr>
        <w:t>厅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</w:rPr>
        <w:t>、住房城乡建设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  <w:lang w:val="en-US" w:eastAsia="zh-CN"/>
        </w:rPr>
        <w:t>厅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</w:rPr>
        <w:t>、公安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  <w:lang w:val="en-US" w:eastAsia="zh-CN"/>
        </w:rPr>
        <w:t>厅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</w:rPr>
        <w:t>、市场监管局等按职责分工负责）</w:t>
      </w:r>
    </w:p>
    <w:p>
      <w:r>
        <w:rPr>
          <w:rFonts w:hint="eastAsia" w:ascii="仿宋" w:hAnsi="仿宋" w:eastAsia="仿宋" w:cs="仿宋"/>
          <w:b/>
          <w:spacing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spacing w:val="0"/>
          <w:sz w:val="32"/>
          <w:szCs w:val="32"/>
          <w:u w:val="none"/>
        </w:rPr>
        <w:t>强化</w:t>
      </w:r>
      <w:r>
        <w:rPr>
          <w:rFonts w:hint="eastAsia" w:ascii="仿宋" w:hAnsi="仿宋" w:eastAsia="仿宋" w:cs="仿宋"/>
          <w:b/>
          <w:spacing w:val="0"/>
          <w:sz w:val="32"/>
          <w:szCs w:val="32"/>
          <w:u w:val="none"/>
          <w:lang w:eastAsia="zh-CN"/>
        </w:rPr>
        <w:t>重</w:t>
      </w:r>
      <w:r>
        <w:rPr>
          <w:rFonts w:hint="eastAsia" w:ascii="仿宋" w:hAnsi="仿宋" w:eastAsia="仿宋" w:cs="仿宋"/>
          <w:b/>
          <w:spacing w:val="0"/>
          <w:sz w:val="32"/>
          <w:szCs w:val="32"/>
          <w:u w:val="none"/>
        </w:rPr>
        <w:t>污染天气应对监管执法。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</w:rPr>
        <w:t>加强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  <w:lang w:eastAsia="zh-CN"/>
        </w:rPr>
        <w:t>重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</w:rPr>
        <w:t>污染天气应急响应期间监管力度，充分运用污染源自动监控、工业用电量、车流量、卫星遥感、热点网格等远程信息化技术手段，强化数据分析技术应用，提升监管效能，督促重污染应急减排责任落实。重污染应急减排措施落实不到位的，对相关企业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  <w:lang w:val="en-US" w:eastAsia="zh-CN"/>
        </w:rPr>
        <w:t>单位、个人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</w:rPr>
        <w:t>依法处罚</w:t>
      </w:r>
      <w:r>
        <w:rPr>
          <w:rFonts w:hint="eastAsia" w:ascii="仿宋" w:hAnsi="仿宋" w:eastAsia="仿宋" w:cs="仿宋"/>
          <w:spacing w:val="0"/>
          <w:sz w:val="32"/>
          <w:szCs w:val="32"/>
          <w:u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</w:rPr>
        <w:t>（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  <w:lang w:val="en-US" w:eastAsia="zh-CN"/>
        </w:rPr>
        <w:t>自治区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</w:rPr>
        <w:t>生态环境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  <w:lang w:val="en-US" w:eastAsia="zh-CN"/>
        </w:rPr>
        <w:t>厅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none"/>
        </w:rPr>
        <w:t>牵头负责）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55531"/>
    <w:rsid w:val="06722814"/>
    <w:rsid w:val="33455531"/>
    <w:rsid w:val="387E74EF"/>
    <w:rsid w:val="463157C6"/>
    <w:rsid w:val="4A8B4467"/>
    <w:rsid w:val="5C18031B"/>
    <w:rsid w:val="5C8E1A4F"/>
    <w:rsid w:val="6B97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customStyle="1" w:styleId="7">
    <w:name w:val="公文正文"/>
    <w:qFormat/>
    <w:uiPriority w:val="0"/>
    <w:pPr>
      <w:adjustRightInd w:val="0"/>
      <w:snapToGrid w:val="0"/>
      <w:spacing w:line="600" w:lineRule="exact"/>
      <w:ind w:firstLine="420" w:firstLineChars="200"/>
    </w:pPr>
    <w:rPr>
      <w:rFonts w:ascii="Times New Roman" w:hAnsi="Times New Roman" w:eastAsia="仿宋" w:cstheme="minorBidi"/>
      <w:sz w:val="32"/>
      <w:szCs w:val="32"/>
    </w:rPr>
  </w:style>
  <w:style w:type="paragraph" w:customStyle="1" w:styleId="8">
    <w:name w:val="公文标题"/>
    <w:next w:val="7"/>
    <w:qFormat/>
    <w:uiPriority w:val="0"/>
    <w:pPr>
      <w:adjustRightInd w:val="0"/>
      <w:snapToGrid w:val="0"/>
      <w:spacing w:line="600" w:lineRule="exact"/>
      <w:ind w:firstLine="0" w:firstLineChars="0"/>
      <w:jc w:val="center"/>
    </w:pPr>
    <w:rPr>
      <w:rFonts w:ascii="Times New Roman" w:hAnsi="Times New Roman" w:eastAsia="方正小标宋_GBK" w:cstheme="minorBidi"/>
      <w:sz w:val="44"/>
      <w:szCs w:val="44"/>
    </w:rPr>
  </w:style>
  <w:style w:type="paragraph" w:customStyle="1" w:styleId="9">
    <w:name w:val="公文一级标题"/>
    <w:next w:val="7"/>
    <w:qFormat/>
    <w:uiPriority w:val="0"/>
    <w:pPr>
      <w:adjustRightInd w:val="0"/>
      <w:snapToGrid w:val="0"/>
      <w:spacing w:line="600" w:lineRule="exact"/>
      <w:ind w:firstLine="880" w:firstLineChars="200"/>
      <w:jc w:val="left"/>
      <w:outlineLvl w:val="0"/>
    </w:pPr>
    <w:rPr>
      <w:rFonts w:ascii="Times New Roman" w:hAnsi="Times New Roman" w:eastAsia="黑体" w:cstheme="minorBidi"/>
      <w:sz w:val="32"/>
      <w:szCs w:val="32"/>
    </w:rPr>
  </w:style>
  <w:style w:type="paragraph" w:customStyle="1" w:styleId="10">
    <w:name w:val="公文二级标题"/>
    <w:next w:val="7"/>
    <w:qFormat/>
    <w:uiPriority w:val="0"/>
    <w:pPr>
      <w:adjustRightInd w:val="0"/>
      <w:snapToGrid w:val="0"/>
      <w:spacing w:line="600" w:lineRule="exact"/>
      <w:ind w:firstLine="880" w:firstLineChars="200"/>
      <w:jc w:val="left"/>
      <w:outlineLvl w:val="1"/>
    </w:pPr>
    <w:rPr>
      <w:rFonts w:ascii="Times New Roman" w:hAnsi="Times New Roman" w:eastAsia="楷体" w:cstheme="minorBidi"/>
      <w:sz w:val="32"/>
      <w:szCs w:val="32"/>
    </w:rPr>
  </w:style>
  <w:style w:type="paragraph" w:customStyle="1" w:styleId="11">
    <w:name w:val="公文三级标题"/>
    <w:next w:val="7"/>
    <w:qFormat/>
    <w:uiPriority w:val="0"/>
    <w:pPr>
      <w:adjustRightInd w:val="0"/>
      <w:snapToGrid w:val="0"/>
      <w:spacing w:line="600" w:lineRule="exact"/>
      <w:ind w:firstLine="880" w:firstLineChars="200"/>
      <w:jc w:val="left"/>
      <w:outlineLvl w:val="2"/>
    </w:pPr>
    <w:rPr>
      <w:rFonts w:ascii="Times New Roman" w:hAnsi="Times New Roman" w:eastAsia="仿宋" w:cstheme="minorBid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2023-01-18T04:25:00Z</dcterms:created>
  <dc:creator>梁桂云</dc:creator>
  <cp:lastModifiedBy>梁桂云</cp:lastModifiedBy>
  <dcterms:modified xsi:type="dcterms:W3CDTF">2023-01-18T04:25:39Z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