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44"/>
        </w:rPr>
        <w:t>各有关企业名单</w:t>
      </w:r>
    </w:p>
    <w:p>
      <w:pPr>
        <w:widowControl/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广西伟康环保科技有限公司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桂林恒达工业废弃物回收有限公司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中国铝业股份有限公司广西分公司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防城天睦化工有限公司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广西桂鑫泰再生资源回收有限公司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桂林市科能废旧物资回收有限公司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桂林市润德环保有限公司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广西欣桂达环保科技有限公司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广西鑫铅恒久环保科技有限公司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广西埃索凯循环科技有限公司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广西兄弟创业环保科技有限公司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广西德保百矿铝业有限公司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广西欣桂达环保科技有限公司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广西钦州澄星化工科技有限公司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广西桂津环保科技有限公司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广西源其再生资源有限公司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广西梧州荒川化学工业有限公司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南丹县吉朗铟业有限公司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广西河池鑫银环保科技有限公司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广西五环环保科技有限公司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陆川县中南环保有限公司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广西车船回收有限公司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478ED"/>
    <w:rsid w:val="1844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2023-01-09T03:43:00Z</dcterms:created>
  <dc:creator>凌文婷</dc:creator>
  <cp:lastModifiedBy>凌文婷</cp:lastModifiedBy>
  <dcterms:modified xsi:type="dcterms:W3CDTF">2023-01-09T03:43:59Z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