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eastAsia" w:ascii="黑体" w:hAnsi="黑体" w:eastAsia="黑体" w:cs="黑体"/>
          <w:b w:val="0"/>
          <w:color w:val="000000"/>
          <w:sz w:val="32"/>
          <w:szCs w:val="32"/>
          <w:lang w:val="en-US" w:eastAsia="zh-CN"/>
        </w:rPr>
      </w:pPr>
      <w:bookmarkStart w:id="0" w:name="_Toc27722"/>
      <w:bookmarkStart w:id="1" w:name="_Toc31250"/>
      <w:bookmarkStart w:id="2" w:name="_Toc426"/>
      <w:r>
        <w:rPr>
          <w:rFonts w:hint="eastAsia" w:ascii="黑体" w:hAnsi="黑体" w:eastAsia="黑体" w:cs="黑体"/>
          <w:b w:val="0"/>
          <w:color w:val="000000"/>
          <w:sz w:val="32"/>
          <w:szCs w:val="32"/>
          <w:lang w:eastAsia="zh-CN"/>
        </w:rPr>
        <w:t>附件</w:t>
      </w:r>
      <w:r>
        <w:rPr>
          <w:rFonts w:hint="eastAsia" w:ascii="黑体" w:hAnsi="黑体" w:eastAsia="黑体" w:cs="黑体"/>
          <w:b w:val="0"/>
          <w:color w:val="000000"/>
          <w:sz w:val="32"/>
          <w:szCs w:val="32"/>
          <w:lang w:val="en-US" w:eastAsia="zh-CN"/>
        </w:rPr>
        <w:t>1</w:t>
      </w:r>
    </w:p>
    <w:p>
      <w:pPr>
        <w:pStyle w:val="4"/>
        <w:jc w:val="center"/>
        <w:rPr>
          <w:rFonts w:ascii="方正小标宋_GBK" w:hAnsi="黑体" w:eastAsia="方正小标宋_GBK"/>
          <w:b w:val="0"/>
          <w:color w:val="000000"/>
          <w:sz w:val="38"/>
          <w:szCs w:val="38"/>
        </w:rPr>
      </w:pPr>
      <w:r>
        <w:rPr>
          <w:rFonts w:hint="eastAsia" w:ascii="方正小标宋_GBK" w:hAnsi="黑体" w:eastAsia="方正小标宋_GBK"/>
          <w:b w:val="0"/>
          <w:color w:val="000000"/>
          <w:sz w:val="38"/>
          <w:szCs w:val="38"/>
        </w:rPr>
        <w:t>农村生活污水治理典型案例-桂林市红岩村</w:t>
      </w:r>
    </w:p>
    <w:p>
      <w:pPr>
        <w:rPr>
          <w:rFonts w:hint="eastAsia"/>
        </w:rPr>
      </w:pPr>
    </w:p>
    <w:p>
      <w:pPr>
        <w:numPr>
          <w:ilvl w:val="0"/>
          <w:numId w:val="1"/>
        </w:numPr>
        <w:rPr>
          <w:rFonts w:eastAsia="黑体"/>
          <w:sz w:val="30"/>
          <w:szCs w:val="30"/>
        </w:rPr>
      </w:pPr>
      <w:r>
        <w:rPr>
          <w:rFonts w:hint="eastAsia" w:eastAsia="黑体"/>
          <w:sz w:val="30"/>
          <w:szCs w:val="30"/>
        </w:rPr>
        <w:t>项目概况</w:t>
      </w:r>
    </w:p>
    <w:p>
      <w:pPr>
        <w:ind w:firstLine="560" w:firstLineChars="200"/>
      </w:pPr>
      <w:r>
        <w:t>桂林市红岩村</w:t>
      </w:r>
      <w:r>
        <w:rPr>
          <w:rFonts w:hint="eastAsia"/>
          <w:lang w:eastAsia="zh-CN"/>
        </w:rPr>
        <w:t>位于桂林市恭城县莲花镇竹山村，距县城14公里，距莲花集镇2公里，</w:t>
      </w:r>
      <w:r>
        <w:t>共有农户103户，408人</w:t>
      </w:r>
      <w:r>
        <w:rPr>
          <w:rFonts w:hint="eastAsia"/>
          <w:lang w:eastAsia="zh-CN"/>
        </w:rPr>
        <w:t>，交通和通讯十分便利，自然环境优美，莲花河流经该村，河畔翠竹林立、绿柳成荫，河水清澈缓流。红岩村积极实施“富裕生态家园”建设，大力发展“农家乐”特色旅游，成功走出了一条“生态富村、文明建村、旅游强村、民主理村”的科学发展路子，全村的生态农业跃上新台阶，村容村貌显著改变，村民收入明显提高，社会和谐稳定，群众安居乐业，先后荣获自治区“生态富民示范村”、“全区农业系统十佳生态富民样板村”等荣誉称号，被喻为“广西第一村”。红岩村以其优美的自然风光和舒适的人居环境，2006年2月，红岩村被国家旅游局命名为“全国农业旅游示范点”；11月，红岩村又荣获中央电视台“全国十大魅力乡村”的荣誉称号。</w:t>
      </w:r>
      <w:r>
        <w:t>该村屯已建有一套处理规模为40</w:t>
      </w:r>
      <w:r>
        <w:rPr>
          <w:rFonts w:hint="eastAsia"/>
        </w:rPr>
        <w:t>m³</w:t>
      </w:r>
      <w:r>
        <w:t>/d的污水处理站，大部分污水进入该处理站进行处理。该村有5户16人的生活污水</w:t>
      </w:r>
      <w:r>
        <w:rPr>
          <w:rFonts w:hint="eastAsia"/>
          <w:lang w:eastAsia="zh-CN"/>
        </w:rPr>
        <w:t>因</w:t>
      </w:r>
      <w:r>
        <w:t>无法接入集中式污水处理收集管网，</w:t>
      </w:r>
      <w:r>
        <w:rPr>
          <w:rFonts w:hint="eastAsia"/>
        </w:rPr>
        <w:t>2015年</w:t>
      </w:r>
      <w:r>
        <w:rPr>
          <w:rFonts w:hint="eastAsia"/>
          <w:lang w:eastAsia="zh-CN"/>
        </w:rPr>
        <w:t>安排</w:t>
      </w:r>
      <w:r>
        <w:rPr>
          <w:rFonts w:hint="eastAsia"/>
        </w:rPr>
        <w:t>自治区财政配套资金，县财政配套资金</w:t>
      </w:r>
      <w:r>
        <w:rPr>
          <w:rFonts w:hint="eastAsia"/>
          <w:lang w:eastAsia="zh-CN"/>
        </w:rPr>
        <w:t>支持，</w:t>
      </w:r>
      <w:r>
        <w:t>单独建设了5套氧化槽生活污水一体化处理设施，每套处理规模为1</w:t>
      </w:r>
      <w:r>
        <w:rPr>
          <w:rFonts w:hint="eastAsia"/>
        </w:rPr>
        <w:t>m³</w:t>
      </w:r>
      <w:r>
        <w:t>/d。</w:t>
      </w:r>
    </w:p>
    <w:p>
      <w:pPr>
        <w:numPr>
          <w:ilvl w:val="0"/>
          <w:numId w:val="1"/>
        </w:numPr>
        <w:rPr>
          <w:rFonts w:eastAsia="黑体"/>
          <w:sz w:val="30"/>
          <w:szCs w:val="30"/>
        </w:rPr>
      </w:pPr>
      <w:r>
        <w:rPr>
          <w:rFonts w:eastAsia="黑体"/>
          <w:sz w:val="30"/>
          <w:szCs w:val="30"/>
        </w:rPr>
        <w:t>技术工艺</w:t>
      </w:r>
    </w:p>
    <w:p>
      <w:pPr>
        <w:ind w:firstLine="560" w:firstLineChars="200"/>
      </w:pPr>
      <w:r>
        <w:rPr>
          <w:rFonts w:hint="eastAsia"/>
        </w:rPr>
        <w:t>户用分散成套设备</w:t>
      </w:r>
    </w:p>
    <w:p>
      <w:pPr>
        <w:ind w:firstLine="600" w:firstLineChars="200"/>
        <w:rPr>
          <w:rFonts w:eastAsia="黑体"/>
          <w:sz w:val="30"/>
          <w:szCs w:val="30"/>
        </w:rPr>
      </w:pPr>
      <w:r>
        <w:rPr>
          <w:rFonts w:hint="eastAsia" w:eastAsia="黑体"/>
          <w:sz w:val="30"/>
          <w:szCs w:val="30"/>
        </w:rPr>
        <w:t>三、</w:t>
      </w:r>
      <w:r>
        <w:rPr>
          <w:rFonts w:eastAsia="黑体"/>
          <w:sz w:val="30"/>
          <w:szCs w:val="30"/>
        </w:rPr>
        <w:t>治理情况</w:t>
      </w:r>
    </w:p>
    <w:p>
      <w:pPr>
        <w:ind w:firstLine="560" w:firstLineChars="200"/>
      </w:pPr>
      <w:r>
        <w:rPr>
          <w:rFonts w:hint="eastAsia"/>
        </w:rPr>
        <w:t>1.设施建设</w:t>
      </w:r>
    </w:p>
    <w:p>
      <w:pPr>
        <w:ind w:firstLine="560" w:firstLineChars="200"/>
      </w:pPr>
      <w:r>
        <w:rPr>
          <w:rFonts w:hint="eastAsia"/>
        </w:rPr>
        <w:t>该</w:t>
      </w:r>
      <w:r>
        <w:t>项目建设成本设备费1.8万元/套，5套总投资9万元。运营采用第三方统一运维，运维费用500元/月.套，全年运维费用6000元/套。其中，电费成本</w:t>
      </w:r>
      <w:r>
        <w:rPr>
          <w:rFonts w:hint="eastAsia"/>
        </w:rPr>
        <w:t>：</w:t>
      </w:r>
      <w:r>
        <w:t>每套设备的鼓风机34w，全天24h运行，电费单间按0.6元计，每日电费0.49元，每月电费15元，全年电费180元；人工费用按300元/月计。</w:t>
      </w:r>
    </w:p>
    <w:p>
      <w:pPr>
        <w:ind w:firstLine="560" w:firstLineChars="200"/>
      </w:pPr>
      <w:r>
        <w:rPr>
          <w:rFonts w:hint="eastAsia"/>
        </w:rPr>
        <w:t>2.</w:t>
      </w:r>
      <w:r>
        <w:t>治理成效</w:t>
      </w:r>
    </w:p>
    <w:p>
      <w:pPr>
        <w:ind w:firstLine="560" w:firstLineChars="200"/>
        <w:rPr>
          <w:bCs/>
          <w:szCs w:val="28"/>
        </w:rPr>
      </w:pPr>
      <w:r>
        <w:t>设计出水达《城镇污水处理厂污染物排放标准》一级B标准，该设计出水水质同时满足广西地方标准《农村生活污水处理设施水污染物排放标准》二级标准的排放要求。</w:t>
      </w:r>
      <w:r>
        <w:rPr>
          <w:bCs/>
          <w:szCs w:val="28"/>
        </w:rPr>
        <w:t>红岩村污水处理站</w:t>
      </w:r>
      <w:r>
        <w:rPr>
          <w:rFonts w:hint="eastAsia"/>
          <w:bCs/>
          <w:szCs w:val="28"/>
        </w:rPr>
        <w:t>现场照片</w:t>
      </w:r>
      <w:r>
        <w:rPr>
          <w:bCs/>
          <w:szCs w:val="28"/>
        </w:rPr>
        <w:t>见图</w:t>
      </w:r>
      <w:r>
        <w:rPr>
          <w:rFonts w:hint="eastAsia"/>
          <w:bCs/>
          <w:szCs w:val="28"/>
        </w:rPr>
        <w:t>1</w:t>
      </w:r>
      <w:r>
        <w:rPr>
          <w:bCs/>
          <w:szCs w:val="28"/>
        </w:rPr>
        <w:t>-1</w:t>
      </w:r>
      <w:r>
        <w:rPr>
          <w:rFonts w:hint="eastAsia"/>
          <w:bCs/>
          <w:szCs w:val="28"/>
          <w:lang w:eastAsia="zh-CN"/>
        </w:rPr>
        <w:t>、图</w:t>
      </w:r>
      <w:r>
        <w:rPr>
          <w:rFonts w:hint="eastAsia"/>
          <w:bCs/>
          <w:szCs w:val="28"/>
          <w:lang w:val="en-US" w:eastAsia="zh-CN"/>
        </w:rPr>
        <w:t>1-2</w:t>
      </w:r>
      <w:r>
        <w:rPr>
          <w:bCs/>
          <w:szCs w:val="28"/>
        </w:rPr>
        <w:t>。</w:t>
      </w:r>
    </w:p>
    <w:p/>
    <w:bookmarkEnd w:id="0"/>
    <w:bookmarkEnd w:id="1"/>
    <w:bookmarkEnd w:id="2"/>
    <w:tbl>
      <w:tblPr>
        <w:tblStyle w:val="1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1" w:hRule="atLeast"/>
        </w:trPr>
        <w:tc>
          <w:tcPr>
            <w:tcW w:w="4261" w:type="dxa"/>
            <w:tcBorders>
              <w:tl2br w:val="nil"/>
              <w:tr2bl w:val="nil"/>
            </w:tcBorders>
          </w:tcPr>
          <w:p>
            <w:pPr>
              <w:jc w:val="center"/>
              <w:rPr>
                <w:bCs/>
                <w:sz w:val="24"/>
              </w:rPr>
            </w:pPr>
            <w:r>
              <w:drawing>
                <wp:inline distT="0" distB="0" distL="114300" distR="114300">
                  <wp:extent cx="2961005" cy="2221865"/>
                  <wp:effectExtent l="0" t="0" r="10795" b="6985"/>
                  <wp:docPr id="2" name="图片 6" descr="IMG_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7358"/>
                          <pic:cNvPicPr>
                            <a:picLocks noChangeAspect="1"/>
                          </pic:cNvPicPr>
                        </pic:nvPicPr>
                        <pic:blipFill>
                          <a:blip r:embed="rId5"/>
                          <a:stretch>
                            <a:fillRect/>
                          </a:stretch>
                        </pic:blipFill>
                        <pic:spPr>
                          <a:xfrm>
                            <a:off x="0" y="0"/>
                            <a:ext cx="2961005" cy="2221865"/>
                          </a:xfrm>
                          <a:prstGeom prst="rect">
                            <a:avLst/>
                          </a:prstGeom>
                          <a:noFill/>
                          <a:ln>
                            <a:noFill/>
                          </a:ln>
                        </pic:spPr>
                      </pic:pic>
                    </a:graphicData>
                  </a:graphic>
                </wp:inline>
              </w:drawing>
            </w:r>
          </w:p>
          <w:p>
            <w:pPr>
              <w:jc w:val="center"/>
              <w:rPr>
                <w:rFonts w:eastAsia="宋体"/>
              </w:rPr>
            </w:pPr>
            <w:r>
              <w:rPr>
                <w:bCs/>
                <w:sz w:val="24"/>
              </w:rPr>
              <w:t>分散处理概况</w:t>
            </w:r>
          </w:p>
        </w:tc>
        <w:tc>
          <w:tcPr>
            <w:tcW w:w="4261" w:type="dxa"/>
            <w:tcBorders>
              <w:tl2br w:val="nil"/>
              <w:tr2bl w:val="nil"/>
            </w:tcBorders>
          </w:tcPr>
          <w:p>
            <w:pPr>
              <w:jc w:val="center"/>
              <w:rPr>
                <w:bCs/>
                <w:sz w:val="24"/>
              </w:rPr>
            </w:pPr>
            <w:r>
              <w:rPr>
                <w:b/>
                <w:bCs/>
                <w:sz w:val="22"/>
              </w:rPr>
              <w:drawing>
                <wp:inline distT="0" distB="0" distL="114300" distR="114300">
                  <wp:extent cx="2196465" cy="2196465"/>
                  <wp:effectExtent l="0" t="0" r="13335" b="13335"/>
                  <wp:docPr id="3" name="图片 3" descr="IMG_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356"/>
                          <pic:cNvPicPr>
                            <a:picLocks noChangeAspect="1"/>
                          </pic:cNvPicPr>
                        </pic:nvPicPr>
                        <pic:blipFill>
                          <a:blip r:embed="rId6"/>
                          <a:stretch>
                            <a:fillRect/>
                          </a:stretch>
                        </pic:blipFill>
                        <pic:spPr>
                          <a:xfrm>
                            <a:off x="0" y="0"/>
                            <a:ext cx="2196465" cy="2196465"/>
                          </a:xfrm>
                          <a:prstGeom prst="rect">
                            <a:avLst/>
                          </a:prstGeom>
                          <a:noFill/>
                          <a:ln>
                            <a:noFill/>
                          </a:ln>
                        </pic:spPr>
                      </pic:pic>
                    </a:graphicData>
                  </a:graphic>
                </wp:inline>
              </w:drawing>
            </w:r>
          </w:p>
          <w:p>
            <w:pPr>
              <w:jc w:val="center"/>
            </w:pPr>
            <w:r>
              <w:rPr>
                <w:bCs/>
                <w:sz w:val="24"/>
              </w:rPr>
              <w:t>一体化设备</w:t>
            </w:r>
          </w:p>
        </w:tc>
      </w:tr>
    </w:tbl>
    <w:p>
      <w:pPr>
        <w:jc w:val="center"/>
        <w:rPr>
          <w:b/>
          <w:bCs/>
          <w:sz w:val="24"/>
        </w:rPr>
      </w:pPr>
      <w:r>
        <w:rPr>
          <w:b/>
          <w:bCs/>
          <w:sz w:val="24"/>
        </w:rPr>
        <w:t>图</w:t>
      </w:r>
      <w:r>
        <w:rPr>
          <w:rFonts w:hint="eastAsia"/>
          <w:b/>
          <w:bCs/>
          <w:sz w:val="24"/>
        </w:rPr>
        <w:t>1</w:t>
      </w:r>
      <w:r>
        <w:rPr>
          <w:b/>
          <w:bCs/>
          <w:sz w:val="24"/>
        </w:rPr>
        <w:t>-1桂林市恭城县红岩村污水处理站</w:t>
      </w:r>
      <w:r>
        <w:rPr>
          <w:rFonts w:hint="eastAsia"/>
          <w:b/>
          <w:bCs/>
          <w:sz w:val="24"/>
        </w:rPr>
        <w:t>设施</w:t>
      </w:r>
    </w:p>
    <w:p>
      <w:pPr>
        <w:pStyle w:val="2"/>
      </w:pPr>
    </w:p>
    <w:p>
      <w:pPr>
        <w:pStyle w:val="2"/>
      </w:pPr>
      <w:r>
        <w:rPr>
          <w:rFonts w:eastAsia="仿宋_GB2312"/>
          <w:b w:val="0"/>
          <w:bCs w:val="0"/>
          <w:sz w:val="32"/>
        </w:rPr>
        <w:drawing>
          <wp:inline distT="0" distB="0" distL="114300" distR="114300">
            <wp:extent cx="5266690" cy="3576955"/>
            <wp:effectExtent l="0" t="0" r="10160" b="4445"/>
            <wp:docPr id="1" name="图片 1" descr="恭城瑶族自治县莲花镇竹山村红岩屯2015年总投资120万元，日处理量80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恭城瑶族自治县莲花镇竹山村红岩屯2015年总投资120万元，日处理量80吨 (2)"/>
                    <pic:cNvPicPr>
                      <a:picLocks noChangeAspect="1"/>
                    </pic:cNvPicPr>
                  </pic:nvPicPr>
                  <pic:blipFill>
                    <a:blip r:embed="rId7"/>
                    <a:stretch>
                      <a:fillRect/>
                    </a:stretch>
                  </pic:blipFill>
                  <pic:spPr>
                    <a:xfrm>
                      <a:off x="0" y="0"/>
                      <a:ext cx="5266690" cy="3576955"/>
                    </a:xfrm>
                    <a:prstGeom prst="rect">
                      <a:avLst/>
                    </a:prstGeom>
                  </pic:spPr>
                </pic:pic>
              </a:graphicData>
            </a:graphic>
          </wp:inline>
        </w:drawing>
      </w:r>
    </w:p>
    <w:p>
      <w:pPr>
        <w:jc w:val="center"/>
      </w:pPr>
      <w:r>
        <w:rPr>
          <w:b/>
          <w:bCs/>
          <w:sz w:val="24"/>
        </w:rPr>
        <w:t>图</w:t>
      </w:r>
      <w:r>
        <w:rPr>
          <w:rFonts w:hint="eastAsia"/>
          <w:b/>
          <w:bCs/>
          <w:sz w:val="24"/>
        </w:rPr>
        <w:t>1</w:t>
      </w:r>
      <w:r>
        <w:rPr>
          <w:b/>
          <w:bCs/>
          <w:sz w:val="24"/>
        </w:rPr>
        <w:t>-</w:t>
      </w:r>
      <w:r>
        <w:rPr>
          <w:rFonts w:hint="eastAsia"/>
          <w:b/>
          <w:bCs/>
          <w:sz w:val="24"/>
        </w:rPr>
        <w:t>2</w:t>
      </w:r>
      <w:r>
        <w:rPr>
          <w:b/>
          <w:bCs/>
          <w:sz w:val="24"/>
        </w:rPr>
        <w:t>桂林市恭城县红岩村污水处理站</w:t>
      </w:r>
      <w:r>
        <w:rPr>
          <w:rFonts w:hint="eastAsia"/>
          <w:b/>
          <w:bCs/>
          <w:sz w:val="24"/>
        </w:rPr>
        <w:t>全景</w:t>
      </w:r>
    </w:p>
    <w:p/>
    <w:p>
      <w:pPr>
        <w:adjustRightInd w:val="0"/>
        <w:snapToGrid w:val="0"/>
        <w:spacing w:line="240" w:lineRule="auto"/>
        <w:jc w:val="center"/>
        <w:rPr>
          <w:rFonts w:ascii="方正小标宋_GBK" w:hAnsi="黑体" w:eastAsia="方正小标宋_GBK"/>
          <w:color w:val="000000"/>
          <w:sz w:val="38"/>
          <w:szCs w:val="38"/>
        </w:rPr>
      </w:pPr>
    </w:p>
    <w:p>
      <w:pPr>
        <w:adjustRightInd w:val="0"/>
        <w:snapToGrid w:val="0"/>
        <w:spacing w:line="240" w:lineRule="auto"/>
        <w:jc w:val="center"/>
        <w:rPr>
          <w:rFonts w:ascii="方正小标宋_GBK" w:hAnsi="黑体" w:eastAsia="方正小标宋_GBK"/>
          <w:color w:val="000000"/>
          <w:sz w:val="38"/>
          <w:szCs w:val="38"/>
        </w:rPr>
      </w:pPr>
    </w:p>
    <w:p>
      <w:pPr>
        <w:adjustRightInd w:val="0"/>
        <w:snapToGrid w:val="0"/>
        <w:spacing w:line="240" w:lineRule="auto"/>
        <w:jc w:val="center"/>
        <w:rPr>
          <w:rFonts w:ascii="方正小标宋_GBK" w:hAnsi="黑体" w:eastAsia="方正小标宋_GBK"/>
          <w:color w:val="000000"/>
          <w:sz w:val="38"/>
          <w:szCs w:val="38"/>
        </w:rPr>
      </w:pPr>
    </w:p>
    <w:p>
      <w:pPr>
        <w:adjustRightInd w:val="0"/>
        <w:snapToGrid w:val="0"/>
        <w:spacing w:line="240" w:lineRule="auto"/>
        <w:jc w:val="center"/>
        <w:rPr>
          <w:rFonts w:ascii="方正小标宋_GBK" w:hAnsi="黑体" w:eastAsia="方正小标宋_GBK"/>
          <w:color w:val="000000"/>
          <w:sz w:val="38"/>
          <w:szCs w:val="38"/>
        </w:rPr>
      </w:pPr>
    </w:p>
    <w:p>
      <w:pPr>
        <w:adjustRightInd w:val="0"/>
        <w:snapToGrid w:val="0"/>
        <w:spacing w:line="240" w:lineRule="auto"/>
        <w:jc w:val="center"/>
        <w:rPr>
          <w:rFonts w:ascii="方正小标宋_GBK" w:hAnsi="黑体" w:eastAsia="方正小标宋_GBK"/>
          <w:color w:val="000000"/>
          <w:sz w:val="38"/>
          <w:szCs w:val="38"/>
        </w:rPr>
      </w:pPr>
    </w:p>
    <w:p>
      <w:pPr>
        <w:adjustRightInd w:val="0"/>
        <w:snapToGrid w:val="0"/>
        <w:spacing w:line="240" w:lineRule="auto"/>
        <w:jc w:val="center"/>
        <w:rPr>
          <w:rFonts w:ascii="方正小标宋_GBK" w:hAnsi="黑体" w:eastAsia="方正小标宋_GBK"/>
          <w:color w:val="000000"/>
          <w:sz w:val="38"/>
          <w:szCs w:val="38"/>
        </w:rPr>
      </w:pPr>
    </w:p>
    <w:p>
      <w:pPr>
        <w:adjustRightInd w:val="0"/>
        <w:snapToGrid w:val="0"/>
        <w:spacing w:line="240" w:lineRule="auto"/>
        <w:jc w:val="center"/>
        <w:rPr>
          <w:rFonts w:ascii="方正小标宋_GBK" w:hAnsi="黑体" w:eastAsia="方正小标宋_GBK"/>
          <w:color w:val="000000"/>
          <w:sz w:val="38"/>
          <w:szCs w:val="38"/>
        </w:rPr>
      </w:pPr>
    </w:p>
    <w:p>
      <w:pPr>
        <w:pStyle w:val="2"/>
      </w:pPr>
    </w:p>
    <w:p>
      <w:pPr>
        <w:adjustRightInd w:val="0"/>
        <w:snapToGrid w:val="0"/>
        <w:spacing w:line="240" w:lineRule="auto"/>
        <w:jc w:val="center"/>
        <w:rPr>
          <w:rFonts w:ascii="方正小标宋_GBK" w:hAnsi="黑体" w:eastAsia="方正小标宋_GBK"/>
          <w:color w:val="000000"/>
          <w:sz w:val="38"/>
          <w:szCs w:val="38"/>
        </w:rPr>
      </w:pPr>
    </w:p>
    <w:p>
      <w:pPr>
        <w:adjustRightInd w:val="0"/>
        <w:snapToGrid w:val="0"/>
        <w:spacing w:line="240" w:lineRule="auto"/>
        <w:jc w:val="center"/>
        <w:rPr>
          <w:rFonts w:ascii="方正小标宋_GBK" w:hAnsi="黑体" w:eastAsia="方正小标宋_GBK"/>
          <w:color w:val="000000"/>
          <w:sz w:val="38"/>
          <w:szCs w:val="38"/>
        </w:rPr>
      </w:pPr>
      <w:r>
        <w:rPr>
          <w:rFonts w:ascii="方正小标宋_GBK" w:hAnsi="黑体" w:eastAsia="方正小标宋_GBK"/>
          <w:color w:val="000000"/>
          <w:sz w:val="38"/>
          <w:szCs w:val="38"/>
        </w:rPr>
        <w:t>农村生活污水治理典型案例-桂林市黄岭屯</w:t>
      </w: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r>
        <w:rPr>
          <w:rFonts w:hint="eastAsia" w:ascii="黑体" w:hAnsi="黑体" w:eastAsia="黑体" w:cs="黑体"/>
          <w:sz w:val="30"/>
          <w:szCs w:val="30"/>
        </w:rPr>
        <w:t>一、</w:t>
      </w:r>
      <w:r>
        <w:rPr>
          <w:rFonts w:ascii="黑体" w:hAnsi="黑体" w:eastAsia="黑体" w:cs="黑体"/>
          <w:sz w:val="30"/>
          <w:szCs w:val="30"/>
        </w:rPr>
        <w:t>项目概况</w:t>
      </w:r>
    </w:p>
    <w:p>
      <w:pPr>
        <w:ind w:firstLine="560" w:firstLineChars="200"/>
      </w:pPr>
      <w:r>
        <w:t>黄岭屯位于桂林市平安镇新街村，全村有农户148户，566人，2015年</w:t>
      </w:r>
      <w:r>
        <w:rPr>
          <w:rFonts w:hint="eastAsia"/>
          <w:lang w:eastAsia="zh-CN"/>
        </w:rPr>
        <w:t>获</w:t>
      </w:r>
      <w:r>
        <w:t>农村环境综合整治项目资金支持，建设了4套总规模85</w:t>
      </w:r>
      <w:r>
        <w:rPr>
          <w:rFonts w:hint="eastAsia"/>
        </w:rPr>
        <w:t>m³</w:t>
      </w:r>
      <w:r>
        <w:t>/d污水处理设施。</w:t>
      </w:r>
      <w:r>
        <w:rPr>
          <w:rFonts w:hint="eastAsia"/>
        </w:rPr>
        <w:t>平安乡新街村黄岭屯是全国“三位一体”生态农业发源地，近年来，通过推广沼气“全托管”模式，助推“三生”共进，促进了生态更加良好、生产更加发展、生活更加富裕，被评为“广西普及沼气能源示范村”，被作为2015年全国人居环境会议现场参观点。</w:t>
      </w:r>
    </w:p>
    <w:p>
      <w:pPr>
        <w:ind w:firstLine="600" w:firstLineChars="200"/>
        <w:rPr>
          <w:rFonts w:ascii="黑体" w:hAnsi="黑体" w:eastAsia="黑体" w:cs="黑体"/>
          <w:sz w:val="30"/>
          <w:szCs w:val="30"/>
        </w:rPr>
      </w:pPr>
      <w:r>
        <w:rPr>
          <w:rFonts w:hint="eastAsia" w:ascii="黑体" w:hAnsi="黑体" w:eastAsia="黑体" w:cs="黑体"/>
          <w:sz w:val="30"/>
          <w:szCs w:val="30"/>
        </w:rPr>
        <w:t>二、技术工艺</w:t>
      </w:r>
    </w:p>
    <w:p>
      <w:pPr>
        <w:ind w:firstLine="560" w:firstLineChars="200"/>
      </w:pPr>
      <w:r>
        <w:t>利用自然落差将污水集中到污水池，采用分散式无动力厌氧跌水曝气池，通过三级厌氧发酵，再流入到种满植物的人工湿地，经过植物根茎吸收多余的氮、磷等，达标排放后的水还可以浇灌果园。</w:t>
      </w:r>
    </w:p>
    <w:p>
      <w:pPr>
        <w:ind w:firstLine="600" w:firstLineChars="200"/>
        <w:rPr>
          <w:rFonts w:ascii="黑体" w:hAnsi="黑体" w:eastAsia="黑体" w:cs="黑体"/>
          <w:sz w:val="30"/>
          <w:szCs w:val="30"/>
        </w:rPr>
      </w:pPr>
      <w:r>
        <w:rPr>
          <w:rFonts w:hint="eastAsia" w:ascii="黑体" w:hAnsi="黑体" w:eastAsia="黑体" w:cs="黑体"/>
          <w:sz w:val="30"/>
          <w:szCs w:val="30"/>
        </w:rPr>
        <w:t>三</w:t>
      </w:r>
      <w:r>
        <w:rPr>
          <w:rFonts w:ascii="黑体" w:hAnsi="黑体" w:eastAsia="黑体" w:cs="黑体"/>
          <w:sz w:val="30"/>
          <w:szCs w:val="30"/>
        </w:rPr>
        <w:t>、治理情况</w:t>
      </w:r>
    </w:p>
    <w:p>
      <w:pPr>
        <w:ind w:firstLine="560" w:firstLineChars="200"/>
      </w:pPr>
      <w:r>
        <w:rPr>
          <w:rFonts w:hint="eastAsia"/>
        </w:rPr>
        <w:t>1.项目投资</w:t>
      </w:r>
    </w:p>
    <w:p>
      <w:pPr>
        <w:ind w:firstLine="560" w:firstLineChars="200"/>
      </w:pPr>
      <w:r>
        <w:t>总投资70万元</w:t>
      </w:r>
      <w:r>
        <w:rPr>
          <w:rFonts w:hint="eastAsia"/>
        </w:rPr>
        <w:t>，</w:t>
      </w:r>
      <w:r>
        <w:t>运行费用仅包括人工管理费，500元/月，年总费用0.6万元，生活污水处理费用为0.44元/</w:t>
      </w:r>
      <w:r>
        <w:rPr>
          <w:rFonts w:hint="eastAsia"/>
        </w:rPr>
        <w:t>m³</w:t>
      </w:r>
      <w:r>
        <w:t>。</w:t>
      </w:r>
    </w:p>
    <w:p>
      <w:pPr>
        <w:ind w:firstLine="560" w:firstLineChars="200"/>
      </w:pPr>
      <w:r>
        <w:rPr>
          <w:rFonts w:hint="eastAsia"/>
        </w:rPr>
        <w:t>2.治理成效</w:t>
      </w:r>
    </w:p>
    <w:p>
      <w:pPr>
        <w:ind w:firstLine="560" w:firstLineChars="200"/>
      </w:pPr>
      <w:r>
        <w:t>工程自建成以来，运行稳定，管理维护简单，无需曝气和污水提升，设备投资少，无需用电，无电耗药耗，经济节能，出水水质达到《城镇污水处理厂污染物排放标准》（GB18918-2002）一级B标准，出水可用于农灌。</w:t>
      </w:r>
    </w:p>
    <w:tbl>
      <w:tblPr>
        <w:tblStyle w:val="1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1" w:hRule="atLeast"/>
        </w:trPr>
        <w:tc>
          <w:tcPr>
            <w:tcW w:w="4261" w:type="dxa"/>
            <w:tcBorders>
              <w:tl2br w:val="nil"/>
              <w:tr2bl w:val="nil"/>
            </w:tcBorders>
          </w:tcPr>
          <w:p>
            <w:pPr>
              <w:jc w:val="center"/>
              <w:rPr>
                <w:rFonts w:eastAsia="宋体"/>
              </w:rPr>
            </w:pPr>
            <w:r>
              <w:drawing>
                <wp:inline distT="0" distB="0" distL="114300" distR="114300">
                  <wp:extent cx="3378200" cy="2520315"/>
                  <wp:effectExtent l="0" t="0" r="12700" b="13335"/>
                  <wp:docPr id="4"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1"/>
                          <pic:cNvPicPr>
                            <a:picLocks noChangeAspect="1"/>
                          </pic:cNvPicPr>
                        </pic:nvPicPr>
                        <pic:blipFill>
                          <a:blip r:embed="rId8"/>
                          <a:stretch>
                            <a:fillRect/>
                          </a:stretch>
                        </pic:blipFill>
                        <pic:spPr>
                          <a:xfrm>
                            <a:off x="0" y="0"/>
                            <a:ext cx="3378200" cy="2520315"/>
                          </a:xfrm>
                          <a:prstGeom prst="rect">
                            <a:avLst/>
                          </a:prstGeom>
                          <a:noFill/>
                          <a:ln>
                            <a:noFill/>
                          </a:ln>
                        </pic:spPr>
                      </pic:pic>
                    </a:graphicData>
                  </a:graphic>
                </wp:inline>
              </w:drawing>
            </w:r>
            <w:r>
              <w:t>设施全貌</w:t>
            </w:r>
          </w:p>
        </w:tc>
        <w:tc>
          <w:tcPr>
            <w:tcW w:w="4261" w:type="dxa"/>
            <w:tcBorders>
              <w:tl2br w:val="nil"/>
              <w:tr2bl w:val="nil"/>
            </w:tcBorders>
          </w:tcPr>
          <w:p>
            <w:pPr>
              <w:rPr>
                <w:bCs/>
                <w:sz w:val="24"/>
              </w:rPr>
            </w:pPr>
            <w:r>
              <w:rPr>
                <w:bCs/>
                <w:sz w:val="24"/>
              </w:rPr>
              <w:drawing>
                <wp:inline distT="0" distB="0" distL="114300" distR="114300">
                  <wp:extent cx="2651760" cy="2520315"/>
                  <wp:effectExtent l="0" t="0" r="15240" b="13335"/>
                  <wp:docPr id="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1"/>
                          <pic:cNvPicPr>
                            <a:picLocks noChangeAspect="1"/>
                          </pic:cNvPicPr>
                        </pic:nvPicPr>
                        <pic:blipFill>
                          <a:blip r:embed="rId9"/>
                          <a:stretch>
                            <a:fillRect/>
                          </a:stretch>
                        </pic:blipFill>
                        <pic:spPr>
                          <a:xfrm>
                            <a:off x="0" y="0"/>
                            <a:ext cx="2651760" cy="2520315"/>
                          </a:xfrm>
                          <a:prstGeom prst="rect">
                            <a:avLst/>
                          </a:prstGeom>
                          <a:noFill/>
                          <a:ln>
                            <a:noFill/>
                          </a:ln>
                        </pic:spPr>
                      </pic:pic>
                    </a:graphicData>
                  </a:graphic>
                </wp:inline>
              </w:drawing>
            </w:r>
          </w:p>
          <w:p>
            <w:pPr>
              <w:jc w:val="center"/>
            </w:pPr>
            <w:r>
              <w:rPr>
                <w:rFonts w:hint="eastAsia"/>
              </w:rPr>
              <w:t>人工湿地</w:t>
            </w:r>
          </w:p>
        </w:tc>
      </w:tr>
    </w:tbl>
    <w:p>
      <w:pPr>
        <w:pStyle w:val="7"/>
        <w:ind w:left="560"/>
        <w:jc w:val="center"/>
        <w:rPr>
          <w:b/>
          <w:bCs/>
          <w:sz w:val="24"/>
        </w:rPr>
      </w:pPr>
      <w:r>
        <w:rPr>
          <w:b/>
          <w:bCs/>
          <w:sz w:val="24"/>
        </w:rPr>
        <w:t>图</w:t>
      </w:r>
      <w:r>
        <w:rPr>
          <w:rFonts w:hint="eastAsia"/>
          <w:b/>
          <w:bCs/>
          <w:sz w:val="24"/>
        </w:rPr>
        <w:t>1</w:t>
      </w:r>
      <w:r>
        <w:rPr>
          <w:b/>
          <w:bCs/>
          <w:sz w:val="24"/>
        </w:rPr>
        <w:t>-</w:t>
      </w:r>
      <w:r>
        <w:rPr>
          <w:rFonts w:hint="eastAsia"/>
          <w:b/>
          <w:bCs/>
          <w:sz w:val="24"/>
        </w:rPr>
        <w:t>3</w:t>
      </w:r>
      <w:r>
        <w:rPr>
          <w:b/>
          <w:bCs/>
          <w:sz w:val="24"/>
        </w:rPr>
        <w:t>恭城县黄岭屯农村生活污水处理设施</w:t>
      </w:r>
    </w:p>
    <w:p>
      <w:pPr>
        <w:pStyle w:val="7"/>
        <w:ind w:left="560"/>
        <w:jc w:val="center"/>
        <w:rPr>
          <w:b/>
          <w:bCs/>
          <w:sz w:val="24"/>
        </w:rPr>
      </w:pPr>
    </w:p>
    <w:p>
      <w:pPr>
        <w:pStyle w:val="7"/>
        <w:ind w:left="560"/>
        <w:jc w:val="center"/>
        <w:rPr>
          <w:b/>
          <w:bCs/>
          <w:sz w:val="24"/>
        </w:rPr>
      </w:pPr>
    </w:p>
    <w:p>
      <w:pPr>
        <w:pStyle w:val="7"/>
        <w:ind w:left="560"/>
        <w:jc w:val="center"/>
        <w:rPr>
          <w:b/>
          <w:bCs/>
          <w:sz w:val="24"/>
        </w:rPr>
      </w:pPr>
    </w:p>
    <w:p>
      <w:pPr>
        <w:pStyle w:val="7"/>
        <w:ind w:left="560"/>
        <w:jc w:val="center"/>
        <w:rPr>
          <w:b/>
          <w:bCs/>
          <w:sz w:val="24"/>
        </w:rPr>
      </w:pPr>
    </w:p>
    <w:p>
      <w:pPr>
        <w:pStyle w:val="7"/>
        <w:ind w:left="560"/>
        <w:jc w:val="center"/>
        <w:rPr>
          <w:b/>
          <w:bCs/>
          <w:sz w:val="24"/>
        </w:rPr>
      </w:pPr>
    </w:p>
    <w:p>
      <w:pPr>
        <w:pStyle w:val="7"/>
        <w:ind w:left="560"/>
        <w:jc w:val="center"/>
        <w:rPr>
          <w:b/>
          <w:bCs/>
          <w:sz w:val="24"/>
        </w:rPr>
      </w:pPr>
    </w:p>
    <w:p>
      <w:pPr>
        <w:pStyle w:val="7"/>
        <w:ind w:left="560"/>
        <w:jc w:val="center"/>
        <w:rPr>
          <w:b/>
          <w:bCs/>
          <w:sz w:val="24"/>
        </w:rPr>
      </w:pPr>
    </w:p>
    <w:p>
      <w:pPr>
        <w:pStyle w:val="7"/>
        <w:ind w:left="560"/>
        <w:jc w:val="center"/>
        <w:rPr>
          <w:b/>
          <w:bCs/>
          <w:sz w:val="24"/>
        </w:rPr>
      </w:pPr>
    </w:p>
    <w:p>
      <w:pPr>
        <w:pStyle w:val="7"/>
        <w:ind w:left="560"/>
        <w:jc w:val="center"/>
        <w:rPr>
          <w:b/>
          <w:bCs/>
          <w:sz w:val="24"/>
        </w:rPr>
      </w:pPr>
    </w:p>
    <w:p>
      <w:pPr>
        <w:adjustRightInd w:val="0"/>
        <w:snapToGrid w:val="0"/>
        <w:spacing w:line="240" w:lineRule="auto"/>
        <w:jc w:val="center"/>
        <w:rPr>
          <w:rFonts w:ascii="方正小标宋_GBK" w:hAnsi="黑体" w:eastAsia="方正小标宋_GBK"/>
          <w:color w:val="000000"/>
          <w:sz w:val="38"/>
          <w:szCs w:val="38"/>
        </w:rPr>
      </w:pPr>
    </w:p>
    <w:p>
      <w:pPr>
        <w:adjustRightInd w:val="0"/>
        <w:snapToGrid w:val="0"/>
        <w:spacing w:line="240" w:lineRule="auto"/>
        <w:jc w:val="center"/>
        <w:rPr>
          <w:rFonts w:ascii="方正小标宋_GBK" w:hAnsi="黑体" w:eastAsia="方正小标宋_GBK"/>
          <w:color w:val="000000"/>
          <w:sz w:val="38"/>
          <w:szCs w:val="38"/>
        </w:rPr>
      </w:pPr>
      <w:bookmarkStart w:id="10" w:name="_GoBack"/>
      <w:bookmarkEnd w:id="10"/>
      <w:r>
        <w:rPr>
          <w:rFonts w:ascii="方正小标宋_GBK" w:hAnsi="黑体" w:eastAsia="方正小标宋_GBK"/>
          <w:color w:val="000000"/>
          <w:sz w:val="38"/>
          <w:szCs w:val="38"/>
        </w:rPr>
        <w:t>农村生活污水治理典型案例-南宁市那元三队</w:t>
      </w:r>
    </w:p>
    <w:p>
      <w:pPr>
        <w:pStyle w:val="7"/>
        <w:ind w:left="0" w:leftChars="0"/>
        <w:rPr>
          <w:rFonts w:ascii="黑体" w:hAnsi="黑体" w:eastAsia="黑体" w:cs="黑体"/>
          <w:sz w:val="30"/>
          <w:szCs w:val="30"/>
        </w:rPr>
      </w:pPr>
    </w:p>
    <w:p>
      <w:pPr>
        <w:pStyle w:val="7"/>
        <w:ind w:left="0" w:leftChars="0" w:firstLine="600" w:firstLineChars="200"/>
        <w:rPr>
          <w:rFonts w:ascii="黑体" w:hAnsi="黑体" w:eastAsia="黑体" w:cs="黑体"/>
          <w:sz w:val="30"/>
          <w:szCs w:val="30"/>
        </w:rPr>
      </w:pPr>
      <w:r>
        <w:rPr>
          <w:rFonts w:hint="eastAsia" w:ascii="黑体" w:hAnsi="黑体" w:eastAsia="黑体" w:cs="黑体"/>
          <w:sz w:val="30"/>
          <w:szCs w:val="30"/>
        </w:rPr>
        <w:t>一、项目概况</w:t>
      </w:r>
    </w:p>
    <w:p>
      <w:pPr>
        <w:ind w:firstLine="560" w:firstLineChars="200"/>
      </w:pPr>
      <w:r>
        <w:rPr>
          <w:highlight w:val="none"/>
        </w:rPr>
        <w:t>南宁市西乡塘区东南村那元三队示范基地项目设计处理规模</w:t>
      </w:r>
      <w:r>
        <w:rPr>
          <w:rFonts w:hint="eastAsia"/>
          <w:highlight w:val="none"/>
          <w:lang w:eastAsia="zh-CN"/>
        </w:rPr>
        <w:t>为</w:t>
      </w:r>
      <w:r>
        <w:t>30</w:t>
      </w:r>
      <w:r>
        <w:rPr>
          <w:rFonts w:hint="eastAsia"/>
        </w:rPr>
        <w:t>m³</w:t>
      </w:r>
      <w:r>
        <w:t>/d</w:t>
      </w:r>
      <w:r>
        <w:rPr>
          <w:rFonts w:hint="eastAsia"/>
          <w:lang w:eastAsia="zh-CN"/>
        </w:rPr>
        <w:t>。</w:t>
      </w:r>
      <w:r>
        <w:t>生活污水通过排水管收集汇入集水井中，流进格栅井，将污水中带有的垃圾以及部分悬浮物去除后自流进入调节池，待水量达到设定区间后，调节池污水通过水泵送至点源污水处理系统进行处理，污水从缺氧区进水口，进水同回流混合液进入缺氧区进行反硝化脱氮过程，再进入好氧反应区去除有机物和氨氮；经过好氧处理的污水进入沉淀区进行固液分析，上清液达标排放，沉淀池污泥作为系统补泥备用。</w:t>
      </w:r>
    </w:p>
    <w:p>
      <w:pPr>
        <w:pStyle w:val="7"/>
        <w:spacing w:line="240" w:lineRule="auto"/>
        <w:ind w:left="0" w:leftChars="0" w:firstLine="600" w:firstLineChars="200"/>
        <w:rPr>
          <w:rFonts w:ascii="黑体" w:hAnsi="黑体" w:eastAsia="黑体" w:cs="黑体"/>
          <w:sz w:val="30"/>
          <w:szCs w:val="30"/>
        </w:rPr>
      </w:pPr>
      <w:r>
        <w:rPr>
          <w:rFonts w:hint="eastAsia" w:ascii="黑体" w:hAnsi="黑体" w:eastAsia="黑体" w:cs="黑体"/>
          <w:sz w:val="30"/>
          <w:szCs w:val="30"/>
        </w:rPr>
        <w:t>二、技术工艺</w:t>
      </w:r>
    </w:p>
    <w:p>
      <w:pPr>
        <w:pStyle w:val="7"/>
        <w:spacing w:line="600" w:lineRule="exact"/>
        <w:ind w:left="0" w:leftChars="0" w:firstLine="560" w:firstLineChars="200"/>
        <w:rPr>
          <w:rFonts w:ascii="仿宋" w:hAnsi="仿宋" w:cs="仿宋"/>
        </w:rPr>
      </w:pPr>
      <w:r>
        <w:rPr>
          <w:rFonts w:hint="eastAsia" w:ascii="仿宋" w:hAnsi="仿宋" w:cs="仿宋"/>
        </w:rPr>
        <w:t>1.工艺路线</w:t>
      </w:r>
    </w:p>
    <w:p>
      <w:pPr>
        <w:jc w:val="center"/>
        <w:rPr>
          <w:b/>
          <w:bCs/>
          <w:sz w:val="24"/>
        </w:rPr>
      </w:pPr>
      <w:r>
        <w:drawing>
          <wp:inline distT="0" distB="0" distL="114300" distR="114300">
            <wp:extent cx="4632325" cy="2567940"/>
            <wp:effectExtent l="0" t="0" r="15875" b="381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0"/>
                    <a:stretch>
                      <a:fillRect/>
                    </a:stretch>
                  </pic:blipFill>
                  <pic:spPr>
                    <a:xfrm>
                      <a:off x="0" y="0"/>
                      <a:ext cx="4632325" cy="2567940"/>
                    </a:xfrm>
                    <a:prstGeom prst="rect">
                      <a:avLst/>
                    </a:prstGeom>
                    <a:noFill/>
                    <a:ln>
                      <a:noFill/>
                    </a:ln>
                  </pic:spPr>
                </pic:pic>
              </a:graphicData>
            </a:graphic>
          </wp:inline>
        </w:drawing>
      </w:r>
    </w:p>
    <w:p>
      <w:pPr>
        <w:jc w:val="center"/>
        <w:rPr>
          <w:b/>
          <w:bCs/>
          <w:sz w:val="24"/>
        </w:rPr>
      </w:pPr>
      <w:r>
        <w:rPr>
          <w:b/>
          <w:bCs/>
          <w:sz w:val="24"/>
        </w:rPr>
        <w:t>图</w:t>
      </w:r>
      <w:r>
        <w:rPr>
          <w:rFonts w:hint="eastAsia"/>
          <w:b/>
          <w:bCs/>
          <w:sz w:val="24"/>
        </w:rPr>
        <w:t>1</w:t>
      </w:r>
      <w:r>
        <w:rPr>
          <w:b/>
          <w:bCs/>
          <w:sz w:val="24"/>
        </w:rPr>
        <w:t>-</w:t>
      </w:r>
      <w:r>
        <w:rPr>
          <w:rFonts w:hint="eastAsia"/>
          <w:b/>
          <w:bCs/>
          <w:sz w:val="24"/>
        </w:rPr>
        <w:t>4 智能</w:t>
      </w:r>
      <w:r>
        <w:rPr>
          <w:b/>
          <w:bCs/>
          <w:sz w:val="24"/>
        </w:rPr>
        <w:t>一体化污水处理技术工艺流程图</w:t>
      </w:r>
    </w:p>
    <w:p>
      <w:pPr>
        <w:ind w:firstLine="560" w:firstLineChars="200"/>
      </w:pPr>
      <w:r>
        <w:t>污水通过该工艺系统依次经过缺氧区、厌氧区，好氧区，沉淀分离区最后实现达标外排。污水输入反应器前需经过一组预处理工艺对其中的垃圾进行拦截和过滤，如果用于集中式收集处理，还需要设置保证污水稳定输入的调节和配水系统。污水进入反应器后，先经过缺氧区，缺氧区内采用专用缺氧填料，为反硝化细菌提供良好的挂膜与接触条件，由好氧区或者沉淀区回流的污水回流中富含硝酸盐的污水，可以利用来水中优质碳源发生反硝化脱氮反应，实现总氮的去除。同时水解酸化菌利用较低的溶氧环境将部分大分子的有机物水解，并在这一过程中进一步消耗降低系统溶解氧，为厌氧区营造良好的厌氧条件提供基础。从缺氧区出来后，污水流经厌氧区，厌氧区同样采用专用缺氧填料，主要目的是为水解酸化菌提供良好的附膜载体，增加与来水中的大分子有机物的接触面积，有助于发生水解酸化作用的发生。同时在厌氧区内，沉淀区回流污泥中的聚磷菌，可以在厌氧接触区内释磷，为下一步好氧超量吸磷做准备。污水从厌氧区流出后，进入好氧区，好氧区内通过添加好氧悬浮填料的方法，增加活性污泥系统的生物量，在活性污泥和载体生物膜上微生物的共同作用下，实现高效降解有机物的效果，同时填料表层和纵深内部形成变溶氧梯度环境可以促进同步硝化反硝化反应的发生，深度除去总氮；聚磷菌在好氧环境下超量吸磷，实现总磷去除，在日常运用过程中通过污水回流可以实现污泥的补充和并可提高BOD去除。经过好氧区处理污水输入沉淀分离系统分离水中的悬浮污泥和杂质，沉淀分离系统内通过设置一组或者多组斜板和斜管填料提高系统的分离效果，分离后的清水进入消毒杀菌系统去除有害病菌后排出系统。</w:t>
      </w:r>
    </w:p>
    <w:p>
      <w:pPr>
        <w:pStyle w:val="7"/>
        <w:ind w:left="0" w:leftChars="0" w:firstLine="560" w:firstLineChars="200"/>
      </w:pPr>
      <w:r>
        <w:rPr>
          <w:rFonts w:hint="eastAsia"/>
        </w:rPr>
        <w:t>2.</w:t>
      </w:r>
      <w:r>
        <w:t>技术原理</w:t>
      </w:r>
    </w:p>
    <w:p>
      <w:pPr>
        <w:ind w:firstLine="560" w:firstLineChars="200"/>
      </w:pPr>
      <w:r>
        <w:t>系统主要用于处理农村散户或者三五联户排放的点源生活污水及类似水质的水体，集成了</w:t>
      </w:r>
      <w:r>
        <w:rPr>
          <w:rFonts w:hint="eastAsia"/>
        </w:rPr>
        <w:t>“</w:t>
      </w:r>
      <w:r>
        <w:t>多级接触氧化变溶氧泥膜共生技术+高效沉淀分离技术+消毒杀菌技术</w:t>
      </w:r>
      <w:r>
        <w:rPr>
          <w:rFonts w:hint="eastAsia"/>
        </w:rPr>
        <w:t>”</w:t>
      </w:r>
      <w:r>
        <w:t>等关键技术，其中多级接触泥膜共生反应是该系统核心技术，设计采用复合湍流强化相界面传质效率，提升好氧生物活性，强化脱氮除磷，同时通过便溶氧设计可以有效减少设备运行能耗，提高系统对不同水质的适应性。污水处理系统设备内设有反硝化区、脱氮除磷区、好氧区、硝化区、沉淀区，其中反硝化区、脱氮除磷区、好氧区与硝化区的之间通过折流板相互连通，反硝化区和脱氮除磷区内均装载厌氧生物复合填料，好氧区内则投加好氧生物悬浮填料。污水依次经过设备的反硝化区、脱氮除磷区，好氧区，硝化区和沉淀分离区，最后实现出水达标外排。</w:t>
      </w:r>
    </w:p>
    <w:p>
      <w:pPr>
        <w:pStyle w:val="7"/>
        <w:ind w:left="0" w:leftChars="0" w:firstLine="600" w:firstLineChars="200"/>
        <w:rPr>
          <w:rFonts w:ascii="黑体" w:hAnsi="黑体" w:eastAsia="黑体" w:cs="黑体"/>
          <w:sz w:val="30"/>
          <w:szCs w:val="30"/>
        </w:rPr>
      </w:pPr>
      <w:r>
        <w:rPr>
          <w:rFonts w:hint="eastAsia" w:ascii="黑体" w:hAnsi="黑体" w:eastAsia="黑体" w:cs="黑体"/>
          <w:sz w:val="30"/>
          <w:szCs w:val="30"/>
        </w:rPr>
        <w:t>三、治理情况</w:t>
      </w:r>
    </w:p>
    <w:p>
      <w:pPr>
        <w:ind w:firstLine="560" w:firstLineChars="200"/>
      </w:pPr>
      <w:r>
        <w:rPr>
          <w:rFonts w:hint="eastAsia"/>
        </w:rPr>
        <w:t>1.设施建设</w:t>
      </w:r>
    </w:p>
    <w:p>
      <w:pPr>
        <w:ind w:firstLine="560" w:firstLineChars="200"/>
      </w:pPr>
      <w:r>
        <w:t>工程总投资35万元，其中设备投资10万元</w:t>
      </w:r>
      <w:r>
        <w:rPr>
          <w:rFonts w:hint="eastAsia"/>
        </w:rPr>
        <w:t>，运行费用0.255 万元/年。</w:t>
      </w:r>
    </w:p>
    <w:p>
      <w:pPr>
        <w:ind w:firstLine="560" w:firstLineChars="200"/>
      </w:pPr>
      <w:r>
        <w:rPr>
          <w:rFonts w:hint="eastAsia"/>
        </w:rPr>
        <w:t>2.治理成效</w:t>
      </w:r>
    </w:p>
    <w:p>
      <w:pPr>
        <w:ind w:firstLine="560" w:firstLineChars="200"/>
      </w:pPr>
      <w:r>
        <w:t>根据《南宁市东南村那元生活污水处理MCO试点项目监测报告》（南环环保（监）字〔2019〕第06-17号）及《西乡塘区东南村那元三队MCO示范基地项目监测报告》（博测监（水）字〔2018〕第039号），项目出水水质可达《城镇污水处理厂排放标准》（GB18918-2002）一级B标准，该出水水质同时满足广西地方标准《农村生活污水处理设施水污染物排放标准》二级标准的排放要求。具体出水水质见表</w:t>
      </w:r>
      <w:r>
        <w:rPr>
          <w:rFonts w:hint="eastAsia"/>
        </w:rPr>
        <w:t>1</w:t>
      </w:r>
      <w:r>
        <w:t>-</w:t>
      </w:r>
      <w:r>
        <w:rPr>
          <w:rFonts w:hint="eastAsia"/>
        </w:rPr>
        <w:t>1</w:t>
      </w:r>
      <w:r>
        <w:t>。</w:t>
      </w:r>
    </w:p>
    <w:p>
      <w:pPr>
        <w:ind w:firstLine="482" w:firstLineChars="200"/>
        <w:jc w:val="center"/>
        <w:rPr>
          <w:b/>
          <w:bCs/>
          <w:sz w:val="24"/>
        </w:rPr>
      </w:pPr>
      <w:r>
        <w:rPr>
          <w:b/>
          <w:bCs/>
          <w:sz w:val="24"/>
        </w:rPr>
        <w:t>表</w:t>
      </w:r>
      <w:r>
        <w:rPr>
          <w:rFonts w:hint="eastAsia"/>
          <w:b/>
          <w:bCs/>
          <w:sz w:val="24"/>
        </w:rPr>
        <w:t>1</w:t>
      </w:r>
      <w:r>
        <w:rPr>
          <w:b/>
          <w:bCs/>
          <w:sz w:val="24"/>
        </w:rPr>
        <w:t>-</w:t>
      </w:r>
      <w:r>
        <w:rPr>
          <w:rFonts w:hint="eastAsia"/>
          <w:b/>
          <w:bCs/>
          <w:sz w:val="24"/>
        </w:rPr>
        <w:t>1</w:t>
      </w:r>
      <w:r>
        <w:rPr>
          <w:b/>
          <w:bCs/>
          <w:sz w:val="24"/>
        </w:rPr>
        <w:t>那元三队生活污水处理工程处理效果汇总表单位：mg/L</w:t>
      </w:r>
    </w:p>
    <w:tbl>
      <w:tblPr>
        <w:tblStyle w:val="11"/>
        <w:tblW w:w="835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76"/>
        <w:gridCol w:w="2052"/>
        <w:gridCol w:w="2264"/>
        <w:gridCol w:w="22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16" w:hRule="atLeast"/>
          <w:jc w:val="center"/>
        </w:trPr>
        <w:tc>
          <w:tcPr>
            <w:tcW w:w="1776" w:type="dxa"/>
            <w:vMerge w:val="restart"/>
            <w:tcBorders>
              <w:left w:val="single" w:color="auto" w:sz="4" w:space="0"/>
            </w:tcBorders>
            <w:vAlign w:val="center"/>
          </w:tcPr>
          <w:p>
            <w:pPr>
              <w:jc w:val="center"/>
              <w:rPr>
                <w:sz w:val="24"/>
              </w:rPr>
            </w:pPr>
            <w:r>
              <w:rPr>
                <w:sz w:val="24"/>
              </w:rPr>
              <w:t>监测项目</w:t>
            </w:r>
          </w:p>
        </w:tc>
        <w:tc>
          <w:tcPr>
            <w:tcW w:w="2052" w:type="dxa"/>
            <w:vAlign w:val="center"/>
          </w:tcPr>
          <w:p>
            <w:pPr>
              <w:jc w:val="center"/>
              <w:rPr>
                <w:sz w:val="24"/>
              </w:rPr>
            </w:pPr>
            <w:r>
              <w:rPr>
                <w:sz w:val="24"/>
              </w:rPr>
              <w:t>监测日期</w:t>
            </w:r>
          </w:p>
        </w:tc>
        <w:tc>
          <w:tcPr>
            <w:tcW w:w="2264" w:type="dxa"/>
            <w:tcBorders>
              <w:right w:val="single" w:color="auto" w:sz="4" w:space="0"/>
            </w:tcBorders>
            <w:vAlign w:val="center"/>
          </w:tcPr>
          <w:p>
            <w:pPr>
              <w:jc w:val="center"/>
              <w:rPr>
                <w:sz w:val="24"/>
              </w:rPr>
            </w:pPr>
            <w:r>
              <w:rPr>
                <w:sz w:val="24"/>
              </w:rPr>
              <w:t>监测结果</w:t>
            </w:r>
          </w:p>
        </w:tc>
        <w:tc>
          <w:tcPr>
            <w:tcW w:w="2264" w:type="dxa"/>
            <w:vMerge w:val="restart"/>
            <w:tcBorders>
              <w:right w:val="single" w:color="auto" w:sz="4" w:space="0"/>
            </w:tcBorders>
            <w:vAlign w:val="center"/>
          </w:tcPr>
          <w:p>
            <w:pPr>
              <w:snapToGrid w:val="0"/>
              <w:jc w:val="center"/>
              <w:rPr>
                <w:sz w:val="24"/>
              </w:rPr>
            </w:pPr>
            <w:r>
              <w:rPr>
                <w:sz w:val="24"/>
              </w:rPr>
              <w:t>广西地方标准</w:t>
            </w:r>
          </w:p>
          <w:p>
            <w:pPr>
              <w:snapToGrid w:val="0"/>
              <w:jc w:val="center"/>
              <w:rPr>
                <w:sz w:val="24"/>
              </w:rPr>
            </w:pPr>
            <w:r>
              <w:rPr>
                <w:sz w:val="24"/>
              </w:rPr>
              <w:t>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restart"/>
            <w:tcBorders>
              <w:left w:val="single" w:color="auto" w:sz="4" w:space="0"/>
            </w:tcBorders>
            <w:vAlign w:val="center"/>
          </w:tcPr>
          <w:p>
            <w:pPr>
              <w:jc w:val="center"/>
              <w:rPr>
                <w:sz w:val="24"/>
              </w:rPr>
            </w:pPr>
            <w:r>
              <w:rPr>
                <w:sz w:val="24"/>
              </w:rPr>
              <w:t>TP</w:t>
            </w:r>
          </w:p>
        </w:tc>
        <w:tc>
          <w:tcPr>
            <w:tcW w:w="2052" w:type="dxa"/>
            <w:vAlign w:val="center"/>
          </w:tcPr>
          <w:p>
            <w:pPr>
              <w:jc w:val="center"/>
              <w:rPr>
                <w:sz w:val="24"/>
              </w:rPr>
            </w:pPr>
            <w:r>
              <w:rPr>
                <w:sz w:val="24"/>
              </w:rPr>
              <w:t>2018.3.21</w:t>
            </w:r>
          </w:p>
        </w:tc>
        <w:tc>
          <w:tcPr>
            <w:tcW w:w="2264" w:type="dxa"/>
            <w:tcBorders>
              <w:right w:val="single" w:color="auto" w:sz="4" w:space="0"/>
            </w:tcBorders>
            <w:vAlign w:val="center"/>
          </w:tcPr>
          <w:p>
            <w:pPr>
              <w:jc w:val="center"/>
              <w:rPr>
                <w:sz w:val="24"/>
              </w:rPr>
            </w:pPr>
            <w:r>
              <w:rPr>
                <w:sz w:val="24"/>
              </w:rPr>
              <w:t>0.59</w:t>
            </w:r>
          </w:p>
        </w:tc>
        <w:tc>
          <w:tcPr>
            <w:tcW w:w="2264" w:type="dxa"/>
            <w:vMerge w:val="restart"/>
            <w:tcBorders>
              <w:right w:val="single" w:color="auto" w:sz="4" w:space="0"/>
            </w:tcBorders>
            <w:vAlign w:val="center"/>
          </w:tcPr>
          <w:p>
            <w:pPr>
              <w:tabs>
                <w:tab w:val="left" w:pos="4920"/>
                <w:tab w:val="left" w:pos="6240"/>
              </w:tabs>
              <w:adjustRightInd w:val="0"/>
              <w:snapToGrid w:val="0"/>
              <w:jc w:val="center"/>
              <w:rPr>
                <w:sz w:val="24"/>
              </w:rPr>
            </w:pPr>
            <w:r>
              <w:rPr>
                <w:sz w:val="24"/>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continue"/>
            <w:tcBorders>
              <w:left w:val="single" w:color="auto" w:sz="4" w:space="0"/>
            </w:tcBorders>
            <w:vAlign w:val="center"/>
          </w:tcPr>
          <w:p>
            <w:pPr>
              <w:ind w:firstLine="480"/>
              <w:jc w:val="center"/>
              <w:rPr>
                <w:sz w:val="24"/>
              </w:rPr>
            </w:pPr>
          </w:p>
        </w:tc>
        <w:tc>
          <w:tcPr>
            <w:tcW w:w="2052" w:type="dxa"/>
            <w:vAlign w:val="center"/>
          </w:tcPr>
          <w:p>
            <w:pPr>
              <w:jc w:val="center"/>
              <w:rPr>
                <w:sz w:val="24"/>
              </w:rPr>
            </w:pPr>
            <w:r>
              <w:rPr>
                <w:sz w:val="24"/>
              </w:rPr>
              <w:t>2019.6.21</w:t>
            </w:r>
          </w:p>
        </w:tc>
        <w:tc>
          <w:tcPr>
            <w:tcW w:w="2264" w:type="dxa"/>
            <w:tcBorders>
              <w:right w:val="single" w:color="auto" w:sz="4" w:space="0"/>
            </w:tcBorders>
            <w:vAlign w:val="center"/>
          </w:tcPr>
          <w:p>
            <w:pPr>
              <w:jc w:val="center"/>
              <w:rPr>
                <w:sz w:val="24"/>
              </w:rPr>
            </w:pPr>
            <w:r>
              <w:rPr>
                <w:sz w:val="24"/>
              </w:rPr>
              <w:t>0.46</w:t>
            </w:r>
          </w:p>
        </w:tc>
        <w:tc>
          <w:tcPr>
            <w:tcW w:w="2264" w:type="dxa"/>
            <w:vMerge w:val="continue"/>
            <w:tcBorders>
              <w:right w:val="single" w:color="auto" w:sz="4" w:space="0"/>
            </w:tcBorders>
            <w:vAlign w:val="center"/>
          </w:tcPr>
          <w:p>
            <w:pPr>
              <w:tabs>
                <w:tab w:val="left" w:pos="4920"/>
                <w:tab w:val="left" w:pos="6240"/>
              </w:tabs>
              <w:adjustRightInd w:val="0"/>
              <w:snapToGrid w:val="0"/>
              <w:ind w:firstLine="480"/>
              <w:jc w:val="center"/>
              <w:rPr>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restart"/>
            <w:tcBorders>
              <w:left w:val="single" w:color="auto" w:sz="4" w:space="0"/>
            </w:tcBorders>
            <w:vAlign w:val="center"/>
          </w:tcPr>
          <w:p>
            <w:pPr>
              <w:jc w:val="center"/>
              <w:rPr>
                <w:sz w:val="24"/>
              </w:rPr>
            </w:pPr>
            <w:r>
              <w:rPr>
                <w:sz w:val="24"/>
              </w:rPr>
              <w:t>TN</w:t>
            </w:r>
          </w:p>
        </w:tc>
        <w:tc>
          <w:tcPr>
            <w:tcW w:w="2052" w:type="dxa"/>
            <w:vAlign w:val="center"/>
          </w:tcPr>
          <w:p>
            <w:pPr>
              <w:jc w:val="center"/>
              <w:rPr>
                <w:sz w:val="24"/>
              </w:rPr>
            </w:pPr>
            <w:r>
              <w:rPr>
                <w:sz w:val="24"/>
              </w:rPr>
              <w:t>2018.3.21</w:t>
            </w:r>
          </w:p>
        </w:tc>
        <w:tc>
          <w:tcPr>
            <w:tcW w:w="2264" w:type="dxa"/>
            <w:tcBorders>
              <w:right w:val="single" w:color="auto" w:sz="4" w:space="0"/>
            </w:tcBorders>
            <w:vAlign w:val="center"/>
          </w:tcPr>
          <w:p>
            <w:pPr>
              <w:jc w:val="center"/>
              <w:rPr>
                <w:sz w:val="24"/>
              </w:rPr>
            </w:pPr>
            <w:r>
              <w:rPr>
                <w:sz w:val="24"/>
              </w:rPr>
              <w:t>7.7</w:t>
            </w:r>
          </w:p>
        </w:tc>
        <w:tc>
          <w:tcPr>
            <w:tcW w:w="2264" w:type="dxa"/>
            <w:vMerge w:val="restart"/>
            <w:tcBorders>
              <w:right w:val="single" w:color="auto" w:sz="4" w:space="0"/>
            </w:tcBorders>
            <w:vAlign w:val="center"/>
          </w:tcPr>
          <w:p>
            <w:pPr>
              <w:tabs>
                <w:tab w:val="left" w:pos="4920"/>
                <w:tab w:val="left" w:pos="6240"/>
              </w:tabs>
              <w:adjustRightInd w:val="0"/>
              <w:snapToGrid w:val="0"/>
              <w:jc w:val="center"/>
              <w:rPr>
                <w:sz w:val="24"/>
              </w:rPr>
            </w:pPr>
            <w:r>
              <w:rPr>
                <w:sz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continue"/>
            <w:tcBorders>
              <w:left w:val="single" w:color="auto" w:sz="4" w:space="0"/>
            </w:tcBorders>
            <w:vAlign w:val="center"/>
          </w:tcPr>
          <w:p>
            <w:pPr>
              <w:ind w:firstLine="480"/>
              <w:jc w:val="center"/>
              <w:rPr>
                <w:sz w:val="24"/>
              </w:rPr>
            </w:pPr>
          </w:p>
        </w:tc>
        <w:tc>
          <w:tcPr>
            <w:tcW w:w="2052" w:type="dxa"/>
            <w:vAlign w:val="center"/>
          </w:tcPr>
          <w:p>
            <w:pPr>
              <w:jc w:val="center"/>
              <w:rPr>
                <w:sz w:val="24"/>
              </w:rPr>
            </w:pPr>
            <w:r>
              <w:rPr>
                <w:sz w:val="24"/>
              </w:rPr>
              <w:t>2019.6.21</w:t>
            </w:r>
          </w:p>
        </w:tc>
        <w:tc>
          <w:tcPr>
            <w:tcW w:w="2264" w:type="dxa"/>
            <w:tcBorders>
              <w:right w:val="single" w:color="auto" w:sz="4" w:space="0"/>
            </w:tcBorders>
            <w:vAlign w:val="center"/>
          </w:tcPr>
          <w:p>
            <w:pPr>
              <w:jc w:val="center"/>
              <w:rPr>
                <w:sz w:val="24"/>
              </w:rPr>
            </w:pPr>
            <w:r>
              <w:rPr>
                <w:sz w:val="24"/>
              </w:rPr>
              <w:t>8.09</w:t>
            </w:r>
          </w:p>
        </w:tc>
        <w:tc>
          <w:tcPr>
            <w:tcW w:w="2264" w:type="dxa"/>
            <w:vMerge w:val="continue"/>
            <w:tcBorders>
              <w:right w:val="single" w:color="auto" w:sz="4" w:space="0"/>
            </w:tcBorders>
            <w:vAlign w:val="center"/>
          </w:tcPr>
          <w:p>
            <w:pPr>
              <w:tabs>
                <w:tab w:val="left" w:pos="4920"/>
                <w:tab w:val="left" w:pos="6240"/>
              </w:tabs>
              <w:adjustRightInd w:val="0"/>
              <w:snapToGrid w:val="0"/>
              <w:ind w:firstLine="480"/>
              <w:jc w:val="center"/>
              <w:rPr>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restart"/>
            <w:tcBorders>
              <w:left w:val="single" w:color="auto" w:sz="4" w:space="0"/>
            </w:tcBorders>
            <w:vAlign w:val="center"/>
          </w:tcPr>
          <w:p>
            <w:pPr>
              <w:jc w:val="center"/>
              <w:rPr>
                <w:sz w:val="24"/>
              </w:rPr>
            </w:pPr>
            <w:r>
              <w:rPr>
                <w:sz w:val="24"/>
              </w:rPr>
              <w:t>NH</w:t>
            </w:r>
            <w:r>
              <w:rPr>
                <w:sz w:val="24"/>
                <w:vertAlign w:val="subscript"/>
              </w:rPr>
              <w:t>3</w:t>
            </w:r>
            <w:r>
              <w:rPr>
                <w:sz w:val="24"/>
              </w:rPr>
              <w:t>-N</w:t>
            </w:r>
          </w:p>
        </w:tc>
        <w:tc>
          <w:tcPr>
            <w:tcW w:w="2052" w:type="dxa"/>
            <w:vAlign w:val="center"/>
          </w:tcPr>
          <w:p>
            <w:pPr>
              <w:jc w:val="center"/>
              <w:rPr>
                <w:sz w:val="24"/>
              </w:rPr>
            </w:pPr>
            <w:r>
              <w:rPr>
                <w:sz w:val="24"/>
              </w:rPr>
              <w:t>2018.3.21</w:t>
            </w:r>
          </w:p>
        </w:tc>
        <w:tc>
          <w:tcPr>
            <w:tcW w:w="2264" w:type="dxa"/>
            <w:tcBorders>
              <w:right w:val="single" w:color="auto" w:sz="4" w:space="0"/>
            </w:tcBorders>
            <w:vAlign w:val="center"/>
          </w:tcPr>
          <w:p>
            <w:pPr>
              <w:jc w:val="center"/>
              <w:rPr>
                <w:sz w:val="24"/>
              </w:rPr>
            </w:pPr>
            <w:r>
              <w:rPr>
                <w:sz w:val="24"/>
              </w:rPr>
              <w:t>6.63</w:t>
            </w:r>
          </w:p>
        </w:tc>
        <w:tc>
          <w:tcPr>
            <w:tcW w:w="2264" w:type="dxa"/>
            <w:vMerge w:val="restart"/>
            <w:tcBorders>
              <w:right w:val="single" w:color="auto" w:sz="4" w:space="0"/>
            </w:tcBorders>
            <w:vAlign w:val="center"/>
          </w:tcPr>
          <w:p>
            <w:pPr>
              <w:tabs>
                <w:tab w:val="left" w:pos="4920"/>
                <w:tab w:val="left" w:pos="6240"/>
              </w:tabs>
              <w:adjustRightInd w:val="0"/>
              <w:snapToGrid w:val="0"/>
              <w:jc w:val="center"/>
              <w:rPr>
                <w:sz w:val="24"/>
              </w:rPr>
            </w:pPr>
            <w:r>
              <w:rPr>
                <w:sz w:val="24"/>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continue"/>
            <w:tcBorders>
              <w:left w:val="single" w:color="auto" w:sz="4" w:space="0"/>
            </w:tcBorders>
            <w:vAlign w:val="center"/>
          </w:tcPr>
          <w:p>
            <w:pPr>
              <w:ind w:firstLine="480"/>
              <w:jc w:val="center"/>
              <w:rPr>
                <w:sz w:val="24"/>
              </w:rPr>
            </w:pPr>
          </w:p>
        </w:tc>
        <w:tc>
          <w:tcPr>
            <w:tcW w:w="2052" w:type="dxa"/>
            <w:vAlign w:val="center"/>
          </w:tcPr>
          <w:p>
            <w:pPr>
              <w:jc w:val="center"/>
              <w:rPr>
                <w:sz w:val="24"/>
              </w:rPr>
            </w:pPr>
            <w:r>
              <w:rPr>
                <w:sz w:val="24"/>
              </w:rPr>
              <w:t>2019.6.21</w:t>
            </w:r>
          </w:p>
        </w:tc>
        <w:tc>
          <w:tcPr>
            <w:tcW w:w="2264" w:type="dxa"/>
            <w:tcBorders>
              <w:right w:val="single" w:color="auto" w:sz="4" w:space="0"/>
            </w:tcBorders>
            <w:vAlign w:val="center"/>
          </w:tcPr>
          <w:p>
            <w:pPr>
              <w:jc w:val="center"/>
              <w:rPr>
                <w:sz w:val="24"/>
              </w:rPr>
            </w:pPr>
            <w:r>
              <w:rPr>
                <w:sz w:val="24"/>
              </w:rPr>
              <w:t>2.91</w:t>
            </w:r>
          </w:p>
        </w:tc>
        <w:tc>
          <w:tcPr>
            <w:tcW w:w="2264" w:type="dxa"/>
            <w:vMerge w:val="continue"/>
            <w:tcBorders>
              <w:right w:val="single" w:color="auto" w:sz="4" w:space="0"/>
            </w:tcBorders>
            <w:vAlign w:val="center"/>
          </w:tcPr>
          <w:p>
            <w:pPr>
              <w:tabs>
                <w:tab w:val="left" w:pos="4920"/>
                <w:tab w:val="left" w:pos="6240"/>
              </w:tabs>
              <w:adjustRightInd w:val="0"/>
              <w:snapToGrid w:val="0"/>
              <w:ind w:firstLine="480"/>
              <w:jc w:val="center"/>
              <w:rPr>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restart"/>
            <w:tcBorders>
              <w:left w:val="single" w:color="auto" w:sz="4" w:space="0"/>
            </w:tcBorders>
            <w:vAlign w:val="center"/>
          </w:tcPr>
          <w:p>
            <w:pPr>
              <w:jc w:val="center"/>
              <w:rPr>
                <w:sz w:val="24"/>
              </w:rPr>
            </w:pPr>
            <w:r>
              <w:rPr>
                <w:sz w:val="24"/>
              </w:rPr>
              <w:t>COD</w:t>
            </w:r>
          </w:p>
        </w:tc>
        <w:tc>
          <w:tcPr>
            <w:tcW w:w="2052" w:type="dxa"/>
            <w:vAlign w:val="center"/>
          </w:tcPr>
          <w:p>
            <w:pPr>
              <w:jc w:val="center"/>
              <w:rPr>
                <w:sz w:val="24"/>
              </w:rPr>
            </w:pPr>
            <w:r>
              <w:rPr>
                <w:sz w:val="24"/>
              </w:rPr>
              <w:t>2018.3.21</w:t>
            </w:r>
          </w:p>
        </w:tc>
        <w:tc>
          <w:tcPr>
            <w:tcW w:w="2264" w:type="dxa"/>
            <w:tcBorders>
              <w:right w:val="single" w:color="auto" w:sz="4" w:space="0"/>
            </w:tcBorders>
            <w:vAlign w:val="center"/>
          </w:tcPr>
          <w:p>
            <w:pPr>
              <w:jc w:val="center"/>
              <w:rPr>
                <w:sz w:val="24"/>
              </w:rPr>
            </w:pPr>
            <w:r>
              <w:rPr>
                <w:sz w:val="24"/>
              </w:rPr>
              <w:t>39</w:t>
            </w:r>
          </w:p>
        </w:tc>
        <w:tc>
          <w:tcPr>
            <w:tcW w:w="2264" w:type="dxa"/>
            <w:vMerge w:val="restart"/>
            <w:tcBorders>
              <w:right w:val="single" w:color="auto" w:sz="4" w:space="0"/>
            </w:tcBorders>
            <w:vAlign w:val="center"/>
          </w:tcPr>
          <w:p>
            <w:pPr>
              <w:tabs>
                <w:tab w:val="left" w:pos="4920"/>
                <w:tab w:val="left" w:pos="6240"/>
              </w:tabs>
              <w:adjustRightInd w:val="0"/>
              <w:snapToGrid w:val="0"/>
              <w:jc w:val="center"/>
              <w:rPr>
                <w:sz w:val="24"/>
              </w:rPr>
            </w:pPr>
            <w:r>
              <w:rPr>
                <w:sz w:val="24"/>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continue"/>
            <w:tcBorders>
              <w:left w:val="single" w:color="auto" w:sz="4" w:space="0"/>
            </w:tcBorders>
            <w:vAlign w:val="center"/>
          </w:tcPr>
          <w:p>
            <w:pPr>
              <w:ind w:firstLine="480"/>
              <w:jc w:val="center"/>
              <w:rPr>
                <w:sz w:val="24"/>
              </w:rPr>
            </w:pPr>
          </w:p>
        </w:tc>
        <w:tc>
          <w:tcPr>
            <w:tcW w:w="2052" w:type="dxa"/>
            <w:vAlign w:val="center"/>
          </w:tcPr>
          <w:p>
            <w:pPr>
              <w:jc w:val="center"/>
              <w:rPr>
                <w:sz w:val="24"/>
              </w:rPr>
            </w:pPr>
            <w:r>
              <w:rPr>
                <w:sz w:val="24"/>
              </w:rPr>
              <w:t>2019.6.21</w:t>
            </w:r>
          </w:p>
        </w:tc>
        <w:tc>
          <w:tcPr>
            <w:tcW w:w="2264" w:type="dxa"/>
            <w:tcBorders>
              <w:right w:val="single" w:color="auto" w:sz="4" w:space="0"/>
            </w:tcBorders>
            <w:vAlign w:val="center"/>
          </w:tcPr>
          <w:p>
            <w:pPr>
              <w:jc w:val="center"/>
              <w:rPr>
                <w:sz w:val="24"/>
              </w:rPr>
            </w:pPr>
            <w:r>
              <w:rPr>
                <w:sz w:val="24"/>
              </w:rPr>
              <w:t>19</w:t>
            </w:r>
          </w:p>
        </w:tc>
        <w:tc>
          <w:tcPr>
            <w:tcW w:w="2264" w:type="dxa"/>
            <w:vMerge w:val="continue"/>
            <w:tcBorders>
              <w:right w:val="single" w:color="auto" w:sz="4" w:space="0"/>
            </w:tcBorders>
            <w:vAlign w:val="center"/>
          </w:tcPr>
          <w:p>
            <w:pPr>
              <w:tabs>
                <w:tab w:val="left" w:pos="4920"/>
                <w:tab w:val="left" w:pos="6240"/>
              </w:tabs>
              <w:adjustRightInd w:val="0"/>
              <w:snapToGrid w:val="0"/>
              <w:ind w:firstLine="480"/>
              <w:jc w:val="center"/>
              <w:rPr>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restart"/>
            <w:tcBorders>
              <w:left w:val="single" w:color="auto" w:sz="4" w:space="0"/>
            </w:tcBorders>
            <w:vAlign w:val="center"/>
          </w:tcPr>
          <w:p>
            <w:pPr>
              <w:jc w:val="center"/>
              <w:rPr>
                <w:sz w:val="24"/>
              </w:rPr>
            </w:pPr>
            <w:r>
              <w:rPr>
                <w:sz w:val="24"/>
              </w:rPr>
              <w:t>BOD</w:t>
            </w:r>
            <w:r>
              <w:rPr>
                <w:sz w:val="24"/>
                <w:vertAlign w:val="subscript"/>
              </w:rPr>
              <w:t>5</w:t>
            </w:r>
          </w:p>
        </w:tc>
        <w:tc>
          <w:tcPr>
            <w:tcW w:w="2052" w:type="dxa"/>
            <w:vAlign w:val="center"/>
          </w:tcPr>
          <w:p>
            <w:pPr>
              <w:jc w:val="center"/>
              <w:rPr>
                <w:sz w:val="24"/>
              </w:rPr>
            </w:pPr>
            <w:r>
              <w:rPr>
                <w:sz w:val="24"/>
              </w:rPr>
              <w:t>2018.3.21</w:t>
            </w:r>
          </w:p>
        </w:tc>
        <w:tc>
          <w:tcPr>
            <w:tcW w:w="2264" w:type="dxa"/>
            <w:tcBorders>
              <w:right w:val="single" w:color="auto" w:sz="4" w:space="0"/>
            </w:tcBorders>
            <w:vAlign w:val="center"/>
          </w:tcPr>
          <w:p>
            <w:pPr>
              <w:jc w:val="center"/>
              <w:rPr>
                <w:sz w:val="24"/>
              </w:rPr>
            </w:pPr>
            <w:r>
              <w:rPr>
                <w:sz w:val="24"/>
              </w:rPr>
              <w:t>/</w:t>
            </w:r>
          </w:p>
        </w:tc>
        <w:tc>
          <w:tcPr>
            <w:tcW w:w="2264" w:type="dxa"/>
            <w:vMerge w:val="restart"/>
            <w:tcBorders>
              <w:right w:val="single" w:color="auto" w:sz="4" w:space="0"/>
            </w:tcBorders>
            <w:vAlign w:val="center"/>
          </w:tcPr>
          <w:p>
            <w:pPr>
              <w:tabs>
                <w:tab w:val="left" w:pos="4920"/>
                <w:tab w:val="left" w:pos="6240"/>
              </w:tabs>
              <w:adjustRightInd w:val="0"/>
              <w:snapToGrid w:val="0"/>
              <w:jc w:val="center"/>
              <w:rPr>
                <w:sz w:val="24"/>
              </w:rPr>
            </w:pPr>
            <w:r>
              <w:rPr>
                <w:sz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continue"/>
            <w:tcBorders>
              <w:left w:val="single" w:color="auto" w:sz="4" w:space="0"/>
            </w:tcBorders>
            <w:vAlign w:val="center"/>
          </w:tcPr>
          <w:p>
            <w:pPr>
              <w:ind w:firstLine="480"/>
              <w:jc w:val="center"/>
              <w:rPr>
                <w:sz w:val="24"/>
              </w:rPr>
            </w:pPr>
          </w:p>
        </w:tc>
        <w:tc>
          <w:tcPr>
            <w:tcW w:w="2052" w:type="dxa"/>
            <w:vAlign w:val="center"/>
          </w:tcPr>
          <w:p>
            <w:pPr>
              <w:jc w:val="center"/>
              <w:rPr>
                <w:sz w:val="24"/>
              </w:rPr>
            </w:pPr>
            <w:r>
              <w:rPr>
                <w:sz w:val="24"/>
              </w:rPr>
              <w:t>2019.6.21</w:t>
            </w:r>
          </w:p>
        </w:tc>
        <w:tc>
          <w:tcPr>
            <w:tcW w:w="2264" w:type="dxa"/>
            <w:tcBorders>
              <w:right w:val="single" w:color="auto" w:sz="4" w:space="0"/>
            </w:tcBorders>
            <w:vAlign w:val="center"/>
          </w:tcPr>
          <w:p>
            <w:pPr>
              <w:jc w:val="center"/>
            </w:pPr>
            <w:r>
              <w:rPr>
                <w:sz w:val="24"/>
              </w:rPr>
              <w:t>6.2</w:t>
            </w:r>
          </w:p>
        </w:tc>
        <w:tc>
          <w:tcPr>
            <w:tcW w:w="2264" w:type="dxa"/>
            <w:vMerge w:val="continue"/>
            <w:tcBorders>
              <w:right w:val="single" w:color="auto" w:sz="4" w:space="0"/>
            </w:tcBorders>
            <w:vAlign w:val="center"/>
          </w:tcPr>
          <w:p>
            <w:pPr>
              <w:tabs>
                <w:tab w:val="left" w:pos="4920"/>
                <w:tab w:val="left" w:pos="6240"/>
              </w:tabs>
              <w:adjustRightInd w:val="0"/>
              <w:snapToGrid w:val="0"/>
              <w:ind w:firstLine="480"/>
              <w:jc w:val="center"/>
              <w:rPr>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restart"/>
            <w:tcBorders>
              <w:left w:val="single" w:color="auto" w:sz="4" w:space="0"/>
            </w:tcBorders>
            <w:vAlign w:val="center"/>
          </w:tcPr>
          <w:p>
            <w:pPr>
              <w:jc w:val="center"/>
              <w:rPr>
                <w:sz w:val="24"/>
              </w:rPr>
            </w:pPr>
            <w:r>
              <w:rPr>
                <w:sz w:val="24"/>
              </w:rPr>
              <w:t>SS</w:t>
            </w:r>
          </w:p>
        </w:tc>
        <w:tc>
          <w:tcPr>
            <w:tcW w:w="2052" w:type="dxa"/>
            <w:vAlign w:val="center"/>
          </w:tcPr>
          <w:p>
            <w:pPr>
              <w:jc w:val="center"/>
              <w:rPr>
                <w:sz w:val="24"/>
              </w:rPr>
            </w:pPr>
            <w:r>
              <w:rPr>
                <w:sz w:val="24"/>
              </w:rPr>
              <w:t>2018.3.21</w:t>
            </w:r>
          </w:p>
        </w:tc>
        <w:tc>
          <w:tcPr>
            <w:tcW w:w="2264" w:type="dxa"/>
            <w:tcBorders>
              <w:right w:val="single" w:color="auto" w:sz="4" w:space="0"/>
            </w:tcBorders>
            <w:vAlign w:val="center"/>
          </w:tcPr>
          <w:p>
            <w:pPr>
              <w:jc w:val="center"/>
              <w:rPr>
                <w:sz w:val="24"/>
              </w:rPr>
            </w:pPr>
            <w:r>
              <w:rPr>
                <w:sz w:val="24"/>
              </w:rPr>
              <w:t>18</w:t>
            </w:r>
          </w:p>
        </w:tc>
        <w:tc>
          <w:tcPr>
            <w:tcW w:w="2264" w:type="dxa"/>
            <w:vMerge w:val="restart"/>
            <w:tcBorders>
              <w:right w:val="single" w:color="auto" w:sz="4" w:space="0"/>
            </w:tcBorders>
            <w:vAlign w:val="center"/>
          </w:tcPr>
          <w:p>
            <w:pPr>
              <w:tabs>
                <w:tab w:val="left" w:pos="4920"/>
                <w:tab w:val="left" w:pos="6240"/>
              </w:tabs>
              <w:adjustRightInd w:val="0"/>
              <w:snapToGrid w:val="0"/>
              <w:jc w:val="center"/>
              <w:rPr>
                <w:sz w:val="24"/>
              </w:rPr>
            </w:pPr>
            <w:r>
              <w:rPr>
                <w:sz w:val="24"/>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vMerge w:val="continue"/>
            <w:tcBorders>
              <w:left w:val="single" w:color="auto" w:sz="4" w:space="0"/>
            </w:tcBorders>
            <w:vAlign w:val="center"/>
          </w:tcPr>
          <w:p>
            <w:pPr>
              <w:ind w:firstLine="480"/>
              <w:jc w:val="center"/>
              <w:rPr>
                <w:sz w:val="24"/>
              </w:rPr>
            </w:pPr>
          </w:p>
        </w:tc>
        <w:tc>
          <w:tcPr>
            <w:tcW w:w="2052" w:type="dxa"/>
            <w:vAlign w:val="center"/>
          </w:tcPr>
          <w:p>
            <w:pPr>
              <w:jc w:val="center"/>
              <w:rPr>
                <w:sz w:val="24"/>
              </w:rPr>
            </w:pPr>
            <w:r>
              <w:rPr>
                <w:sz w:val="24"/>
              </w:rPr>
              <w:t>2019.6.21</w:t>
            </w:r>
          </w:p>
        </w:tc>
        <w:tc>
          <w:tcPr>
            <w:tcW w:w="2264" w:type="dxa"/>
            <w:tcBorders>
              <w:right w:val="single" w:color="auto" w:sz="4" w:space="0"/>
            </w:tcBorders>
            <w:vAlign w:val="center"/>
          </w:tcPr>
          <w:p>
            <w:pPr>
              <w:jc w:val="center"/>
              <w:rPr>
                <w:sz w:val="24"/>
              </w:rPr>
            </w:pPr>
            <w:r>
              <w:rPr>
                <w:sz w:val="24"/>
              </w:rPr>
              <w:t>8</w:t>
            </w:r>
          </w:p>
        </w:tc>
        <w:tc>
          <w:tcPr>
            <w:tcW w:w="2264" w:type="dxa"/>
            <w:vMerge w:val="continue"/>
            <w:tcBorders>
              <w:right w:val="single" w:color="auto" w:sz="4" w:space="0"/>
            </w:tcBorders>
            <w:vAlign w:val="center"/>
          </w:tcPr>
          <w:p>
            <w:pPr>
              <w:tabs>
                <w:tab w:val="left" w:pos="4920"/>
                <w:tab w:val="left" w:pos="6240"/>
              </w:tabs>
              <w:adjustRightInd w:val="0"/>
              <w:snapToGrid w:val="0"/>
              <w:ind w:firstLine="480"/>
              <w:jc w:val="center"/>
              <w:rPr>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1776" w:type="dxa"/>
            <w:tcBorders>
              <w:left w:val="single" w:color="auto" w:sz="4" w:space="0"/>
            </w:tcBorders>
            <w:vAlign w:val="center"/>
          </w:tcPr>
          <w:p>
            <w:pPr>
              <w:ind w:firstLine="480"/>
              <w:jc w:val="center"/>
              <w:rPr>
                <w:sz w:val="24"/>
              </w:rPr>
            </w:pPr>
          </w:p>
        </w:tc>
        <w:tc>
          <w:tcPr>
            <w:tcW w:w="2052" w:type="dxa"/>
            <w:vAlign w:val="center"/>
          </w:tcPr>
          <w:p>
            <w:pPr>
              <w:jc w:val="center"/>
              <w:rPr>
                <w:sz w:val="24"/>
              </w:rPr>
            </w:pPr>
          </w:p>
        </w:tc>
        <w:tc>
          <w:tcPr>
            <w:tcW w:w="2264" w:type="dxa"/>
            <w:tcBorders>
              <w:right w:val="single" w:color="auto" w:sz="4" w:space="0"/>
            </w:tcBorders>
            <w:vAlign w:val="center"/>
          </w:tcPr>
          <w:p>
            <w:pPr>
              <w:jc w:val="center"/>
              <w:rPr>
                <w:sz w:val="24"/>
              </w:rPr>
            </w:pPr>
          </w:p>
        </w:tc>
        <w:tc>
          <w:tcPr>
            <w:tcW w:w="2264" w:type="dxa"/>
            <w:tcBorders>
              <w:right w:val="single" w:color="auto" w:sz="4" w:space="0"/>
            </w:tcBorders>
            <w:vAlign w:val="center"/>
          </w:tcPr>
          <w:p>
            <w:pPr>
              <w:tabs>
                <w:tab w:val="left" w:pos="4920"/>
                <w:tab w:val="left" w:pos="6240"/>
              </w:tabs>
              <w:adjustRightInd w:val="0"/>
              <w:snapToGrid w:val="0"/>
              <w:ind w:firstLine="480"/>
              <w:jc w:val="center"/>
              <w:rPr>
                <w:sz w:val="24"/>
              </w:rPr>
            </w:pPr>
          </w:p>
        </w:tc>
      </w:tr>
    </w:tbl>
    <w:p>
      <w:bookmarkStart w:id="3" w:name="_Toc26898"/>
      <w:bookmarkStart w:id="4" w:name="_Toc11978"/>
      <w:bookmarkStart w:id="5" w:name="_Toc11134"/>
      <w:bookmarkStart w:id="6" w:name="_Toc26812"/>
    </w:p>
    <w:p/>
    <w:p/>
    <w:p/>
    <w:bookmarkEnd w:id="3"/>
    <w:bookmarkEnd w:id="4"/>
    <w:bookmarkEnd w:id="5"/>
    <w:bookmarkEnd w:id="6"/>
    <w:p>
      <w:pPr>
        <w:pStyle w:val="7"/>
        <w:ind w:left="0" w:leftChars="0"/>
        <w:rPr>
          <w:rFonts w:ascii="方正小标宋_GBK" w:hAnsi="方正小标宋_GBK" w:eastAsia="方正小标宋_GBK" w:cs="方正小标宋_GBK"/>
          <w:bCs/>
          <w:sz w:val="44"/>
          <w:szCs w:val="44"/>
        </w:rPr>
      </w:pPr>
    </w:p>
    <w:p>
      <w:pPr>
        <w:pStyle w:val="7"/>
        <w:ind w:left="0" w:leftChars="0"/>
        <w:rPr>
          <w:rFonts w:ascii="方正小标宋_GBK" w:hAnsi="方正小标宋_GBK" w:eastAsia="方正小标宋_GBK" w:cs="方正小标宋_GBK"/>
          <w:bCs/>
          <w:sz w:val="44"/>
          <w:szCs w:val="44"/>
        </w:rPr>
      </w:pPr>
    </w:p>
    <w:p>
      <w:pPr>
        <w:adjustRightInd w:val="0"/>
        <w:snapToGrid w:val="0"/>
        <w:spacing w:line="240" w:lineRule="auto"/>
        <w:jc w:val="center"/>
        <w:rPr>
          <w:rFonts w:ascii="方正小标宋_GBK" w:hAnsi="黑体" w:eastAsia="方正小标宋_GBK"/>
          <w:color w:val="000000"/>
          <w:sz w:val="38"/>
          <w:szCs w:val="38"/>
        </w:rPr>
      </w:pPr>
      <w:r>
        <w:rPr>
          <w:rFonts w:ascii="方正小标宋_GBK" w:hAnsi="黑体" w:eastAsia="方正小标宋_GBK"/>
          <w:color w:val="000000"/>
          <w:sz w:val="38"/>
          <w:szCs w:val="38"/>
        </w:rPr>
        <w:t>农村生活污水治理典型案例-钦州市黎屋村</w:t>
      </w:r>
    </w:p>
    <w:p>
      <w:pPr>
        <w:adjustRightInd w:val="0"/>
        <w:snapToGrid w:val="0"/>
        <w:spacing w:line="240" w:lineRule="auto"/>
        <w:jc w:val="center"/>
        <w:rPr>
          <w:rFonts w:ascii="方正小标宋_GBK" w:hAnsi="黑体" w:eastAsia="方正小标宋_GBK"/>
          <w:color w:val="000000"/>
          <w:sz w:val="38"/>
          <w:szCs w:val="38"/>
        </w:rPr>
      </w:pPr>
    </w:p>
    <w:p>
      <w:pPr>
        <w:pStyle w:val="7"/>
        <w:ind w:left="0" w:leftChars="0" w:firstLine="600" w:firstLineChars="200"/>
        <w:rPr>
          <w:rFonts w:ascii="黑体" w:hAnsi="黑体" w:eastAsia="黑体" w:cs="黑体"/>
          <w:sz w:val="30"/>
          <w:szCs w:val="30"/>
        </w:rPr>
      </w:pPr>
      <w:r>
        <w:rPr>
          <w:rFonts w:hint="eastAsia" w:ascii="黑体" w:hAnsi="黑体" w:eastAsia="黑体" w:cs="黑体"/>
          <w:sz w:val="30"/>
          <w:szCs w:val="30"/>
        </w:rPr>
        <w:t>一、项目概况</w:t>
      </w:r>
    </w:p>
    <w:p>
      <w:pPr>
        <w:snapToGrid w:val="0"/>
        <w:ind w:firstLine="560" w:firstLineChars="200"/>
        <w:rPr>
          <w:szCs w:val="21"/>
        </w:rPr>
      </w:pPr>
      <w:r>
        <w:rPr>
          <w:szCs w:val="21"/>
        </w:rPr>
        <w:t>钦州市钦南区久隆镇黎屋村农村污水处理项目于2018年7月开工建设，于2019年2月完成建设</w:t>
      </w:r>
      <w:r>
        <w:rPr>
          <w:rFonts w:hint="eastAsia"/>
          <w:szCs w:val="21"/>
        </w:rPr>
        <w:t>，</w:t>
      </w:r>
      <w:r>
        <w:rPr>
          <w:szCs w:val="21"/>
        </w:rPr>
        <w:t>2019年4月完成调试工作。于2019年5月通过久隆镇政府组织的工程质量竣工验收；服务人口1150人</w:t>
      </w:r>
      <w:r>
        <w:rPr>
          <w:rFonts w:hint="eastAsia"/>
          <w:szCs w:val="21"/>
        </w:rPr>
        <w:t>，</w:t>
      </w:r>
      <w:r>
        <w:rPr>
          <w:szCs w:val="21"/>
        </w:rPr>
        <w:t>同年11月通过竣工初步验收。</w:t>
      </w:r>
    </w:p>
    <w:p>
      <w:pPr>
        <w:pStyle w:val="7"/>
        <w:ind w:left="0" w:leftChars="0" w:firstLine="600" w:firstLineChars="200"/>
        <w:rPr>
          <w:rFonts w:ascii="黑体" w:hAnsi="黑体" w:eastAsia="黑体" w:cs="黑体"/>
          <w:sz w:val="30"/>
          <w:szCs w:val="30"/>
        </w:rPr>
      </w:pPr>
      <w:r>
        <w:rPr>
          <w:rFonts w:ascii="黑体" w:hAnsi="黑体" w:eastAsia="黑体" w:cs="黑体"/>
          <w:sz w:val="30"/>
          <w:szCs w:val="30"/>
        </w:rPr>
        <w:t>二、技术工艺</w:t>
      </w:r>
    </w:p>
    <w:p>
      <w:pPr>
        <w:ind w:firstLine="560" w:firstLineChars="200"/>
      </w:pPr>
      <w:r>
        <w:rPr>
          <w:rFonts w:hint="eastAsia"/>
        </w:rPr>
        <w:t>1.</w:t>
      </w:r>
      <w:r>
        <w:t>工艺路线</w:t>
      </w:r>
    </w:p>
    <w:p>
      <w:pPr>
        <w:ind w:firstLine="560" w:firstLineChars="200"/>
      </w:pPr>
      <w:r>
        <w:t>采用</w:t>
      </w:r>
      <w:r>
        <w:rPr>
          <w:rFonts w:hint="eastAsia"/>
        </w:rPr>
        <w:t>“</w:t>
      </w:r>
      <w:r>
        <w:t>多级流化床载体生物反应器+水培槽</w:t>
      </w:r>
      <w:r>
        <w:rPr>
          <w:rFonts w:hint="eastAsia"/>
        </w:rPr>
        <w:t>”</w:t>
      </w:r>
      <w:r>
        <w:t>组合工艺（IF-CBR组合生态水培工艺）</w:t>
      </w:r>
      <w:r>
        <w:rPr>
          <w:rFonts w:hint="eastAsia"/>
        </w:rPr>
        <w:t>。</w:t>
      </w:r>
      <w:r>
        <w:t>生活污水首先自流进入格栅隔油池，前段装配格栅，去除水中较大的固体杂质和漂浮物，以保证后续处理工序的稳定运行，从格栅分离出来的杂物，清理后将其外运；后段为隔油池，利用油的密度比水小的特性，进行油水分离，并定期清运。污水进入调节水解池，在调节水解池内进行水质水量调节，同时进行水解酸化反应，在水解段，复杂的、难溶的、难降解的大分子有机物被胞外酶水解为简单的、溶解性好的、易生物降解的小分子有机物；在酸化段，溶解性的有机物由兼性细菌转化为小分子的有机酸、醇、醛等；从而提高了BOD</w:t>
      </w:r>
      <w:r>
        <w:rPr>
          <w:vertAlign w:val="subscript"/>
        </w:rPr>
        <w:t>5</w:t>
      </w:r>
      <w:r>
        <w:t>/COD</w:t>
      </w:r>
      <w:r>
        <w:rPr>
          <w:vertAlign w:val="subscript"/>
        </w:rPr>
        <w:t>Cr</w:t>
      </w:r>
      <w:r>
        <w:t>值，使污水的可生化性能得到提升，同时也可以降解部分有机污染物质，调节—水解酸化器出水自流进入多级IF-CBR。IF-CBR采用</w:t>
      </w:r>
      <w:r>
        <w:rPr>
          <w:rFonts w:hint="eastAsia"/>
        </w:rPr>
        <w:t>“</w:t>
      </w:r>
      <w:r>
        <w:t>固定化细胞生物载体</w:t>
      </w:r>
      <w:r>
        <w:rPr>
          <w:rFonts w:hint="eastAsia"/>
        </w:rPr>
        <w:t>”</w:t>
      </w:r>
      <w:r>
        <w:t>技术—利用酶和微生物细胞具有较强的生物催化功能与酶促反应特性，使环保设施内酶和微生物细胞浓度增大，最终实现生活污水处理的效能和极限得以倍值提高与突破。在同等污水水质、处理规模和反应时间条件下，生化处理效率有显著提高，生化出水水质好，BOD</w:t>
      </w:r>
      <w:r>
        <w:rPr>
          <w:vertAlign w:val="subscript"/>
        </w:rPr>
        <w:t>5</w:t>
      </w:r>
      <w:r>
        <w:t>的容积负荷为2.5kg/</w:t>
      </w:r>
      <w:r>
        <w:rPr>
          <w:rFonts w:hint="eastAsia"/>
        </w:rPr>
        <w:t>m³</w:t>
      </w:r>
      <w:r>
        <w:t>·d，氨氮容积负荷为1.5kg/</w:t>
      </w:r>
      <w:r>
        <w:rPr>
          <w:rFonts w:hint="eastAsia"/>
        </w:rPr>
        <w:t>m³</w:t>
      </w:r>
      <w:r>
        <w:t>·d，与传统方法相比较，采用固定化细胞生物载体技术的污水处理效率可提高数倍。流化床反应器出水进入生态水培槽，利用优选生态植物发达的根系以及表面形成的微生物群进一步吸收、转化废水中有机物，以吸附、去除厌氧出来废水中的过高的N、P。水培槽设计成好氧、兼氧、缺氧环境，使废水在此进行硝化、反硝化反应，进一步去除废水中的氨氮。然后出水自流进入生物可渗透槽，种植水生植物及观赏性植物，利用植物根系及滤料的作用，可以有效的吸收用水中的氨氮、磷等污染物质，为植物生长提供养分，去除污染物的同时可产生一定的经济效益，最后污水处理达标排放。</w:t>
      </w:r>
    </w:p>
    <w:p>
      <w:pPr>
        <w:pStyle w:val="7"/>
        <w:ind w:left="0" w:leftChars="0" w:firstLine="560" w:firstLineChars="200"/>
      </w:pPr>
      <w:r>
        <w:rPr>
          <w:rFonts w:hint="eastAsia"/>
        </w:rPr>
        <w:t>2.</w:t>
      </w:r>
      <w:r>
        <w:t>技术原理</w:t>
      </w:r>
    </w:p>
    <w:p>
      <w:pPr>
        <w:ind w:firstLine="560" w:firstLineChars="200"/>
      </w:pPr>
      <w:r>
        <w:t>技术采用</w:t>
      </w:r>
      <w:r>
        <w:rPr>
          <w:rFonts w:hint="eastAsia"/>
        </w:rPr>
        <w:t>“</w:t>
      </w:r>
      <w:r>
        <w:t>床载体生物反应器+生态水培槽</w:t>
      </w:r>
      <w:r>
        <w:rPr>
          <w:rFonts w:hint="eastAsia"/>
        </w:rPr>
        <w:t>”</w:t>
      </w:r>
      <w:r>
        <w:t>组合工艺，一体化流化床载体生物反应器（IF-CBR）采用载体结构设计，废水与气体自下而上通过反应器，使填料颗粒保持流化状态，难以用好氧微生物直接处理的难降解有机物可先经厌氧水解成小分子化合物，再经好氧代谢成无机物；载体流化床内安装</w:t>
      </w:r>
      <w:r>
        <w:rPr>
          <w:rFonts w:hint="eastAsia"/>
        </w:rPr>
        <w:t>“</w:t>
      </w:r>
      <w:r>
        <w:t>固定化细胞生物载体</w:t>
      </w:r>
      <w:r>
        <w:rPr>
          <w:rFonts w:hint="eastAsia"/>
        </w:rPr>
        <w:t>”</w:t>
      </w:r>
      <w:r>
        <w:t>使环保设施内酶和微生物细胞浓度增大，提高生活污水处理效能；生态水培槽工艺集传统的厌氧、好氧生化池、沉淀池和人工湿地集一体，对氨氮、总磷的去除率大大提高。</w:t>
      </w:r>
    </w:p>
    <w:p>
      <w:pPr>
        <w:ind w:firstLine="560" w:firstLineChars="200"/>
      </w:pPr>
      <w:r>
        <w:t>生态水培槽主要是种植优选生态植物，利用植物发达的根系以及表面形成的微生物群吸收、去除废水中有机物，以吸附、去除厌氧出来废水中的过高的N、P。同时水培槽设计中使形成好氧、兼氧、缺氧环境，使废水在此进行硝化、反硝化反应，进一步去除废水中的氨氮。水生植物的生长过程吸收氮磷等营养元素，可提高去除污水中氮磷的能力。一般选用耐污能力强、根系发达、茎叶茂密、抗病虫害能力强，且有一定经济价值的高等水生维管植物。水生植物的茎部和根系为细菌和其他微生物提供生长介质，并形成生物膜，可提高去除污水中COD</w:t>
      </w:r>
      <w:r>
        <w:rPr>
          <w:vertAlign w:val="subscript"/>
        </w:rPr>
        <w:t>Cr</w:t>
      </w:r>
      <w:r>
        <w:t>、BOD</w:t>
      </w:r>
      <w:r>
        <w:rPr>
          <w:vertAlign w:val="subscript"/>
        </w:rPr>
        <w:t>5</w:t>
      </w:r>
      <w:r>
        <w:t>的能力。</w:t>
      </w:r>
    </w:p>
    <w:p>
      <w:pPr>
        <w:pStyle w:val="7"/>
        <w:ind w:left="0" w:leftChars="0" w:firstLine="600" w:firstLineChars="200"/>
        <w:rPr>
          <w:rFonts w:ascii="黑体" w:hAnsi="黑体" w:eastAsia="黑体" w:cs="黑体"/>
          <w:sz w:val="30"/>
          <w:szCs w:val="30"/>
        </w:rPr>
      </w:pPr>
      <w:r>
        <w:rPr>
          <w:rFonts w:hint="eastAsia" w:ascii="黑体" w:hAnsi="黑体" w:eastAsia="黑体" w:cs="黑体"/>
          <w:sz w:val="30"/>
          <w:szCs w:val="30"/>
        </w:rPr>
        <w:t>三、</w:t>
      </w:r>
      <w:r>
        <w:rPr>
          <w:rFonts w:ascii="黑体" w:hAnsi="黑体" w:eastAsia="黑体" w:cs="黑体"/>
          <w:sz w:val="30"/>
          <w:szCs w:val="30"/>
        </w:rPr>
        <w:t>治理</w:t>
      </w:r>
      <w:r>
        <w:rPr>
          <w:rFonts w:hint="eastAsia" w:ascii="黑体" w:hAnsi="黑体" w:eastAsia="黑体" w:cs="黑体"/>
          <w:sz w:val="30"/>
          <w:szCs w:val="30"/>
        </w:rPr>
        <w:t>情况</w:t>
      </w:r>
    </w:p>
    <w:p>
      <w:pPr>
        <w:ind w:firstLine="560" w:firstLineChars="200"/>
      </w:pPr>
      <w:r>
        <w:rPr>
          <w:rFonts w:hint="eastAsia"/>
        </w:rPr>
        <w:t>1.设施建设</w:t>
      </w:r>
    </w:p>
    <w:p>
      <w:pPr>
        <w:snapToGrid w:val="0"/>
        <w:ind w:firstLine="560" w:firstLineChars="200"/>
        <w:rPr>
          <w:szCs w:val="21"/>
        </w:rPr>
      </w:pPr>
      <w:r>
        <w:rPr>
          <w:szCs w:val="21"/>
        </w:rPr>
        <w:t>钦州市钦南区久隆镇黎屋村污水站处理规模为100m³/d，配套建设污水管网2600米。建成后服务人口1150人，项目总投资140万元，建设调试时间为2018年7月至2019年4月。</w:t>
      </w:r>
    </w:p>
    <w:p>
      <w:pPr>
        <w:ind w:firstLine="560" w:firstLineChars="200"/>
      </w:pPr>
      <w:r>
        <w:rPr>
          <w:rFonts w:hint="eastAsia"/>
        </w:rPr>
        <w:t>2.治理效果</w:t>
      </w:r>
    </w:p>
    <w:p>
      <w:pPr>
        <w:ind w:firstLine="560" w:firstLineChars="200"/>
        <w:rPr>
          <w:b/>
          <w:bCs/>
          <w:sz w:val="24"/>
        </w:rPr>
      </w:pPr>
      <w:r>
        <w:t>污水处理站运行良好，处理后出水达到《城镇污水处理厂污染物排放标准》（GB18918-2002）一级B标准</w:t>
      </w:r>
      <w:r>
        <w:rPr>
          <w:rFonts w:hint="eastAsia"/>
        </w:rPr>
        <w:t>，</w:t>
      </w:r>
      <w:r>
        <w:t>根据《2017年钦州市钦南区农村环境综合整治久隆镇黎屋村农村污水处理项目监测报告》（玉翔监字〔2019〕第0426号，2019年4月），污水站出水口</w:t>
      </w:r>
      <w:r>
        <w:rPr>
          <w:rFonts w:hint="eastAsia"/>
          <w:lang w:eastAsia="zh-CN"/>
        </w:rPr>
        <w:t>出</w:t>
      </w:r>
      <w:r>
        <w:t>水</w:t>
      </w:r>
      <w:r>
        <w:rPr>
          <w:rFonts w:hint="eastAsia"/>
          <w:lang w:eastAsia="zh-CN"/>
        </w:rPr>
        <w:t>水</w:t>
      </w:r>
      <w:r>
        <w:t>质可以达到《城镇污水处理厂污染物排放标准》一级B标准，该出水水质同时满足广西地方标准《农村生活污水处理设施水污染物排放标准》二级标准的排放要求。具体出水水质见表</w:t>
      </w:r>
      <w:r>
        <w:rPr>
          <w:rFonts w:hint="eastAsia"/>
        </w:rPr>
        <w:t>1</w:t>
      </w:r>
      <w:r>
        <w:t>-</w:t>
      </w:r>
      <w:r>
        <w:rPr>
          <w:rFonts w:hint="eastAsia"/>
        </w:rPr>
        <w:t>2</w:t>
      </w:r>
      <w:r>
        <w:t>。</w:t>
      </w:r>
    </w:p>
    <w:p>
      <w:pPr>
        <w:jc w:val="center"/>
        <w:rPr>
          <w:b/>
          <w:bCs/>
          <w:sz w:val="24"/>
        </w:rPr>
      </w:pPr>
    </w:p>
    <w:p>
      <w:pPr>
        <w:jc w:val="center"/>
        <w:rPr>
          <w:b/>
          <w:bCs/>
          <w:sz w:val="24"/>
        </w:rPr>
      </w:pPr>
    </w:p>
    <w:p>
      <w:pPr>
        <w:jc w:val="center"/>
        <w:rPr>
          <w:b/>
          <w:bCs/>
          <w:sz w:val="18"/>
          <w:szCs w:val="18"/>
        </w:rPr>
      </w:pPr>
      <w:r>
        <w:rPr>
          <w:b/>
          <w:bCs/>
          <w:sz w:val="24"/>
        </w:rPr>
        <w:t>表</w:t>
      </w:r>
      <w:r>
        <w:rPr>
          <w:rFonts w:hint="eastAsia"/>
          <w:b/>
          <w:bCs/>
          <w:sz w:val="24"/>
        </w:rPr>
        <w:t>1</w:t>
      </w:r>
      <w:r>
        <w:rPr>
          <w:b/>
          <w:bCs/>
          <w:sz w:val="24"/>
        </w:rPr>
        <w:t>-</w:t>
      </w:r>
      <w:r>
        <w:rPr>
          <w:rFonts w:hint="eastAsia"/>
          <w:b/>
          <w:bCs/>
          <w:sz w:val="24"/>
        </w:rPr>
        <w:t>2</w:t>
      </w:r>
      <w:r>
        <w:rPr>
          <w:b/>
          <w:bCs/>
          <w:sz w:val="24"/>
        </w:rPr>
        <w:t>黎屋村农村污水处理出水水质</w:t>
      </w:r>
      <w:r>
        <w:rPr>
          <w:rFonts w:hint="eastAsia"/>
          <w:b/>
          <w:bCs/>
          <w:sz w:val="24"/>
          <w:lang w:val="en-US" w:eastAsia="zh-CN"/>
        </w:rPr>
        <w:t xml:space="preserve"> </w:t>
      </w:r>
    </w:p>
    <w:tbl>
      <w:tblPr>
        <w:tblStyle w:val="12"/>
        <w:tblW w:w="8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620"/>
        <w:gridCol w:w="1668"/>
        <w:gridCol w:w="2181"/>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992" w:type="dxa"/>
            <w:vAlign w:val="center"/>
          </w:tcPr>
          <w:p>
            <w:pPr>
              <w:jc w:val="center"/>
              <w:rPr>
                <w:sz w:val="24"/>
              </w:rPr>
            </w:pPr>
            <w:r>
              <w:rPr>
                <w:sz w:val="24"/>
              </w:rPr>
              <w:t>监测</w:t>
            </w:r>
          </w:p>
          <w:p>
            <w:pPr>
              <w:jc w:val="center"/>
              <w:rPr>
                <w:sz w:val="24"/>
              </w:rPr>
            </w:pPr>
            <w:r>
              <w:rPr>
                <w:sz w:val="24"/>
              </w:rPr>
              <w:t>点位</w:t>
            </w:r>
          </w:p>
        </w:tc>
        <w:tc>
          <w:tcPr>
            <w:tcW w:w="1620" w:type="dxa"/>
            <w:vAlign w:val="center"/>
          </w:tcPr>
          <w:p>
            <w:pPr>
              <w:jc w:val="center"/>
              <w:rPr>
                <w:sz w:val="24"/>
              </w:rPr>
            </w:pPr>
            <w:r>
              <w:rPr>
                <w:sz w:val="24"/>
              </w:rPr>
              <w:t>监测项目</w:t>
            </w:r>
          </w:p>
        </w:tc>
        <w:tc>
          <w:tcPr>
            <w:tcW w:w="1668" w:type="dxa"/>
            <w:vAlign w:val="center"/>
          </w:tcPr>
          <w:p>
            <w:pPr>
              <w:jc w:val="center"/>
              <w:rPr>
                <w:rFonts w:hint="eastAsia" w:eastAsia="仿宋"/>
                <w:sz w:val="24"/>
                <w:lang w:eastAsia="zh-CN"/>
              </w:rPr>
            </w:pPr>
            <w:r>
              <w:rPr>
                <w:sz w:val="24"/>
              </w:rPr>
              <w:t>监测结果</w:t>
            </w:r>
            <w:r>
              <w:rPr>
                <w:rFonts w:hint="eastAsia"/>
                <w:sz w:val="24"/>
                <w:lang w:eastAsia="zh-CN"/>
              </w:rPr>
              <w:t>（mg/L）</w:t>
            </w:r>
          </w:p>
        </w:tc>
        <w:tc>
          <w:tcPr>
            <w:tcW w:w="2181" w:type="dxa"/>
            <w:vAlign w:val="center"/>
          </w:tcPr>
          <w:p>
            <w:pPr>
              <w:jc w:val="center"/>
              <w:rPr>
                <w:sz w:val="24"/>
              </w:rPr>
            </w:pPr>
            <w:r>
              <w:rPr>
                <w:sz w:val="24"/>
              </w:rPr>
              <w:t>广西地方标准</w:t>
            </w:r>
          </w:p>
          <w:p>
            <w:pPr>
              <w:jc w:val="center"/>
              <w:rPr>
                <w:sz w:val="24"/>
              </w:rPr>
            </w:pPr>
            <w:r>
              <w:rPr>
                <w:sz w:val="24"/>
              </w:rPr>
              <w:t>二级标准</w:t>
            </w:r>
            <w:r>
              <w:rPr>
                <w:rFonts w:hint="eastAsia"/>
                <w:sz w:val="24"/>
                <w:lang w:eastAsia="zh-CN"/>
              </w:rPr>
              <w:t>（mg/L）</w:t>
            </w:r>
          </w:p>
        </w:tc>
        <w:tc>
          <w:tcPr>
            <w:tcW w:w="1616" w:type="dxa"/>
            <w:vAlign w:val="center"/>
          </w:tcPr>
          <w:p>
            <w:pPr>
              <w:jc w:val="center"/>
              <w:rPr>
                <w:sz w:val="24"/>
              </w:rPr>
            </w:pPr>
            <w:r>
              <w:rPr>
                <w:sz w:val="24"/>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992" w:type="dxa"/>
            <w:vMerge w:val="restart"/>
            <w:vAlign w:val="center"/>
          </w:tcPr>
          <w:p>
            <w:pPr>
              <w:jc w:val="center"/>
              <w:rPr>
                <w:sz w:val="24"/>
              </w:rPr>
            </w:pPr>
            <w:r>
              <w:rPr>
                <w:sz w:val="24"/>
              </w:rPr>
              <w:t>出水口</w:t>
            </w:r>
          </w:p>
        </w:tc>
        <w:tc>
          <w:tcPr>
            <w:tcW w:w="1620" w:type="dxa"/>
            <w:vAlign w:val="center"/>
          </w:tcPr>
          <w:p>
            <w:pPr>
              <w:jc w:val="center"/>
              <w:rPr>
                <w:sz w:val="24"/>
              </w:rPr>
            </w:pPr>
            <w:r>
              <w:rPr>
                <w:sz w:val="24"/>
              </w:rPr>
              <w:t>pH</w:t>
            </w:r>
          </w:p>
        </w:tc>
        <w:tc>
          <w:tcPr>
            <w:tcW w:w="1668" w:type="dxa"/>
            <w:vAlign w:val="center"/>
          </w:tcPr>
          <w:p>
            <w:pPr>
              <w:jc w:val="center"/>
              <w:rPr>
                <w:sz w:val="24"/>
              </w:rPr>
            </w:pPr>
            <w:r>
              <w:rPr>
                <w:sz w:val="24"/>
              </w:rPr>
              <w:t>6.79-6.87</w:t>
            </w:r>
          </w:p>
        </w:tc>
        <w:tc>
          <w:tcPr>
            <w:tcW w:w="2181" w:type="dxa"/>
            <w:vAlign w:val="center"/>
          </w:tcPr>
          <w:p>
            <w:pPr>
              <w:jc w:val="center"/>
              <w:rPr>
                <w:sz w:val="24"/>
              </w:rPr>
            </w:pPr>
            <w:r>
              <w:rPr>
                <w:sz w:val="24"/>
              </w:rPr>
              <w:t>6-9</w:t>
            </w:r>
          </w:p>
        </w:tc>
        <w:tc>
          <w:tcPr>
            <w:tcW w:w="1616" w:type="dxa"/>
            <w:vAlign w:val="center"/>
          </w:tcPr>
          <w:p>
            <w:pPr>
              <w:jc w:val="center"/>
              <w:rPr>
                <w:sz w:val="24"/>
              </w:rPr>
            </w:pPr>
            <w:r>
              <w:rPr>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992" w:type="dxa"/>
            <w:vMerge w:val="continue"/>
            <w:vAlign w:val="center"/>
          </w:tcPr>
          <w:p>
            <w:pPr>
              <w:jc w:val="center"/>
              <w:rPr>
                <w:sz w:val="24"/>
              </w:rPr>
            </w:pPr>
          </w:p>
        </w:tc>
        <w:tc>
          <w:tcPr>
            <w:tcW w:w="1620" w:type="dxa"/>
            <w:vAlign w:val="center"/>
          </w:tcPr>
          <w:p>
            <w:pPr>
              <w:jc w:val="center"/>
              <w:rPr>
                <w:sz w:val="24"/>
              </w:rPr>
            </w:pPr>
            <w:r>
              <w:rPr>
                <w:sz w:val="24"/>
              </w:rPr>
              <w:t>SS</w:t>
            </w:r>
          </w:p>
        </w:tc>
        <w:tc>
          <w:tcPr>
            <w:tcW w:w="1668" w:type="dxa"/>
            <w:vAlign w:val="center"/>
          </w:tcPr>
          <w:p>
            <w:pPr>
              <w:jc w:val="center"/>
              <w:rPr>
                <w:sz w:val="24"/>
              </w:rPr>
            </w:pPr>
            <w:r>
              <w:rPr>
                <w:sz w:val="24"/>
              </w:rPr>
              <w:t>13</w:t>
            </w:r>
          </w:p>
        </w:tc>
        <w:tc>
          <w:tcPr>
            <w:tcW w:w="2181" w:type="dxa"/>
            <w:vAlign w:val="center"/>
          </w:tcPr>
          <w:p>
            <w:pPr>
              <w:jc w:val="center"/>
              <w:rPr>
                <w:sz w:val="24"/>
              </w:rPr>
            </w:pPr>
            <w:r>
              <w:rPr>
                <w:sz w:val="24"/>
              </w:rPr>
              <w:t>30</w:t>
            </w:r>
          </w:p>
        </w:tc>
        <w:tc>
          <w:tcPr>
            <w:tcW w:w="1616" w:type="dxa"/>
            <w:vAlign w:val="center"/>
          </w:tcPr>
          <w:p>
            <w:pPr>
              <w:jc w:val="center"/>
              <w:rPr>
                <w:sz w:val="24"/>
              </w:rPr>
            </w:pPr>
            <w:r>
              <w:rPr>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992" w:type="dxa"/>
            <w:vMerge w:val="continue"/>
            <w:vAlign w:val="center"/>
          </w:tcPr>
          <w:p>
            <w:pPr>
              <w:jc w:val="center"/>
              <w:rPr>
                <w:sz w:val="24"/>
              </w:rPr>
            </w:pPr>
          </w:p>
        </w:tc>
        <w:tc>
          <w:tcPr>
            <w:tcW w:w="1620" w:type="dxa"/>
            <w:vAlign w:val="center"/>
          </w:tcPr>
          <w:p>
            <w:pPr>
              <w:jc w:val="center"/>
              <w:rPr>
                <w:sz w:val="24"/>
              </w:rPr>
            </w:pPr>
            <w:r>
              <w:rPr>
                <w:sz w:val="24"/>
              </w:rPr>
              <w:t>COD</w:t>
            </w:r>
            <w:r>
              <w:rPr>
                <w:sz w:val="24"/>
                <w:vertAlign w:val="subscript"/>
              </w:rPr>
              <w:t>Cr</w:t>
            </w:r>
          </w:p>
        </w:tc>
        <w:tc>
          <w:tcPr>
            <w:tcW w:w="1668" w:type="dxa"/>
            <w:vAlign w:val="center"/>
          </w:tcPr>
          <w:p>
            <w:pPr>
              <w:jc w:val="center"/>
              <w:rPr>
                <w:sz w:val="24"/>
              </w:rPr>
            </w:pPr>
            <w:r>
              <w:rPr>
                <w:sz w:val="24"/>
              </w:rPr>
              <w:t>38</w:t>
            </w:r>
          </w:p>
        </w:tc>
        <w:tc>
          <w:tcPr>
            <w:tcW w:w="2181" w:type="dxa"/>
            <w:vAlign w:val="center"/>
          </w:tcPr>
          <w:p>
            <w:pPr>
              <w:jc w:val="center"/>
              <w:rPr>
                <w:sz w:val="24"/>
              </w:rPr>
            </w:pPr>
            <w:r>
              <w:rPr>
                <w:sz w:val="24"/>
              </w:rPr>
              <w:t>100</w:t>
            </w:r>
          </w:p>
        </w:tc>
        <w:tc>
          <w:tcPr>
            <w:tcW w:w="1616" w:type="dxa"/>
            <w:vAlign w:val="center"/>
          </w:tcPr>
          <w:p>
            <w:pPr>
              <w:jc w:val="center"/>
              <w:rPr>
                <w:sz w:val="24"/>
              </w:rPr>
            </w:pPr>
            <w:r>
              <w:rPr>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992" w:type="dxa"/>
            <w:vMerge w:val="continue"/>
            <w:vAlign w:val="center"/>
          </w:tcPr>
          <w:p>
            <w:pPr>
              <w:jc w:val="center"/>
              <w:rPr>
                <w:sz w:val="24"/>
              </w:rPr>
            </w:pPr>
          </w:p>
        </w:tc>
        <w:tc>
          <w:tcPr>
            <w:tcW w:w="1620" w:type="dxa"/>
            <w:vAlign w:val="center"/>
          </w:tcPr>
          <w:p>
            <w:pPr>
              <w:jc w:val="center"/>
              <w:rPr>
                <w:sz w:val="24"/>
              </w:rPr>
            </w:pPr>
            <w:r>
              <w:rPr>
                <w:sz w:val="24"/>
              </w:rPr>
              <w:t>BOD</w:t>
            </w:r>
            <w:r>
              <w:rPr>
                <w:sz w:val="24"/>
                <w:vertAlign w:val="subscript"/>
              </w:rPr>
              <w:t>5</w:t>
            </w:r>
          </w:p>
        </w:tc>
        <w:tc>
          <w:tcPr>
            <w:tcW w:w="1668" w:type="dxa"/>
            <w:vAlign w:val="center"/>
          </w:tcPr>
          <w:p>
            <w:pPr>
              <w:jc w:val="center"/>
              <w:rPr>
                <w:sz w:val="24"/>
              </w:rPr>
            </w:pPr>
            <w:r>
              <w:rPr>
                <w:sz w:val="24"/>
              </w:rPr>
              <w:t>11.4</w:t>
            </w:r>
          </w:p>
        </w:tc>
        <w:tc>
          <w:tcPr>
            <w:tcW w:w="2181" w:type="dxa"/>
            <w:vAlign w:val="center"/>
          </w:tcPr>
          <w:p>
            <w:pPr>
              <w:jc w:val="center"/>
              <w:rPr>
                <w:sz w:val="24"/>
              </w:rPr>
            </w:pPr>
            <w:r>
              <w:rPr>
                <w:sz w:val="24"/>
              </w:rPr>
              <w:t>/</w:t>
            </w:r>
          </w:p>
        </w:tc>
        <w:tc>
          <w:tcPr>
            <w:tcW w:w="1616" w:type="dxa"/>
            <w:vAlign w:val="center"/>
          </w:tcPr>
          <w:p>
            <w:pPr>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992" w:type="dxa"/>
            <w:vMerge w:val="continue"/>
            <w:vAlign w:val="center"/>
          </w:tcPr>
          <w:p>
            <w:pPr>
              <w:jc w:val="center"/>
              <w:rPr>
                <w:sz w:val="24"/>
              </w:rPr>
            </w:pPr>
          </w:p>
        </w:tc>
        <w:tc>
          <w:tcPr>
            <w:tcW w:w="1620" w:type="dxa"/>
            <w:vAlign w:val="center"/>
          </w:tcPr>
          <w:p>
            <w:pPr>
              <w:jc w:val="center"/>
              <w:rPr>
                <w:sz w:val="24"/>
              </w:rPr>
            </w:pPr>
            <w:r>
              <w:rPr>
                <w:sz w:val="24"/>
              </w:rPr>
              <w:t>NH</w:t>
            </w:r>
            <w:r>
              <w:rPr>
                <w:sz w:val="24"/>
                <w:vertAlign w:val="subscript"/>
              </w:rPr>
              <w:t>3</w:t>
            </w:r>
            <w:r>
              <w:rPr>
                <w:sz w:val="24"/>
              </w:rPr>
              <w:t>-N</w:t>
            </w:r>
          </w:p>
        </w:tc>
        <w:tc>
          <w:tcPr>
            <w:tcW w:w="1668" w:type="dxa"/>
            <w:vAlign w:val="center"/>
          </w:tcPr>
          <w:p>
            <w:pPr>
              <w:jc w:val="center"/>
              <w:rPr>
                <w:sz w:val="24"/>
              </w:rPr>
            </w:pPr>
            <w:r>
              <w:rPr>
                <w:sz w:val="24"/>
              </w:rPr>
              <w:t>6.15</w:t>
            </w:r>
          </w:p>
        </w:tc>
        <w:tc>
          <w:tcPr>
            <w:tcW w:w="2181" w:type="dxa"/>
            <w:vAlign w:val="center"/>
          </w:tcPr>
          <w:p>
            <w:pPr>
              <w:jc w:val="center"/>
              <w:rPr>
                <w:sz w:val="24"/>
              </w:rPr>
            </w:pPr>
            <w:r>
              <w:rPr>
                <w:sz w:val="24"/>
              </w:rPr>
              <w:t>15</w:t>
            </w:r>
          </w:p>
        </w:tc>
        <w:tc>
          <w:tcPr>
            <w:tcW w:w="1616" w:type="dxa"/>
            <w:vAlign w:val="center"/>
          </w:tcPr>
          <w:p>
            <w:pPr>
              <w:jc w:val="center"/>
              <w:rPr>
                <w:sz w:val="24"/>
              </w:rPr>
            </w:pPr>
            <w:r>
              <w:rPr>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992" w:type="dxa"/>
            <w:vMerge w:val="continue"/>
            <w:vAlign w:val="center"/>
          </w:tcPr>
          <w:p>
            <w:pPr>
              <w:jc w:val="center"/>
              <w:rPr>
                <w:sz w:val="24"/>
              </w:rPr>
            </w:pPr>
          </w:p>
        </w:tc>
        <w:tc>
          <w:tcPr>
            <w:tcW w:w="1620" w:type="dxa"/>
            <w:vAlign w:val="center"/>
          </w:tcPr>
          <w:p>
            <w:pPr>
              <w:jc w:val="center"/>
              <w:rPr>
                <w:sz w:val="24"/>
              </w:rPr>
            </w:pPr>
            <w:r>
              <w:rPr>
                <w:sz w:val="24"/>
              </w:rPr>
              <w:t>TN</w:t>
            </w:r>
          </w:p>
        </w:tc>
        <w:tc>
          <w:tcPr>
            <w:tcW w:w="1668" w:type="dxa"/>
            <w:vAlign w:val="center"/>
          </w:tcPr>
          <w:p>
            <w:pPr>
              <w:jc w:val="center"/>
              <w:rPr>
                <w:sz w:val="24"/>
              </w:rPr>
            </w:pPr>
            <w:r>
              <w:rPr>
                <w:sz w:val="24"/>
              </w:rPr>
              <w:t>10.8</w:t>
            </w:r>
          </w:p>
        </w:tc>
        <w:tc>
          <w:tcPr>
            <w:tcW w:w="2181" w:type="dxa"/>
            <w:vAlign w:val="center"/>
          </w:tcPr>
          <w:p>
            <w:pPr>
              <w:jc w:val="center"/>
              <w:rPr>
                <w:sz w:val="24"/>
              </w:rPr>
            </w:pPr>
            <w:r>
              <w:rPr>
                <w:sz w:val="24"/>
              </w:rPr>
              <w:t>/</w:t>
            </w:r>
          </w:p>
        </w:tc>
        <w:tc>
          <w:tcPr>
            <w:tcW w:w="1616" w:type="dxa"/>
            <w:vAlign w:val="center"/>
          </w:tcPr>
          <w:p>
            <w:pPr>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92" w:type="dxa"/>
            <w:vMerge w:val="continue"/>
            <w:vAlign w:val="center"/>
          </w:tcPr>
          <w:p>
            <w:pPr>
              <w:jc w:val="center"/>
              <w:rPr>
                <w:sz w:val="24"/>
              </w:rPr>
            </w:pPr>
          </w:p>
        </w:tc>
        <w:tc>
          <w:tcPr>
            <w:tcW w:w="1620" w:type="dxa"/>
            <w:vAlign w:val="center"/>
          </w:tcPr>
          <w:p>
            <w:pPr>
              <w:jc w:val="center"/>
              <w:rPr>
                <w:sz w:val="24"/>
              </w:rPr>
            </w:pPr>
            <w:r>
              <w:rPr>
                <w:sz w:val="24"/>
              </w:rPr>
              <w:t>TP</w:t>
            </w:r>
          </w:p>
        </w:tc>
        <w:tc>
          <w:tcPr>
            <w:tcW w:w="1668" w:type="dxa"/>
            <w:vAlign w:val="center"/>
          </w:tcPr>
          <w:p>
            <w:pPr>
              <w:jc w:val="center"/>
              <w:rPr>
                <w:sz w:val="24"/>
              </w:rPr>
            </w:pPr>
            <w:r>
              <w:rPr>
                <w:sz w:val="24"/>
              </w:rPr>
              <w:t>0.48</w:t>
            </w:r>
          </w:p>
        </w:tc>
        <w:tc>
          <w:tcPr>
            <w:tcW w:w="2181" w:type="dxa"/>
            <w:vAlign w:val="center"/>
          </w:tcPr>
          <w:p>
            <w:pPr>
              <w:jc w:val="center"/>
              <w:rPr>
                <w:sz w:val="24"/>
              </w:rPr>
            </w:pPr>
            <w:r>
              <w:rPr>
                <w:sz w:val="24"/>
              </w:rPr>
              <w:t>3</w:t>
            </w:r>
          </w:p>
        </w:tc>
        <w:tc>
          <w:tcPr>
            <w:tcW w:w="1616" w:type="dxa"/>
            <w:vAlign w:val="center"/>
          </w:tcPr>
          <w:p>
            <w:pPr>
              <w:jc w:val="center"/>
              <w:rPr>
                <w:sz w:val="24"/>
              </w:rPr>
            </w:pPr>
            <w:r>
              <w:rPr>
                <w:sz w:val="24"/>
              </w:rPr>
              <w:t>达标</w:t>
            </w:r>
          </w:p>
        </w:tc>
      </w:tr>
    </w:tbl>
    <w:p/>
    <w:tbl>
      <w:tblPr>
        <w:tblStyle w:val="1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1" w:hRule="atLeast"/>
        </w:trPr>
        <w:tc>
          <w:tcPr>
            <w:tcW w:w="8522" w:type="dxa"/>
            <w:tcBorders>
              <w:tl2br w:val="nil"/>
              <w:tr2bl w:val="nil"/>
            </w:tcBorders>
          </w:tcPr>
          <w:p>
            <w:pPr>
              <w:jc w:val="center"/>
            </w:pPr>
            <w:r>
              <w:drawing>
                <wp:inline distT="0" distB="0" distL="114300" distR="114300">
                  <wp:extent cx="3162935" cy="2333625"/>
                  <wp:effectExtent l="0" t="0" r="18415" b="952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1"/>
                          <a:srcRect l="1695" t="2266" r="1070" b="1839"/>
                          <a:stretch>
                            <a:fillRect/>
                          </a:stretch>
                        </pic:blipFill>
                        <pic:spPr>
                          <a:xfrm>
                            <a:off x="0" y="0"/>
                            <a:ext cx="3162935" cy="2333625"/>
                          </a:xfrm>
                          <a:prstGeom prst="rect">
                            <a:avLst/>
                          </a:prstGeom>
                          <a:noFill/>
                          <a:ln>
                            <a:noFill/>
                          </a:ln>
                        </pic:spPr>
                      </pic:pic>
                    </a:graphicData>
                  </a:graphic>
                </wp:inline>
              </w:drawing>
            </w:r>
          </w:p>
        </w:tc>
      </w:tr>
    </w:tbl>
    <w:p>
      <w:pPr>
        <w:jc w:val="center"/>
        <w:rPr>
          <w:b/>
          <w:bCs/>
          <w:sz w:val="24"/>
        </w:rPr>
      </w:pPr>
      <w:r>
        <w:rPr>
          <w:b/>
          <w:bCs/>
          <w:sz w:val="24"/>
        </w:rPr>
        <w:t>图</w:t>
      </w:r>
      <w:r>
        <w:rPr>
          <w:rFonts w:hint="eastAsia"/>
          <w:b/>
          <w:bCs/>
          <w:sz w:val="24"/>
        </w:rPr>
        <w:t>1</w:t>
      </w:r>
      <w:r>
        <w:rPr>
          <w:b/>
          <w:bCs/>
          <w:sz w:val="24"/>
        </w:rPr>
        <w:t>-</w:t>
      </w:r>
      <w:r>
        <w:rPr>
          <w:rFonts w:hint="eastAsia"/>
          <w:b/>
          <w:bCs/>
          <w:sz w:val="24"/>
        </w:rPr>
        <w:t>5</w:t>
      </w:r>
      <w:r>
        <w:rPr>
          <w:b/>
          <w:bCs/>
          <w:sz w:val="24"/>
        </w:rPr>
        <w:t>钦州市钦南区久隆镇黎屋村农村污水处理项目</w:t>
      </w:r>
    </w:p>
    <w:p/>
    <w:p/>
    <w:p/>
    <w:p/>
    <w:p/>
    <w:p/>
    <w:p>
      <w:pPr>
        <w:adjustRightInd w:val="0"/>
        <w:snapToGrid w:val="0"/>
        <w:spacing w:line="240" w:lineRule="auto"/>
        <w:jc w:val="center"/>
        <w:rPr>
          <w:rFonts w:ascii="方正小标宋_GBK" w:hAnsi="黑体" w:eastAsia="方正小标宋_GBK"/>
          <w:color w:val="000000"/>
          <w:sz w:val="38"/>
          <w:szCs w:val="38"/>
        </w:rPr>
      </w:pPr>
      <w:bookmarkStart w:id="7" w:name="_Toc13552"/>
      <w:bookmarkStart w:id="8" w:name="_Toc10516"/>
      <w:bookmarkStart w:id="9" w:name="_Toc26351"/>
      <w:r>
        <w:rPr>
          <w:rFonts w:ascii="方正小标宋_GBK" w:hAnsi="黑体" w:eastAsia="方正小标宋_GBK"/>
          <w:color w:val="000000"/>
          <w:sz w:val="38"/>
          <w:szCs w:val="38"/>
        </w:rPr>
        <w:t>农村生活污水治理典型案例-</w:t>
      </w:r>
      <w:r>
        <w:rPr>
          <w:rFonts w:hint="eastAsia" w:ascii="方正小标宋_GBK" w:hAnsi="黑体" w:eastAsia="方正小标宋_GBK"/>
          <w:color w:val="000000"/>
          <w:sz w:val="38"/>
          <w:szCs w:val="38"/>
        </w:rPr>
        <w:t>玉林</w:t>
      </w:r>
      <w:r>
        <w:rPr>
          <w:rFonts w:ascii="方正小标宋_GBK" w:hAnsi="黑体" w:eastAsia="方正小标宋_GBK"/>
          <w:color w:val="000000"/>
          <w:sz w:val="38"/>
          <w:szCs w:val="38"/>
        </w:rPr>
        <w:t>市十丈村</w:t>
      </w:r>
    </w:p>
    <w:p>
      <w:pPr>
        <w:pStyle w:val="2"/>
      </w:pPr>
    </w:p>
    <w:bookmarkEnd w:id="7"/>
    <w:bookmarkEnd w:id="8"/>
    <w:bookmarkEnd w:id="9"/>
    <w:p>
      <w:pPr>
        <w:pStyle w:val="7"/>
        <w:ind w:left="0" w:leftChars="0" w:firstLine="600" w:firstLineChars="200"/>
        <w:rPr>
          <w:rFonts w:ascii="黑体" w:hAnsi="黑体" w:eastAsia="黑体" w:cs="黑体"/>
          <w:sz w:val="30"/>
          <w:szCs w:val="30"/>
        </w:rPr>
      </w:pPr>
      <w:r>
        <w:rPr>
          <w:rFonts w:ascii="黑体" w:hAnsi="黑体" w:eastAsia="黑体" w:cs="黑体"/>
          <w:sz w:val="30"/>
          <w:szCs w:val="30"/>
        </w:rPr>
        <w:t>一、项目概况</w:t>
      </w:r>
    </w:p>
    <w:p>
      <w:pPr>
        <w:adjustRightInd w:val="0"/>
        <w:snapToGrid w:val="0"/>
        <w:spacing w:line="600" w:lineRule="exact"/>
        <w:ind w:firstLine="560" w:firstLineChars="200"/>
        <w:jc w:val="both"/>
        <w:rPr>
          <w:bCs/>
          <w:szCs w:val="28"/>
        </w:rPr>
      </w:pPr>
      <w:r>
        <w:rPr>
          <w:bCs/>
          <w:szCs w:val="28"/>
        </w:rPr>
        <w:t>项目所在村庄十丈村十丈自然屯位于福绵区西南面、车陂江边上，距离福绵城区4公里，有450户，1700多人，土地1700亩，主要以种植水稻、水果为主，村中现有保存较好的连片传统生态民居70余座。</w:t>
      </w:r>
      <w:r>
        <w:rPr>
          <w:rFonts w:hint="eastAsia"/>
          <w:bCs/>
          <w:szCs w:val="28"/>
          <w:lang w:eastAsia="zh-CN"/>
        </w:rPr>
        <w:t>为</w:t>
      </w:r>
      <w:r>
        <w:rPr>
          <w:bCs/>
          <w:szCs w:val="28"/>
        </w:rPr>
        <w:t>2018年玉林市福绵区福绵镇十丈村农村环境综合整治项目，根据福绵区政府打造十丈村</w:t>
      </w:r>
      <w:r>
        <w:rPr>
          <w:rFonts w:hint="eastAsia"/>
          <w:bCs/>
          <w:szCs w:val="28"/>
          <w:lang w:eastAsia="zh-CN"/>
        </w:rPr>
        <w:t>“</w:t>
      </w:r>
      <w:r>
        <w:rPr>
          <w:bCs/>
          <w:szCs w:val="28"/>
        </w:rPr>
        <w:t>中国南方最美乡村</w:t>
      </w:r>
      <w:r>
        <w:rPr>
          <w:rFonts w:hint="eastAsia"/>
          <w:bCs/>
          <w:szCs w:val="28"/>
          <w:lang w:eastAsia="zh-CN"/>
        </w:rPr>
        <w:t>”</w:t>
      </w:r>
      <w:r>
        <w:rPr>
          <w:bCs/>
          <w:szCs w:val="28"/>
        </w:rPr>
        <w:t>品牌要求将十丈村生活污水处理与十丈村</w:t>
      </w:r>
      <w:r>
        <w:rPr>
          <w:rFonts w:hint="eastAsia"/>
          <w:bCs/>
          <w:szCs w:val="28"/>
          <w:lang w:eastAsia="zh-CN"/>
        </w:rPr>
        <w:t>“</w:t>
      </w:r>
      <w:r>
        <w:rPr>
          <w:bCs/>
          <w:szCs w:val="28"/>
        </w:rPr>
        <w:t>村容村貌</w:t>
      </w:r>
      <w:r>
        <w:rPr>
          <w:rFonts w:hint="eastAsia"/>
          <w:bCs/>
          <w:szCs w:val="28"/>
          <w:lang w:eastAsia="zh-CN"/>
        </w:rPr>
        <w:t>”</w:t>
      </w:r>
      <w:r>
        <w:rPr>
          <w:bCs/>
          <w:szCs w:val="28"/>
        </w:rPr>
        <w:t>改善结合起来，与十丈村</w:t>
      </w:r>
      <w:r>
        <w:rPr>
          <w:rFonts w:hint="eastAsia"/>
          <w:bCs/>
          <w:szCs w:val="28"/>
          <w:lang w:eastAsia="zh-CN"/>
        </w:rPr>
        <w:t>“</w:t>
      </w:r>
      <w:r>
        <w:rPr>
          <w:bCs/>
          <w:szCs w:val="28"/>
        </w:rPr>
        <w:t>乡村旅游经济振兴</w:t>
      </w:r>
      <w:r>
        <w:rPr>
          <w:rFonts w:hint="eastAsia"/>
          <w:bCs/>
          <w:szCs w:val="28"/>
          <w:lang w:eastAsia="zh-CN"/>
        </w:rPr>
        <w:t>”</w:t>
      </w:r>
      <w:r>
        <w:rPr>
          <w:bCs/>
          <w:szCs w:val="28"/>
        </w:rPr>
        <w:t>的发展规划结合起来。</w:t>
      </w:r>
    </w:p>
    <w:p>
      <w:pPr>
        <w:adjustRightInd w:val="0"/>
        <w:snapToGrid w:val="0"/>
        <w:spacing w:line="600" w:lineRule="exact"/>
        <w:ind w:firstLine="600" w:firstLineChars="200"/>
        <w:jc w:val="left"/>
      </w:pPr>
      <w:r>
        <w:rPr>
          <w:rFonts w:ascii="黑体" w:hAnsi="黑体" w:eastAsia="黑体" w:cs="黑体"/>
          <w:sz w:val="30"/>
          <w:szCs w:val="30"/>
        </w:rPr>
        <w:t>二、</w:t>
      </w:r>
      <w:r>
        <w:rPr>
          <w:rFonts w:hint="eastAsia" w:ascii="黑体" w:hAnsi="黑体" w:eastAsia="黑体" w:cs="黑体"/>
          <w:sz w:val="30"/>
          <w:szCs w:val="30"/>
        </w:rPr>
        <w:t>技术工艺</w:t>
      </w:r>
    </w:p>
    <w:p>
      <w:pPr>
        <w:adjustRightInd w:val="0"/>
        <w:snapToGrid w:val="0"/>
        <w:spacing w:line="600" w:lineRule="exact"/>
        <w:ind w:firstLine="560" w:firstLineChars="200"/>
        <w:jc w:val="left"/>
        <w:rPr>
          <w:bCs/>
          <w:szCs w:val="28"/>
        </w:rPr>
      </w:pPr>
      <w:r>
        <w:rPr>
          <w:bCs/>
          <w:szCs w:val="28"/>
        </w:rPr>
        <w:t>1.工艺</w:t>
      </w:r>
      <w:r>
        <w:rPr>
          <w:rFonts w:hint="eastAsia"/>
          <w:bCs/>
          <w:szCs w:val="28"/>
        </w:rPr>
        <w:t>原理</w:t>
      </w:r>
    </w:p>
    <w:p>
      <w:pPr>
        <w:adjustRightInd w:val="0"/>
        <w:snapToGrid w:val="0"/>
        <w:spacing w:line="600" w:lineRule="exact"/>
        <w:ind w:firstLine="560" w:firstLineChars="200"/>
        <w:jc w:val="left"/>
        <w:rPr>
          <w:bCs/>
          <w:szCs w:val="28"/>
        </w:rPr>
      </w:pPr>
      <w:r>
        <w:rPr>
          <w:bCs/>
          <w:szCs w:val="28"/>
        </w:rPr>
        <w:t>根据黑、白、灰分流处理理念（白水指雨水、地表水、村道水沟、山泉水、水塘等；灰水指洗漱、洗衣、厨房污水等生活用水排水；黑水指人排泄物即厕所冲水和畜禽粪便水），通过</w:t>
      </w:r>
      <w:r>
        <w:rPr>
          <w:rFonts w:hint="eastAsia"/>
          <w:bCs/>
          <w:szCs w:val="28"/>
          <w:lang w:eastAsia="zh-CN"/>
        </w:rPr>
        <w:t>“</w:t>
      </w:r>
      <w:r>
        <w:rPr>
          <w:bCs/>
          <w:szCs w:val="28"/>
        </w:rPr>
        <w:t>黑白灰分流+庭院小湿地+氧化塘</w:t>
      </w:r>
      <w:r>
        <w:rPr>
          <w:rFonts w:hint="eastAsia"/>
          <w:bCs/>
          <w:szCs w:val="28"/>
          <w:lang w:eastAsia="zh-CN"/>
        </w:rPr>
        <w:t>”</w:t>
      </w:r>
      <w:r>
        <w:rPr>
          <w:bCs/>
          <w:szCs w:val="28"/>
        </w:rPr>
        <w:t>的处理模式，因地制宜把每家每户的生活污水按照灰水和黑水分流开来，黑水排进各家的化粪池发酵后储存于收集池用于农作物施肥，灰水流经沉砂井和过滤池后排进人工湿地降解有机物质，白水排入池塘。</w:t>
      </w:r>
    </w:p>
    <w:p>
      <w:pPr>
        <w:adjustRightInd w:val="0"/>
        <w:snapToGrid w:val="0"/>
        <w:spacing w:line="600" w:lineRule="exact"/>
        <w:ind w:firstLine="560" w:firstLineChars="200"/>
        <w:jc w:val="both"/>
        <w:rPr>
          <w:bCs/>
          <w:szCs w:val="28"/>
        </w:rPr>
      </w:pPr>
      <w:r>
        <w:rPr>
          <w:bCs/>
          <w:szCs w:val="28"/>
        </w:rPr>
        <w:t>该项目设计采用</w:t>
      </w:r>
      <w:r>
        <w:rPr>
          <w:rFonts w:hint="eastAsia"/>
          <w:bCs/>
          <w:szCs w:val="28"/>
          <w:lang w:eastAsia="zh-CN"/>
        </w:rPr>
        <w:t>“</w:t>
      </w:r>
      <w:r>
        <w:rPr>
          <w:bCs/>
          <w:szCs w:val="28"/>
        </w:rPr>
        <w:t>黑白灰分流+庭院小湿地+氧化塘</w:t>
      </w:r>
      <w:r>
        <w:rPr>
          <w:rFonts w:hint="eastAsia"/>
          <w:bCs/>
          <w:szCs w:val="28"/>
          <w:lang w:eastAsia="zh-CN"/>
        </w:rPr>
        <w:t>”</w:t>
      </w:r>
      <w:r>
        <w:rPr>
          <w:bCs/>
          <w:szCs w:val="28"/>
        </w:rPr>
        <w:t>组合工艺技术，目前规模为处理20-30户的粪水、洗漱、洗衣、厨房污水等生活用水排水和雨水等地表水。出水可满足《农田灌溉水质标准》（GB5084-2005）的旱地标准。</w:t>
      </w:r>
    </w:p>
    <w:p>
      <w:pPr>
        <w:spacing w:line="520" w:lineRule="exact"/>
        <w:rPr>
          <w:rFonts w:ascii="仿宋_GB2312" w:eastAsia="仿宋_GB2312"/>
          <w:sz w:val="32"/>
          <w:szCs w:val="32"/>
        </w:rPr>
      </w:pPr>
      <w:r>
        <w:rPr>
          <w:sz w:val="32"/>
        </w:rPr>
        <mc:AlternateContent>
          <mc:Choice Requires="wpg">
            <w:drawing>
              <wp:anchor distT="0" distB="0" distL="114300" distR="114300" simplePos="0" relativeHeight="251655168" behindDoc="0" locked="0" layoutInCell="1" allowOverlap="1">
                <wp:simplePos x="0" y="0"/>
                <wp:positionH relativeFrom="column">
                  <wp:posOffset>-854710</wp:posOffset>
                </wp:positionH>
                <wp:positionV relativeFrom="paragraph">
                  <wp:posOffset>241935</wp:posOffset>
                </wp:positionV>
                <wp:extent cx="6941820" cy="2836545"/>
                <wp:effectExtent l="4445" t="4445" r="6985" b="16510"/>
                <wp:wrapNone/>
                <wp:docPr id="72" name="组合 72"/>
                <wp:cNvGraphicFramePr/>
                <a:graphic xmlns:a="http://schemas.openxmlformats.org/drawingml/2006/main">
                  <a:graphicData uri="http://schemas.microsoft.com/office/word/2010/wordprocessingGroup">
                    <wpg:wgp>
                      <wpg:cNvGrpSpPr/>
                      <wpg:grpSpPr>
                        <a:xfrm>
                          <a:off x="0" y="0"/>
                          <a:ext cx="6941820" cy="2836821"/>
                          <a:chOff x="4552" y="6041"/>
                          <a:chExt cx="12290" cy="3188"/>
                        </a:xfrm>
                        <a:effectLst/>
                      </wpg:grpSpPr>
                      <wps:wsp>
                        <wps:cNvPr id="6" name="文本框 37"/>
                        <wps:cNvSpPr txBox="1"/>
                        <wps:spPr>
                          <a:xfrm>
                            <a:off x="4552" y="6948"/>
                            <a:ext cx="761"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村庄</w:t>
                              </w:r>
                            </w:p>
                          </w:txbxContent>
                        </wps:txbx>
                        <wps:bodyPr upright="1"/>
                      </wps:wsp>
                      <wps:wsp>
                        <wps:cNvPr id="7" name="文本框 38"/>
                        <wps:cNvSpPr txBox="1"/>
                        <wps:spPr>
                          <a:xfrm>
                            <a:off x="6058" y="6925"/>
                            <a:ext cx="1071" cy="4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灰水</w:t>
                              </w:r>
                            </w:p>
                          </w:txbxContent>
                        </wps:txbx>
                        <wps:bodyPr upright="1"/>
                      </wps:wsp>
                      <wps:wsp>
                        <wps:cNvPr id="39" name="文本框 39"/>
                        <wps:cNvSpPr txBox="1"/>
                        <wps:spPr>
                          <a:xfrm>
                            <a:off x="5924" y="7895"/>
                            <a:ext cx="996" cy="4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黑水</w:t>
                              </w:r>
                            </w:p>
                          </w:txbxContent>
                        </wps:txbx>
                        <wps:bodyPr upright="1"/>
                      </wps:wsp>
                      <wps:wsp>
                        <wps:cNvPr id="40" name="文本框 40"/>
                        <wps:cNvSpPr txBox="1"/>
                        <wps:spPr>
                          <a:xfrm>
                            <a:off x="6139" y="6081"/>
                            <a:ext cx="1035" cy="4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白水</w:t>
                              </w:r>
                            </w:p>
                          </w:txbxContent>
                        </wps:txbx>
                        <wps:bodyPr upright="1"/>
                      </wps:wsp>
                      <wps:wsp>
                        <wps:cNvPr id="41" name="文本框 41"/>
                        <wps:cNvSpPr txBox="1"/>
                        <wps:spPr>
                          <a:xfrm>
                            <a:off x="7873" y="6067"/>
                            <a:ext cx="1974"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明渠排水沟</w:t>
                              </w:r>
                            </w:p>
                          </w:txbxContent>
                        </wps:txbx>
                        <wps:bodyPr upright="1"/>
                      </wps:wsp>
                      <wps:wsp>
                        <wps:cNvPr id="42" name="文本框 42"/>
                        <wps:cNvSpPr txBox="1"/>
                        <wps:spPr>
                          <a:xfrm>
                            <a:off x="10791" y="6041"/>
                            <a:ext cx="3218" cy="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池塘、出村排水渠</w:t>
                              </w:r>
                            </w:p>
                          </w:txbxContent>
                        </wps:txbx>
                        <wps:bodyPr upright="1"/>
                      </wps:wsp>
                      <wps:wsp>
                        <wps:cNvPr id="43" name="文本框 43"/>
                        <wps:cNvSpPr txBox="1"/>
                        <wps:spPr>
                          <a:xfrm>
                            <a:off x="7885" y="6921"/>
                            <a:ext cx="1293" cy="4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暗渠管道</w:t>
                              </w:r>
                            </w:p>
                          </w:txbxContent>
                        </wps:txbx>
                        <wps:bodyPr upright="1"/>
                      </wps:wsp>
                      <wps:wsp>
                        <wps:cNvPr id="44" name="文本框 44"/>
                        <wps:cNvSpPr txBox="1"/>
                        <wps:spPr>
                          <a:xfrm>
                            <a:off x="9672" y="6947"/>
                            <a:ext cx="999" cy="4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沉砂井</w:t>
                              </w:r>
                            </w:p>
                          </w:txbxContent>
                        </wps:txbx>
                        <wps:bodyPr upright="1"/>
                      </wps:wsp>
                      <wps:wsp>
                        <wps:cNvPr id="45" name="文本框 45"/>
                        <wps:cNvSpPr txBox="1"/>
                        <wps:spPr>
                          <a:xfrm>
                            <a:off x="11229" y="6933"/>
                            <a:ext cx="1319" cy="4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过滤池</w:t>
                              </w:r>
                            </w:p>
                          </w:txbxContent>
                        </wps:txbx>
                        <wps:bodyPr upright="1"/>
                      </wps:wsp>
                      <wps:wsp>
                        <wps:cNvPr id="46" name="文本框 46"/>
                        <wps:cNvSpPr txBox="1"/>
                        <wps:spPr>
                          <a:xfrm>
                            <a:off x="14480" y="6979"/>
                            <a:ext cx="1542" cy="45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氧化塘</w:t>
                              </w:r>
                            </w:p>
                          </w:txbxContent>
                        </wps:txbx>
                        <wps:bodyPr upright="1"/>
                      </wps:wsp>
                      <wps:wsp>
                        <wps:cNvPr id="47" name="文本框 47"/>
                        <wps:cNvSpPr txBox="1"/>
                        <wps:spPr>
                          <a:xfrm>
                            <a:off x="7926" y="7761"/>
                            <a:ext cx="1346" cy="4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化粪池</w:t>
                              </w:r>
                            </w:p>
                          </w:txbxContent>
                        </wps:txbx>
                        <wps:bodyPr upright="1"/>
                      </wps:wsp>
                      <wps:wsp>
                        <wps:cNvPr id="48" name="文本框 48"/>
                        <wps:cNvSpPr txBox="1"/>
                        <wps:spPr>
                          <a:xfrm>
                            <a:off x="7939" y="8734"/>
                            <a:ext cx="1733" cy="4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畜禽粪污储肥池</w:t>
                              </w:r>
                            </w:p>
                          </w:txbxContent>
                        </wps:txbx>
                        <wps:bodyPr upright="1"/>
                      </wps:wsp>
                      <wps:wsp>
                        <wps:cNvPr id="49" name="文本框 49"/>
                        <wps:cNvSpPr txBox="1"/>
                        <wps:spPr>
                          <a:xfrm>
                            <a:off x="9698" y="7775"/>
                            <a:ext cx="1919" cy="4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粪水收集池</w:t>
                              </w:r>
                            </w:p>
                          </w:txbxContent>
                        </wps:txbx>
                        <wps:bodyPr upright="1"/>
                      </wps:wsp>
                      <wps:wsp>
                        <wps:cNvPr id="50" name="文本框 50"/>
                        <wps:cNvSpPr txBox="1"/>
                        <wps:spPr>
                          <a:xfrm>
                            <a:off x="12156" y="7788"/>
                            <a:ext cx="4604" cy="4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（发酵）作为有机肥浇灌农作物</w:t>
                              </w:r>
                            </w:p>
                          </w:txbxContent>
                        </wps:txbx>
                        <wps:bodyPr upright="1"/>
                      </wps:wsp>
                      <wps:wsp>
                        <wps:cNvPr id="51" name="文本框 51"/>
                        <wps:cNvSpPr txBox="1"/>
                        <wps:spPr>
                          <a:xfrm>
                            <a:off x="10033" y="8748"/>
                            <a:ext cx="2749" cy="45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村外粪水收集池</w:t>
                              </w:r>
                            </w:p>
                          </w:txbxContent>
                        </wps:txbx>
                        <wps:bodyPr upright="1"/>
                      </wps:wsp>
                      <wps:wsp>
                        <wps:cNvPr id="52" name="文本框 52"/>
                        <wps:cNvSpPr txBox="1"/>
                        <wps:spPr>
                          <a:xfrm>
                            <a:off x="13202" y="8748"/>
                            <a:ext cx="3640" cy="4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作为有机肥浇灌农作物</w:t>
                              </w:r>
                            </w:p>
                          </w:txbxContent>
                        </wps:txbx>
                        <wps:bodyPr upright="1"/>
                      </wps:wsp>
                      <wps:wsp>
                        <wps:cNvPr id="53" name="直接连接符 53"/>
                        <wps:cNvCnPr/>
                        <wps:spPr>
                          <a:xfrm flipV="1">
                            <a:off x="5339" y="6280"/>
                            <a:ext cx="787" cy="933"/>
                          </a:xfrm>
                          <a:prstGeom prst="line">
                            <a:avLst/>
                          </a:prstGeom>
                          <a:ln w="9525" cap="flat" cmpd="sng">
                            <a:solidFill>
                              <a:srgbClr val="000000"/>
                            </a:solidFill>
                            <a:prstDash val="solid"/>
                            <a:headEnd type="none" w="med" len="med"/>
                            <a:tailEnd type="arrow" w="med" len="med"/>
                          </a:ln>
                          <a:effectLst/>
                        </wps:spPr>
                        <wps:bodyPr/>
                      </wps:wsp>
                      <wps:wsp>
                        <wps:cNvPr id="54" name="直接连接符 54"/>
                        <wps:cNvCnPr/>
                        <wps:spPr>
                          <a:xfrm flipV="1">
                            <a:off x="5326" y="7173"/>
                            <a:ext cx="720" cy="67"/>
                          </a:xfrm>
                          <a:prstGeom prst="line">
                            <a:avLst/>
                          </a:prstGeom>
                          <a:ln w="9525" cap="flat" cmpd="sng">
                            <a:solidFill>
                              <a:srgbClr val="000000"/>
                            </a:solidFill>
                            <a:prstDash val="solid"/>
                            <a:headEnd type="none" w="med" len="med"/>
                            <a:tailEnd type="arrow" w="med" len="med"/>
                          </a:ln>
                          <a:effectLst/>
                        </wps:spPr>
                        <wps:bodyPr/>
                      </wps:wsp>
                      <wps:wsp>
                        <wps:cNvPr id="55" name="直接连接符 55"/>
                        <wps:cNvCnPr/>
                        <wps:spPr>
                          <a:xfrm>
                            <a:off x="5306" y="7191"/>
                            <a:ext cx="664" cy="719"/>
                          </a:xfrm>
                          <a:prstGeom prst="line">
                            <a:avLst/>
                          </a:prstGeom>
                          <a:ln w="9525" cap="flat" cmpd="sng">
                            <a:solidFill>
                              <a:srgbClr val="000000"/>
                            </a:solidFill>
                            <a:prstDash val="solid"/>
                            <a:headEnd type="none" w="med" len="med"/>
                            <a:tailEnd type="arrow" w="med" len="med"/>
                          </a:ln>
                          <a:effectLst/>
                        </wps:spPr>
                        <wps:bodyPr/>
                      </wps:wsp>
                      <wps:wsp>
                        <wps:cNvPr id="56" name="直接连接符 56"/>
                        <wps:cNvCnPr/>
                        <wps:spPr>
                          <a:xfrm flipV="1">
                            <a:off x="7179" y="6284"/>
                            <a:ext cx="672" cy="14"/>
                          </a:xfrm>
                          <a:prstGeom prst="line">
                            <a:avLst/>
                          </a:prstGeom>
                          <a:ln w="9525" cap="flat" cmpd="sng">
                            <a:solidFill>
                              <a:srgbClr val="000000"/>
                            </a:solidFill>
                            <a:prstDash val="solid"/>
                            <a:headEnd type="none" w="med" len="med"/>
                            <a:tailEnd type="arrow" w="med" len="med"/>
                          </a:ln>
                          <a:effectLst/>
                        </wps:spPr>
                        <wps:bodyPr/>
                      </wps:wsp>
                      <wps:wsp>
                        <wps:cNvPr id="57" name="直接连接符 57"/>
                        <wps:cNvCnPr/>
                        <wps:spPr>
                          <a:xfrm>
                            <a:off x="9847" y="6287"/>
                            <a:ext cx="933" cy="14"/>
                          </a:xfrm>
                          <a:prstGeom prst="line">
                            <a:avLst/>
                          </a:prstGeom>
                          <a:ln w="9525" cap="flat" cmpd="sng">
                            <a:solidFill>
                              <a:srgbClr val="000000"/>
                            </a:solidFill>
                            <a:prstDash val="solid"/>
                            <a:headEnd type="none" w="med" len="med"/>
                            <a:tailEnd type="arrow" w="med" len="med"/>
                          </a:ln>
                          <a:effectLst/>
                        </wps:spPr>
                        <wps:bodyPr/>
                      </wps:wsp>
                      <wps:wsp>
                        <wps:cNvPr id="58" name="直接连接符 58"/>
                        <wps:cNvCnPr>
                          <a:stCxn id="7" idx="3"/>
                        </wps:cNvCnPr>
                        <wps:spPr>
                          <a:xfrm>
                            <a:off x="7130" y="7139"/>
                            <a:ext cx="743" cy="21"/>
                          </a:xfrm>
                          <a:prstGeom prst="line">
                            <a:avLst/>
                          </a:prstGeom>
                          <a:ln w="9525" cap="flat" cmpd="sng">
                            <a:solidFill>
                              <a:srgbClr val="000000"/>
                            </a:solidFill>
                            <a:prstDash val="solid"/>
                            <a:headEnd type="none" w="med" len="med"/>
                            <a:tailEnd type="arrow" w="med" len="med"/>
                          </a:ln>
                          <a:effectLst/>
                        </wps:spPr>
                        <wps:bodyPr/>
                      </wps:wsp>
                      <wps:wsp>
                        <wps:cNvPr id="59" name="直接连接符 59"/>
                        <wps:cNvCnPr/>
                        <wps:spPr>
                          <a:xfrm>
                            <a:off x="6926" y="8080"/>
                            <a:ext cx="987" cy="1"/>
                          </a:xfrm>
                          <a:prstGeom prst="line">
                            <a:avLst/>
                          </a:prstGeom>
                          <a:ln w="9525" cap="flat" cmpd="sng">
                            <a:solidFill>
                              <a:srgbClr val="000000"/>
                            </a:solidFill>
                            <a:prstDash val="solid"/>
                            <a:headEnd type="none" w="med" len="med"/>
                            <a:tailEnd type="arrow" w="med" len="med"/>
                          </a:ln>
                          <a:effectLst/>
                        </wps:spPr>
                        <wps:bodyPr/>
                      </wps:wsp>
                      <wps:wsp>
                        <wps:cNvPr id="60" name="直接连接符 60"/>
                        <wps:cNvCnPr/>
                        <wps:spPr>
                          <a:xfrm>
                            <a:off x="6926" y="8066"/>
                            <a:ext cx="1013" cy="907"/>
                          </a:xfrm>
                          <a:prstGeom prst="line">
                            <a:avLst/>
                          </a:prstGeom>
                          <a:ln w="9525" cap="flat" cmpd="sng">
                            <a:solidFill>
                              <a:srgbClr val="000000"/>
                            </a:solidFill>
                            <a:prstDash val="solid"/>
                            <a:headEnd type="none" w="med" len="med"/>
                            <a:tailEnd type="arrow" w="med" len="med"/>
                          </a:ln>
                          <a:effectLst/>
                        </wps:spPr>
                        <wps:bodyPr/>
                      </wps:wsp>
                      <wps:wsp>
                        <wps:cNvPr id="61" name="直接连接符 61"/>
                        <wps:cNvCnPr/>
                        <wps:spPr>
                          <a:xfrm>
                            <a:off x="9299" y="8026"/>
                            <a:ext cx="440" cy="1"/>
                          </a:xfrm>
                          <a:prstGeom prst="line">
                            <a:avLst/>
                          </a:prstGeom>
                          <a:ln w="9525" cap="flat" cmpd="sng">
                            <a:solidFill>
                              <a:srgbClr val="000000"/>
                            </a:solidFill>
                            <a:prstDash val="solid"/>
                            <a:headEnd type="none" w="med" len="med"/>
                            <a:tailEnd type="arrow" w="med" len="med"/>
                          </a:ln>
                          <a:effectLst/>
                        </wps:spPr>
                        <wps:bodyPr/>
                      </wps:wsp>
                      <wps:wsp>
                        <wps:cNvPr id="62" name="直接连接符 62"/>
                        <wps:cNvCnPr/>
                        <wps:spPr>
                          <a:xfrm>
                            <a:off x="11644" y="8057"/>
                            <a:ext cx="521" cy="0"/>
                          </a:xfrm>
                          <a:prstGeom prst="line">
                            <a:avLst/>
                          </a:prstGeom>
                          <a:ln w="9525" cap="flat" cmpd="sng">
                            <a:solidFill>
                              <a:srgbClr val="000000"/>
                            </a:solidFill>
                            <a:prstDash val="solid"/>
                            <a:headEnd type="none" w="med" len="med"/>
                            <a:tailEnd type="arrow" w="med" len="med"/>
                          </a:ln>
                          <a:effectLst/>
                        </wps:spPr>
                        <wps:bodyPr/>
                      </wps:wsp>
                      <wps:wsp>
                        <wps:cNvPr id="63" name="直接连接符 63"/>
                        <wps:cNvCnPr>
                          <a:endCxn id="51" idx="1"/>
                        </wps:cNvCnPr>
                        <wps:spPr>
                          <a:xfrm flipV="1">
                            <a:off x="9648" y="8976"/>
                            <a:ext cx="385" cy="29"/>
                          </a:xfrm>
                          <a:prstGeom prst="line">
                            <a:avLst/>
                          </a:prstGeom>
                          <a:ln w="9525" cap="flat" cmpd="sng">
                            <a:solidFill>
                              <a:srgbClr val="000000"/>
                            </a:solidFill>
                            <a:prstDash val="solid"/>
                            <a:headEnd type="none" w="med" len="med"/>
                            <a:tailEnd type="arrow" w="med" len="med"/>
                          </a:ln>
                          <a:effectLst/>
                        </wps:spPr>
                        <wps:bodyPr/>
                      </wps:wsp>
                      <wps:wsp>
                        <wps:cNvPr id="64" name="直接连接符 64"/>
                        <wps:cNvCnPr/>
                        <wps:spPr>
                          <a:xfrm flipV="1">
                            <a:off x="12832" y="9000"/>
                            <a:ext cx="420" cy="11"/>
                          </a:xfrm>
                          <a:prstGeom prst="line">
                            <a:avLst/>
                          </a:prstGeom>
                          <a:ln w="9525" cap="flat" cmpd="sng">
                            <a:solidFill>
                              <a:srgbClr val="000000"/>
                            </a:solidFill>
                            <a:prstDash val="solid"/>
                            <a:headEnd type="none" w="med" len="med"/>
                            <a:tailEnd type="arrow" w="med" len="med"/>
                          </a:ln>
                          <a:effectLst/>
                        </wps:spPr>
                        <wps:bodyPr/>
                      </wps:wsp>
                      <wps:wsp>
                        <wps:cNvPr id="65" name="文本框 65"/>
                        <wps:cNvSpPr txBox="1"/>
                        <wps:spPr>
                          <a:xfrm>
                            <a:off x="7085" y="7621"/>
                            <a:ext cx="753" cy="371"/>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eastAsia="宋体"/>
                                </w:rPr>
                              </w:pPr>
                              <w:r>
                                <w:rPr>
                                  <w:rFonts w:hint="eastAsia"/>
                                  <w:sz w:val="18"/>
                                  <w:szCs w:val="18"/>
                                </w:rPr>
                                <w:t>人粪便</w:t>
                              </w:r>
                            </w:p>
                          </w:txbxContent>
                        </wps:txbx>
                        <wps:bodyPr upright="1"/>
                      </wps:wsp>
                      <wps:wsp>
                        <wps:cNvPr id="66" name="文本框 66"/>
                        <wps:cNvSpPr txBox="1"/>
                        <wps:spPr>
                          <a:xfrm rot="1320000">
                            <a:off x="7518" y="8237"/>
                            <a:ext cx="1024" cy="424"/>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eastAsia="宋体"/>
                                </w:rPr>
                              </w:pPr>
                              <w:r>
                                <w:rPr>
                                  <w:rFonts w:hint="eastAsia"/>
                                  <w:sz w:val="18"/>
                                  <w:szCs w:val="18"/>
                                </w:rPr>
                                <w:t>畜禽粪便</w:t>
                              </w:r>
                            </w:p>
                          </w:txbxContent>
                        </wps:txbx>
                        <wps:bodyPr upright="1"/>
                      </wps:wsp>
                      <wps:wsp>
                        <wps:cNvPr id="8" name="文本框 67"/>
                        <wps:cNvSpPr txBox="1"/>
                        <wps:spPr>
                          <a:xfrm>
                            <a:off x="12990" y="6959"/>
                            <a:ext cx="1115" cy="5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湿地</w:t>
                              </w:r>
                            </w:p>
                          </w:txbxContent>
                        </wps:txbx>
                        <wps:bodyPr upright="1"/>
                      </wps:wsp>
                      <wps:wsp>
                        <wps:cNvPr id="68" name="直接连接符 68"/>
                        <wps:cNvCnPr/>
                        <wps:spPr>
                          <a:xfrm>
                            <a:off x="9166" y="7146"/>
                            <a:ext cx="507" cy="1"/>
                          </a:xfrm>
                          <a:prstGeom prst="line">
                            <a:avLst/>
                          </a:prstGeom>
                          <a:ln w="9525" cap="flat" cmpd="sng">
                            <a:solidFill>
                              <a:srgbClr val="000000"/>
                            </a:solidFill>
                            <a:prstDash val="solid"/>
                            <a:headEnd type="none" w="med" len="med"/>
                            <a:tailEnd type="arrow" w="med" len="med"/>
                          </a:ln>
                          <a:effectLst/>
                        </wps:spPr>
                        <wps:bodyPr/>
                      </wps:wsp>
                      <wps:wsp>
                        <wps:cNvPr id="69" name="直接连接符 69"/>
                        <wps:cNvCnPr/>
                        <wps:spPr>
                          <a:xfrm>
                            <a:off x="10713" y="7146"/>
                            <a:ext cx="453" cy="1"/>
                          </a:xfrm>
                          <a:prstGeom prst="line">
                            <a:avLst/>
                          </a:prstGeom>
                          <a:ln w="9525" cap="flat" cmpd="sng">
                            <a:solidFill>
                              <a:srgbClr val="000000"/>
                            </a:solidFill>
                            <a:prstDash val="solid"/>
                            <a:headEnd type="none" w="med" len="med"/>
                            <a:tailEnd type="arrow" w="med" len="med"/>
                          </a:ln>
                          <a:effectLst/>
                        </wps:spPr>
                        <wps:bodyPr/>
                      </wps:wsp>
                      <wps:wsp>
                        <wps:cNvPr id="70" name="直接连接符 70"/>
                        <wps:cNvCnPr/>
                        <wps:spPr>
                          <a:xfrm>
                            <a:off x="12512" y="7212"/>
                            <a:ext cx="493" cy="1"/>
                          </a:xfrm>
                          <a:prstGeom prst="line">
                            <a:avLst/>
                          </a:prstGeom>
                          <a:ln w="9525" cap="flat" cmpd="sng">
                            <a:solidFill>
                              <a:srgbClr val="000000"/>
                            </a:solidFill>
                            <a:prstDash val="solid"/>
                            <a:headEnd type="none" w="med" len="med"/>
                            <a:tailEnd type="arrow" w="med" len="med"/>
                          </a:ln>
                          <a:effectLst/>
                        </wps:spPr>
                        <wps:bodyPr/>
                      </wps:wsp>
                      <wps:wsp>
                        <wps:cNvPr id="71" name="直接连接符 71"/>
                        <wps:cNvCnPr>
                          <a:stCxn id="8" idx="3"/>
                          <a:endCxn id="46" idx="1"/>
                        </wps:cNvCnPr>
                        <wps:spPr>
                          <a:xfrm flipV="1">
                            <a:off x="14106" y="7206"/>
                            <a:ext cx="374" cy="6"/>
                          </a:xfrm>
                          <a:prstGeom prst="line">
                            <a:avLst/>
                          </a:prstGeom>
                          <a:ln w="9525" cap="flat" cmpd="sng">
                            <a:solidFill>
                              <a:srgbClr val="000000"/>
                            </a:solidFill>
                            <a:prstDash val="solid"/>
                            <a:headEnd type="none" w="med" len="med"/>
                            <a:tailEnd type="arrow" w="med" len="med"/>
                          </a:ln>
                          <a:effectLst/>
                        </wps:spPr>
                        <wps:bodyPr/>
                      </wps:wsp>
                    </wpg:wgp>
                  </a:graphicData>
                </a:graphic>
              </wp:anchor>
            </w:drawing>
          </mc:Choice>
          <mc:Fallback>
            <w:pict>
              <v:group id="_x0000_s1026" o:spid="_x0000_s1026" o:spt="203" style="position:absolute;left:0pt;margin-left:-67.3pt;margin-top:19.05pt;height:223.35pt;width:546.6pt;z-index:251655168;mso-width-relative:page;mso-height-relative:page;" coordorigin="4552,6041" coordsize="12290,3188" o:gfxdata="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">
                <o:lock v:ext="edit" aspectratio="f"/>
                <v:shape id="文本框 37" o:spid="_x0000_s1026" o:spt="202" type="#_x0000_t202" style="position:absolute;left:4552;top:6948;height:468;width:761;"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eastAsia="宋体"/>
                          </w:rPr>
                        </w:pPr>
                        <w:r>
                          <w:rPr>
                            <w:rFonts w:hint="eastAsia"/>
                          </w:rPr>
                          <w:t>村庄</w:t>
                        </w:r>
                      </w:p>
                    </w:txbxContent>
                  </v:textbox>
                </v:shape>
                <v:shape id="文本框 38" o:spid="_x0000_s1026" o:spt="202" type="#_x0000_t202" style="position:absolute;left:6058;top:6925;height:428;width:1071;"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eastAsia="宋体"/>
                          </w:rPr>
                        </w:pPr>
                        <w:r>
                          <w:rPr>
                            <w:rFonts w:hint="eastAsia"/>
                          </w:rPr>
                          <w:t>灰水</w:t>
                        </w:r>
                      </w:p>
                    </w:txbxContent>
                  </v:textbox>
                </v:shape>
                <v:shape id="_x0000_s1026" o:spid="_x0000_s1026" o:spt="202" type="#_x0000_t202" style="position:absolute;left:5924;top:7895;height:441;width:996;"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rPr>
                        </w:pPr>
                        <w:r>
                          <w:rPr>
                            <w:rFonts w:hint="eastAsia"/>
                          </w:rPr>
                          <w:t>黑水</w:t>
                        </w:r>
                      </w:p>
                    </w:txbxContent>
                  </v:textbox>
                </v:shape>
                <v:shape id="_x0000_s1026" o:spid="_x0000_s1026" o:spt="202" type="#_x0000_t202" style="position:absolute;left:6139;top:6081;height:428;width:1035;"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eastAsia="宋体"/>
                          </w:rPr>
                        </w:pPr>
                        <w:r>
                          <w:rPr>
                            <w:rFonts w:hint="eastAsia"/>
                          </w:rPr>
                          <w:t>白水</w:t>
                        </w:r>
                      </w:p>
                    </w:txbxContent>
                  </v:textbox>
                </v:shape>
                <v:shape id="_x0000_s1026" o:spid="_x0000_s1026" o:spt="202" type="#_x0000_t202" style="position:absolute;left:7873;top:6067;height:467;width:1974;"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eastAsia="宋体"/>
                          </w:rPr>
                        </w:pPr>
                        <w:r>
                          <w:rPr>
                            <w:rFonts w:hint="eastAsia"/>
                          </w:rPr>
                          <w:t>明渠排水沟</w:t>
                        </w:r>
                      </w:p>
                    </w:txbxContent>
                  </v:textbox>
                </v:shape>
                <v:shape id="_x0000_s1026" o:spid="_x0000_s1026" o:spt="202" type="#_x0000_t202" style="position:absolute;left:10791;top:6041;height:440;width:3218;"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eastAsia="宋体"/>
                          </w:rPr>
                        </w:pPr>
                        <w:r>
                          <w:rPr>
                            <w:rFonts w:hint="eastAsia"/>
                          </w:rPr>
                          <w:t>池塘、出村排水渠</w:t>
                        </w:r>
                      </w:p>
                    </w:txbxContent>
                  </v:textbox>
                </v:shape>
                <v:shape id="_x0000_s1026" o:spid="_x0000_s1026" o:spt="202" type="#_x0000_t202" style="position:absolute;left:7885;top:6921;height:428;width:1293;"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eastAsia="宋体"/>
                          </w:rPr>
                        </w:pPr>
                        <w:r>
                          <w:rPr>
                            <w:rFonts w:hint="eastAsia"/>
                          </w:rPr>
                          <w:t>暗渠管道</w:t>
                        </w:r>
                      </w:p>
                    </w:txbxContent>
                  </v:textbox>
                </v:shape>
                <v:shape id="_x0000_s1026" o:spid="_x0000_s1026" o:spt="202" type="#_x0000_t202" style="position:absolute;left:9672;top:6947;height:427;width:999;"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rPr>
                        </w:pPr>
                        <w:r>
                          <w:rPr>
                            <w:rFonts w:hint="eastAsia"/>
                          </w:rPr>
                          <w:t>沉砂井</w:t>
                        </w:r>
                      </w:p>
                    </w:txbxContent>
                  </v:textbox>
                </v:shape>
                <v:shape id="_x0000_s1026" o:spid="_x0000_s1026" o:spt="202" type="#_x0000_t202" style="position:absolute;left:11229;top:6933;height:441;width:1319;" fillcolor="#FFFFFF" filled="t" stroked="t" coordsize="21600,21600" o:gfxdata="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TX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rPr>
                        </w:pPr>
                        <w:r>
                          <w:rPr>
                            <w:rFonts w:hint="eastAsia"/>
                          </w:rPr>
                          <w:t>过滤池</w:t>
                        </w:r>
                      </w:p>
                    </w:txbxContent>
                  </v:textbox>
                </v:shape>
                <v:shape id="_x0000_s1026" o:spid="_x0000_s1026" o:spt="202" type="#_x0000_t202" style="position:absolute;left:14480;top:6979;height:453;width:1542;"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rPr>
                        </w:pPr>
                        <w:r>
                          <w:rPr>
                            <w:rFonts w:hint="eastAsia"/>
                          </w:rPr>
                          <w:t>氧化塘</w:t>
                        </w:r>
                      </w:p>
                    </w:txbxContent>
                  </v:textbox>
                </v:shape>
                <v:shape id="_x0000_s1026" o:spid="_x0000_s1026" o:spt="202" type="#_x0000_t202" style="position:absolute;left:7926;top:7761;height:481;width:1346;" fillcolor="#FFFFFF" filled="t" stroked="t" coordsize="21600,21600" o:gfxdata="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5os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rPr>
                        </w:pPr>
                        <w:r>
                          <w:rPr>
                            <w:rFonts w:hint="eastAsia"/>
                          </w:rPr>
                          <w:t>化粪池</w:t>
                        </w:r>
                      </w:p>
                    </w:txbxContent>
                  </v:textbox>
                </v:shape>
                <v:shape id="_x0000_s1026" o:spid="_x0000_s1026" o:spt="202" type="#_x0000_t202" style="position:absolute;left:7939;top:8734;height:481;width:1733;"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eastAsia="宋体"/>
                          </w:rPr>
                        </w:pPr>
                        <w:r>
                          <w:rPr>
                            <w:rFonts w:hint="eastAsia"/>
                          </w:rPr>
                          <w:t>畜禽粪污储肥池</w:t>
                        </w:r>
                      </w:p>
                    </w:txbxContent>
                  </v:textbox>
                </v:shape>
                <v:shape id="_x0000_s1026" o:spid="_x0000_s1026" o:spt="202" type="#_x0000_t202" style="position:absolute;left:9698;top:7775;height:481;width:1919;"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rPr>
                        </w:pPr>
                        <w:r>
                          <w:rPr>
                            <w:rFonts w:hint="eastAsia"/>
                          </w:rPr>
                          <w:t>粪水收集池</w:t>
                        </w:r>
                      </w:p>
                    </w:txbxContent>
                  </v:textbox>
                </v:shape>
                <v:shape id="_x0000_s1026" o:spid="_x0000_s1026" o:spt="202" type="#_x0000_t202" style="position:absolute;left:12156;top:7788;height:481;width:4604;" fillcolor="#FFFFFF" filled="t" stroked="t" coordsize="21600,21600" o:gfxdata="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mY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eastAsia="宋体"/>
                          </w:rPr>
                        </w:pPr>
                        <w:r>
                          <w:rPr>
                            <w:rFonts w:hint="eastAsia"/>
                          </w:rPr>
                          <w:t>（发酵）作为有机肥浇灌农作物</w:t>
                        </w:r>
                      </w:p>
                    </w:txbxContent>
                  </v:textbox>
                </v:shape>
                <v:shape id="_x0000_s1026" o:spid="_x0000_s1026" o:spt="202" type="#_x0000_t202" style="position:absolute;left:10033;top:8748;height:456;width:2749;"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eastAsia="宋体"/>
                          </w:rPr>
                        </w:pPr>
                        <w:r>
                          <w:rPr>
                            <w:rFonts w:hint="eastAsia"/>
                          </w:rPr>
                          <w:t>村外粪水收集池</w:t>
                        </w:r>
                      </w:p>
                    </w:txbxContent>
                  </v:textbox>
                </v:shape>
                <v:shape id="_x0000_s1026" o:spid="_x0000_s1026" o:spt="202" type="#_x0000_t202" style="position:absolute;left:13202;top:8748;height:481;width:3640;"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eastAsia="宋体"/>
                          </w:rPr>
                        </w:pPr>
                        <w:r>
                          <w:rPr>
                            <w:rFonts w:hint="eastAsia"/>
                          </w:rPr>
                          <w:t>作为有机肥浇灌农作物</w:t>
                        </w:r>
                      </w:p>
                    </w:txbxContent>
                  </v:textbox>
                </v:shape>
                <v:line id="_x0000_s1026" o:spid="_x0000_s1026" o:spt="20" style="position:absolute;left:5339;top:6280;flip:y;height:933;width:787;" filled="f" stroked="t" coordsize="21600,21600" o:gfxdata="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8AHY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5326;top:7173;flip:y;height:67;width:720;" filled="f" stroked="t" coordsize="21600,21600" o:gfxdata="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Zms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5306;top:7191;height:719;width:664;" filled="f" stroked="t" coordsize="21600,21600" o:gfxdata="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LXX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179;top:6284;flip:y;height:14;width:672;" filled="f" stroked="t" coordsize="21600,21600" o:gfxdata="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h6JA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9847;top:6287;height:14;width:933;" filled="f" stroked="t" coordsize="21600,21600" o:gfxdata="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M7LC/&#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130;top:7139;height:21;width:743;" filled="f" stroked="t" coordsize="21600,21600" o:gfxdata="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k3jC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6926;top:8080;height:1;width:987;" filled="f" stroked="t" coordsize="21600,21600" o:gfxdata="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f3Vm/&#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26;top:8066;height:907;width:1013;" filled="f" stroked="t" coordsize="21600,21600" o:gfxdata="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b5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9299;top:8026;height:1;width:440;" filled="f" stroked="t" coordsize="21600,21600" o:gfxdata="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Ub4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1644;top:8057;height:0;width:521;" filled="f" stroked="t" coordsize="21600,21600" o:gfxdata="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eFl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9648;top:8976;flip:y;height:29;width:385;" filled="f" stroked="t" coordsize="21600,21600" o:gfxdata="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Mtl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2832;top:9000;flip:y;height:11;width:420;" filled="f" stroked="t" coordsize="21600,21600" o:gfxdata="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VM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7085;top:7621;height:371;width:753;" fillcolor="#FFFFFF" filled="t" stroked="t" coordsize="21600,21600" o:gfxdata="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0Xc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eastAsia="宋体"/>
                          </w:rPr>
                        </w:pPr>
                        <w:r>
                          <w:rPr>
                            <w:rFonts w:hint="eastAsia"/>
                            <w:sz w:val="18"/>
                            <w:szCs w:val="18"/>
                          </w:rPr>
                          <w:t>人粪便</w:t>
                        </w:r>
                      </w:p>
                    </w:txbxContent>
                  </v:textbox>
                </v:shape>
                <v:shape id="_x0000_s1026" o:spid="_x0000_s1026" o:spt="202" type="#_x0000_t202" style="position:absolute;left:7518;top:8237;height:424;width:1024;rotation:1441792f;" fillcolor="#FFFFFF" filled="t" stroked="t" coordsize="21600,21600" o:gfxdata="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shw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eastAsia="宋体"/>
                          </w:rPr>
                        </w:pPr>
                        <w:r>
                          <w:rPr>
                            <w:rFonts w:hint="eastAsia"/>
                            <w:sz w:val="18"/>
                            <w:szCs w:val="18"/>
                          </w:rPr>
                          <w:t>畜禽粪便</w:t>
                        </w:r>
                      </w:p>
                    </w:txbxContent>
                  </v:textbox>
                </v:shape>
                <v:shape id="文本框 67" o:spid="_x0000_s1026" o:spt="202" type="#_x0000_t202" style="position:absolute;left:12990;top:6959;height:506;width:1115;"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eastAsia="宋体"/>
                          </w:rPr>
                        </w:pPr>
                        <w:r>
                          <w:rPr>
                            <w:rFonts w:hint="eastAsia"/>
                          </w:rPr>
                          <w:t>湿地</w:t>
                        </w:r>
                      </w:p>
                    </w:txbxContent>
                  </v:textbox>
                </v:shape>
                <v:line id="_x0000_s1026" o:spid="_x0000_s1026" o:spt="20" style="position:absolute;left:9166;top:7146;height:1;width:507;" filled="f" stroked="t" coordsize="21600,21600" o:gfxdata="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7J/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10713;top:7146;height:1;width:453;" filled="f" stroked="t" coordsize="21600,21600" o:gfxdata="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X5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512;top:7212;height:1;width:493;" filled="f" stroked="t" coordsize="21600,21600" o:gfxdata="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QKKS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4106;top:7206;flip:y;height:6;width:374;" filled="f" stroked="t" coordsize="21600,21600" o:gfxdata="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2ZU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w:pict>
          </mc:Fallback>
        </mc:AlternateContent>
      </w:r>
    </w:p>
    <w:p>
      <w:pPr>
        <w:spacing w:line="520" w:lineRule="exact"/>
        <w:rPr>
          <w:rFonts w:ascii="仿宋_GB2312" w:eastAsia="仿宋_GB2312"/>
          <w:sz w:val="32"/>
          <w:szCs w:val="32"/>
        </w:rPr>
      </w:pPr>
      <w:r>
        <w:rPr>
          <w:rFonts w:hint="eastAsia" w:ascii="仿宋_GB2312" w:eastAsia="仿宋_GB2312"/>
          <w:sz w:val="32"/>
          <w:szCs w:val="32"/>
        </w:rPr>
        <w:t>】p'</w:t>
      </w:r>
    </w:p>
    <w:p>
      <w:pPr>
        <w:spacing w:line="520" w:lineRule="exact"/>
        <w:rPr>
          <w:rFonts w:ascii="仿宋_GB2312" w:eastAsia="仿宋_GB2312"/>
          <w:sz w:val="32"/>
          <w:szCs w:val="32"/>
        </w:rPr>
      </w:pPr>
    </w:p>
    <w:p>
      <w:pPr>
        <w:spacing w:line="520" w:lineRule="exact"/>
        <w:rPr>
          <w:rFonts w:ascii="仿宋_GB2312" w:eastAsia="仿宋_GB2312"/>
          <w:sz w:val="32"/>
          <w:szCs w:val="32"/>
        </w:rPr>
      </w:pPr>
    </w:p>
    <w:p>
      <w:pPr>
        <w:spacing w:line="520" w:lineRule="exact"/>
        <w:rPr>
          <w:rFonts w:ascii="仿宋_GB2312" w:eastAsia="仿宋_GB2312"/>
          <w:sz w:val="32"/>
          <w:szCs w:val="32"/>
        </w:rPr>
      </w:pPr>
    </w:p>
    <w:p>
      <w:pPr>
        <w:spacing w:line="520" w:lineRule="exact"/>
        <w:jc w:val="left"/>
        <w:rPr>
          <w:rFonts w:ascii="仿宋_GB2312" w:eastAsia="仿宋_GB2312"/>
          <w:sz w:val="32"/>
          <w:szCs w:val="32"/>
        </w:rPr>
      </w:pPr>
    </w:p>
    <w:p>
      <w:pPr>
        <w:spacing w:line="400" w:lineRule="exact"/>
        <w:jc w:val="left"/>
        <w:rPr>
          <w:rFonts w:ascii="仿宋_GB2312" w:eastAsia="仿宋_GB2312"/>
          <w:sz w:val="24"/>
        </w:rPr>
      </w:pPr>
    </w:p>
    <w:p>
      <w:pPr>
        <w:spacing w:line="400" w:lineRule="exact"/>
        <w:ind w:firstLine="720" w:firstLineChars="300"/>
        <w:jc w:val="left"/>
        <w:rPr>
          <w:rFonts w:ascii="仿宋_GB2312" w:eastAsia="仿宋_GB2312"/>
          <w:sz w:val="24"/>
        </w:rPr>
      </w:pPr>
    </w:p>
    <w:p>
      <w:pPr>
        <w:spacing w:line="400" w:lineRule="exact"/>
        <w:ind w:firstLine="720" w:firstLineChars="300"/>
        <w:jc w:val="left"/>
        <w:rPr>
          <w:rFonts w:ascii="仿宋_GB2312" w:eastAsia="仿宋_GB2312"/>
          <w:sz w:val="24"/>
        </w:rPr>
      </w:pPr>
    </w:p>
    <w:p>
      <w:pPr>
        <w:spacing w:line="400" w:lineRule="exact"/>
        <w:ind w:firstLine="720" w:firstLineChars="300"/>
        <w:jc w:val="left"/>
        <w:rPr>
          <w:rFonts w:ascii="仿宋_GB2312" w:eastAsia="仿宋_GB2312"/>
          <w:sz w:val="24"/>
        </w:rPr>
      </w:pPr>
    </w:p>
    <w:p>
      <w:pPr>
        <w:spacing w:line="400" w:lineRule="exact"/>
        <w:ind w:firstLine="720" w:firstLineChars="300"/>
        <w:jc w:val="left"/>
        <w:rPr>
          <w:rFonts w:ascii="仿宋_GB2312" w:eastAsia="仿宋_GB2312"/>
          <w:sz w:val="24"/>
        </w:rPr>
      </w:pPr>
    </w:p>
    <w:p>
      <w:pPr>
        <w:jc w:val="center"/>
        <w:rPr>
          <w:b/>
          <w:bCs/>
          <w:sz w:val="24"/>
        </w:rPr>
      </w:pPr>
      <w:r>
        <w:rPr>
          <w:rFonts w:hint="eastAsia"/>
          <w:b/>
          <w:bCs/>
          <w:sz w:val="24"/>
        </w:rPr>
        <w:t>图1-6十丈村生活污水处理工艺流程图</w:t>
      </w:r>
    </w:p>
    <w:p>
      <w:pPr>
        <w:adjustRightInd w:val="0"/>
        <w:snapToGrid w:val="0"/>
        <w:spacing w:line="600" w:lineRule="exact"/>
        <w:ind w:firstLine="560" w:firstLineChars="200"/>
        <w:jc w:val="left"/>
        <w:rPr>
          <w:bCs/>
          <w:szCs w:val="28"/>
        </w:rPr>
      </w:pPr>
      <w:r>
        <w:rPr>
          <w:rFonts w:hint="eastAsia"/>
          <w:bCs/>
          <w:szCs w:val="28"/>
        </w:rPr>
        <w:t>2.主要技术</w:t>
      </w:r>
    </w:p>
    <w:p>
      <w:pPr>
        <w:adjustRightInd w:val="0"/>
        <w:snapToGrid w:val="0"/>
        <w:spacing w:line="600" w:lineRule="exact"/>
        <w:ind w:firstLine="560" w:firstLineChars="200"/>
        <w:jc w:val="left"/>
        <w:rPr>
          <w:bCs/>
          <w:szCs w:val="28"/>
        </w:rPr>
      </w:pPr>
      <w:r>
        <w:rPr>
          <w:bCs/>
          <w:szCs w:val="28"/>
        </w:rPr>
        <w:t>首先对十丈村的生活污水处理采用雨污分流的设计。污水处理采用黑白灰分流处理理念，把每家每户的生活污水按照灰水和黑水分流开来，黑水排进各家的化粪池发酵后储存于收集池用于农作物施肥，实现资源化利用；灰水流经沉砂井和过滤池后排进人工湿地降解有机物质，最终流进景观池塘。</w:t>
      </w:r>
    </w:p>
    <w:p>
      <w:pPr>
        <w:adjustRightInd w:val="0"/>
        <w:snapToGrid w:val="0"/>
        <w:spacing w:line="600" w:lineRule="exact"/>
        <w:ind w:firstLine="560" w:firstLineChars="200"/>
        <w:jc w:val="left"/>
        <w:rPr>
          <w:rFonts w:hint="eastAsia"/>
          <w:bCs/>
          <w:szCs w:val="28"/>
        </w:rPr>
      </w:pPr>
      <w:r>
        <w:rPr>
          <w:bCs/>
          <w:szCs w:val="28"/>
        </w:rPr>
        <w:t>在景观塘构建靶向净化的</w:t>
      </w:r>
      <w:r>
        <w:rPr>
          <w:rFonts w:hint="eastAsia"/>
          <w:bCs/>
          <w:szCs w:val="28"/>
          <w:lang w:eastAsia="zh-CN"/>
        </w:rPr>
        <w:t>“</w:t>
      </w:r>
      <w:r>
        <w:rPr>
          <w:bCs/>
          <w:szCs w:val="28"/>
        </w:rPr>
        <w:t>矩阵立体浮法湿地</w:t>
      </w:r>
      <w:r>
        <w:rPr>
          <w:rFonts w:hint="eastAsia"/>
          <w:bCs/>
          <w:szCs w:val="28"/>
          <w:lang w:eastAsia="zh-CN"/>
        </w:rPr>
        <w:t>”</w:t>
      </w:r>
      <w:r>
        <w:rPr>
          <w:bCs/>
          <w:szCs w:val="28"/>
        </w:rPr>
        <w:t>进行深度处理，进而达到生态塘水生态修复，水景观构建和水环境可持续美好的维护，基本做到村里污水零排放。十丈村生活污水处理措施的关键是利用好村口的1.8万平方米生态塘。平均水深约1米，浅滩很少，水源主要是雨水，枯水季节</w:t>
      </w:r>
      <w:r>
        <w:rPr>
          <w:rFonts w:hint="eastAsia"/>
          <w:bCs/>
          <w:szCs w:val="28"/>
          <w:lang w:eastAsia="zh-CN"/>
        </w:rPr>
        <w:t>时</w:t>
      </w:r>
      <w:r>
        <w:rPr>
          <w:bCs/>
          <w:szCs w:val="28"/>
        </w:rPr>
        <w:t>十丈村的生活污水就是生态塘的补充水源。生态塘以前是承包</w:t>
      </w:r>
      <w:r>
        <w:rPr>
          <w:rFonts w:hint="eastAsia"/>
          <w:bCs/>
          <w:szCs w:val="28"/>
          <w:lang w:eastAsia="zh-CN"/>
        </w:rPr>
        <w:t>做</w:t>
      </w:r>
      <w:r>
        <w:rPr>
          <w:bCs/>
          <w:szCs w:val="28"/>
        </w:rPr>
        <w:t>水产养殖，塘底污淤泥约有35cm厚，是生态塘的</w:t>
      </w:r>
      <w:r>
        <w:rPr>
          <w:rFonts w:hint="eastAsia"/>
          <w:bCs/>
          <w:szCs w:val="28"/>
          <w:lang w:eastAsia="zh-CN"/>
        </w:rPr>
        <w:t>“</w:t>
      </w:r>
      <w:r>
        <w:rPr>
          <w:bCs/>
          <w:szCs w:val="28"/>
        </w:rPr>
        <w:t>内源污染源</w:t>
      </w:r>
      <w:r>
        <w:rPr>
          <w:rFonts w:hint="eastAsia"/>
          <w:bCs/>
          <w:szCs w:val="28"/>
          <w:lang w:eastAsia="zh-CN"/>
        </w:rPr>
        <w:t>”</w:t>
      </w:r>
      <w:r>
        <w:rPr>
          <w:bCs/>
          <w:szCs w:val="28"/>
        </w:rPr>
        <w:t>，由于生态塘里基本没有沉水植物，挺水植物和浮叶植物，水生动物量也比较少，自净化能力弱，水质状况较差。生态塘是十丈村的门面，天南地北的游客来到十丈村，首先看到的就是生态塘，保持生态塘的水质优良，是十丈村村容村貌改善的需要，因此，在十丈村生态塘构建的</w:t>
      </w:r>
      <w:r>
        <w:rPr>
          <w:rFonts w:hint="eastAsia"/>
          <w:bCs/>
          <w:szCs w:val="28"/>
          <w:lang w:eastAsia="zh-CN"/>
        </w:rPr>
        <w:t>“</w:t>
      </w:r>
      <w:r>
        <w:rPr>
          <w:bCs/>
          <w:szCs w:val="28"/>
        </w:rPr>
        <w:t>矩阵立体浮法湿地</w:t>
      </w:r>
      <w:r>
        <w:rPr>
          <w:rFonts w:hint="eastAsia"/>
          <w:bCs/>
          <w:szCs w:val="28"/>
          <w:lang w:eastAsia="zh-CN"/>
        </w:rPr>
        <w:t>”</w:t>
      </w:r>
      <w:r>
        <w:rPr>
          <w:bCs/>
          <w:szCs w:val="28"/>
        </w:rPr>
        <w:t>不仅需要有强大的污水处理和水生态修复能力，同时需要具备良好的景观效果。十丈村生态塘设计构建2700平方米左右的</w:t>
      </w:r>
      <w:r>
        <w:rPr>
          <w:rFonts w:hint="eastAsia"/>
          <w:bCs/>
          <w:szCs w:val="28"/>
          <w:lang w:eastAsia="zh-CN"/>
        </w:rPr>
        <w:t>“</w:t>
      </w:r>
      <w:r>
        <w:rPr>
          <w:bCs/>
          <w:szCs w:val="28"/>
        </w:rPr>
        <w:t>矩阵立体浮法湿地</w:t>
      </w:r>
      <w:r>
        <w:rPr>
          <w:rFonts w:hint="eastAsia"/>
          <w:bCs/>
          <w:szCs w:val="28"/>
          <w:lang w:eastAsia="zh-CN"/>
        </w:rPr>
        <w:t>”</w:t>
      </w:r>
      <w:r>
        <w:rPr>
          <w:bCs/>
          <w:szCs w:val="28"/>
        </w:rPr>
        <w:t>（约占生态塘水面面积15%），浮法湿地构建的位置根据生活污水进入生态塘的位置进行布置，形状、大小等兼顾污水治理的初始功能和景观需求与创造收益的派生功能。</w:t>
      </w:r>
    </w:p>
    <w:p>
      <w:pPr>
        <w:jc w:val="center"/>
        <w:rPr>
          <w:b/>
          <w:bCs/>
          <w:sz w:val="24"/>
        </w:rPr>
      </w:pPr>
      <w:r>
        <w:rPr>
          <w:rFonts w:hint="eastAsia" w:ascii="宋体" w:hAnsi="宋体" w:eastAsia="宋体" w:cs="宋体"/>
          <w:b/>
          <w:bCs/>
          <w:sz w:val="32"/>
          <w:szCs w:val="32"/>
        </w:rPr>
        <w:drawing>
          <wp:anchor distT="0" distB="0" distL="114300" distR="114300" simplePos="0" relativeHeight="251661312" behindDoc="0" locked="0" layoutInCell="1" allowOverlap="1">
            <wp:simplePos x="0" y="0"/>
            <wp:positionH relativeFrom="margin">
              <wp:posOffset>598170</wp:posOffset>
            </wp:positionH>
            <wp:positionV relativeFrom="margin">
              <wp:posOffset>3711575</wp:posOffset>
            </wp:positionV>
            <wp:extent cx="4338955" cy="2469515"/>
            <wp:effectExtent l="0" t="0" r="4445" b="6985"/>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4338955" cy="2469515"/>
                    </a:xfrm>
                    <a:prstGeom prst="rect">
                      <a:avLst/>
                    </a:prstGeom>
                    <a:noFill/>
                    <a:ln>
                      <a:noFill/>
                    </a:ln>
                  </pic:spPr>
                </pic:pic>
              </a:graphicData>
            </a:graphic>
          </wp:anchor>
        </w:drawing>
      </w:r>
    </w:p>
    <w:p>
      <w:pPr>
        <w:jc w:val="center"/>
        <w:rPr>
          <w:b/>
          <w:bCs/>
          <w:sz w:val="24"/>
        </w:rPr>
      </w:pPr>
      <w:r>
        <w:rPr>
          <w:rFonts w:hint="eastAsia"/>
          <w:b/>
          <w:bCs/>
          <w:sz w:val="24"/>
        </w:rPr>
        <w:t>图1-7十丈村生活污水生物生态结合的工艺技术路线图</w:t>
      </w:r>
    </w:p>
    <w:p>
      <w:pPr>
        <w:adjustRightInd w:val="0"/>
        <w:snapToGrid w:val="0"/>
        <w:spacing w:line="600" w:lineRule="exact"/>
        <w:ind w:firstLine="600" w:firstLineChars="200"/>
        <w:jc w:val="left"/>
        <w:rPr>
          <w:rFonts w:ascii="黑体" w:hAnsi="黑体" w:eastAsia="黑体" w:cs="黑体"/>
          <w:sz w:val="30"/>
          <w:szCs w:val="30"/>
        </w:rPr>
      </w:pPr>
      <w:r>
        <w:rPr>
          <w:rFonts w:ascii="黑体" w:hAnsi="黑体" w:eastAsia="黑体" w:cs="黑体"/>
          <w:sz w:val="30"/>
          <w:szCs w:val="30"/>
        </w:rPr>
        <w:t>二、治理情况</w:t>
      </w:r>
    </w:p>
    <w:p>
      <w:pPr>
        <w:ind w:firstLine="560" w:firstLineChars="200"/>
      </w:pPr>
      <w:r>
        <w:rPr>
          <w:rFonts w:hint="eastAsia"/>
        </w:rPr>
        <w:t>1.项目投资与效益</w:t>
      </w:r>
    </w:p>
    <w:p>
      <w:pPr>
        <w:adjustRightInd w:val="0"/>
        <w:snapToGrid w:val="0"/>
        <w:spacing w:line="600" w:lineRule="exact"/>
        <w:ind w:firstLine="560" w:firstLineChars="200"/>
        <w:jc w:val="left"/>
        <w:rPr>
          <w:bCs/>
          <w:szCs w:val="28"/>
        </w:rPr>
      </w:pPr>
      <w:r>
        <w:rPr>
          <w:bCs/>
          <w:szCs w:val="28"/>
        </w:rPr>
        <w:t>项目总投资约30万元，灰白水通过自流至池塘，实现零排放。20-30户粪水黑水流入收集池，每天收集运输，5吨/车，卖给果农灌溉180元/车，运输费用20元/车，合作社创收160元/车。</w:t>
      </w:r>
    </w:p>
    <w:p>
      <w:pPr>
        <w:ind w:firstLine="560" w:firstLineChars="200"/>
      </w:pPr>
      <w:r>
        <w:rPr>
          <w:rFonts w:hint="eastAsia"/>
        </w:rPr>
        <w:t>2.处理效果</w:t>
      </w:r>
    </w:p>
    <w:p>
      <w:pPr>
        <w:ind w:firstLine="560" w:firstLineChars="200"/>
        <w:rPr>
          <w:rFonts w:hint="eastAsia"/>
        </w:rPr>
      </w:pPr>
      <w:r>
        <w:t>根据玉林市检验检测研究院的监测报告，福绵镇十丈村综合利用技术点位的生活污水进水COD、氨氮和总磷浓度分别为95mg/L、19.8mg/L和3.65mg/L，出水COD、氨氮和总磷浓度分别为43mg/L、11mg/L和1.27mg/L。十丈村综合利用技术处理效果汇总表见表</w:t>
      </w:r>
      <w:r>
        <w:rPr>
          <w:rFonts w:hint="eastAsia"/>
        </w:rPr>
        <w:t>1</w:t>
      </w:r>
      <w:r>
        <w:t>-</w:t>
      </w:r>
      <w:r>
        <w:rPr>
          <w:rFonts w:hint="eastAsia"/>
        </w:rPr>
        <w:t>3</w:t>
      </w:r>
      <w:r>
        <w:t>，COD、氨氮、和总磷去除率分别为54.74%、44.44%和65.21%，出水水质达到广西地方标准《农村生活污水处理设施水污染物排放标准》二级标准。案例附图见图</w:t>
      </w:r>
      <w:r>
        <w:rPr>
          <w:rFonts w:hint="eastAsia"/>
        </w:rPr>
        <w:t>1</w:t>
      </w:r>
      <w:r>
        <w:t>-</w:t>
      </w:r>
      <w:r>
        <w:rPr>
          <w:rFonts w:hint="eastAsia"/>
          <w:lang w:val="en-US" w:eastAsia="zh-CN"/>
        </w:rPr>
        <w:t>8</w:t>
      </w:r>
      <w:r>
        <w:t>。</w:t>
      </w:r>
    </w:p>
    <w:p>
      <w:pPr>
        <w:ind w:firstLine="482" w:firstLineChars="200"/>
        <w:jc w:val="center"/>
        <w:rPr>
          <w:b/>
          <w:bCs/>
          <w:sz w:val="24"/>
        </w:rPr>
      </w:pPr>
      <w:r>
        <w:rPr>
          <w:b/>
          <w:bCs/>
          <w:sz w:val="24"/>
        </w:rPr>
        <w:t>表</w:t>
      </w:r>
      <w:r>
        <w:rPr>
          <w:rFonts w:hint="eastAsia"/>
          <w:b/>
          <w:bCs/>
          <w:sz w:val="24"/>
        </w:rPr>
        <w:t>1</w:t>
      </w:r>
      <w:r>
        <w:rPr>
          <w:b/>
          <w:bCs/>
          <w:sz w:val="24"/>
        </w:rPr>
        <w:t>-</w:t>
      </w:r>
      <w:r>
        <w:rPr>
          <w:rFonts w:hint="eastAsia"/>
          <w:b/>
          <w:bCs/>
          <w:sz w:val="24"/>
        </w:rPr>
        <w:t>3</w:t>
      </w:r>
      <w:r>
        <w:rPr>
          <w:b/>
          <w:bCs/>
          <w:sz w:val="24"/>
        </w:rPr>
        <w:t>十丈村综合利用技术处理效果汇总表</w:t>
      </w:r>
    </w:p>
    <w:tbl>
      <w:tblPr>
        <w:tblStyle w:val="11"/>
        <w:tblW w:w="80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1757"/>
        <w:gridCol w:w="1895"/>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2496"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项目</w:t>
            </w:r>
          </w:p>
        </w:tc>
        <w:tc>
          <w:tcPr>
            <w:tcW w:w="175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sz w:val="24"/>
                <w:lang w:eastAsia="zh-CN"/>
              </w:rPr>
            </w:pPr>
            <w:r>
              <w:rPr>
                <w:sz w:val="24"/>
              </w:rPr>
              <w:t>COD</w:t>
            </w:r>
            <w:r>
              <w:rPr>
                <w:sz w:val="24"/>
                <w:vertAlign w:val="subscript"/>
              </w:rPr>
              <w:t>Cr</w:t>
            </w:r>
            <w:r>
              <w:rPr>
                <w:rFonts w:hint="eastAsia"/>
                <w:sz w:val="24"/>
                <w:lang w:eastAsia="zh-CN"/>
              </w:rPr>
              <w:t>（mg/L）</w:t>
            </w:r>
          </w:p>
        </w:tc>
        <w:tc>
          <w:tcPr>
            <w:tcW w:w="1895"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NH</w:t>
            </w:r>
            <w:r>
              <w:rPr>
                <w:sz w:val="24"/>
                <w:vertAlign w:val="subscript"/>
              </w:rPr>
              <w:t>3</w:t>
            </w:r>
            <w:r>
              <w:rPr>
                <w:sz w:val="24"/>
              </w:rPr>
              <w:t>-N</w:t>
            </w:r>
            <w:r>
              <w:rPr>
                <w:rFonts w:hint="eastAsia"/>
                <w:sz w:val="24"/>
                <w:lang w:eastAsia="zh-CN"/>
              </w:rPr>
              <w:t>（mg/L）</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TP</w:t>
            </w:r>
            <w:r>
              <w:rPr>
                <w:rFonts w:hint="eastAsia"/>
                <w:sz w:val="24"/>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2496"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进水浓度</w:t>
            </w:r>
          </w:p>
        </w:tc>
        <w:tc>
          <w:tcPr>
            <w:tcW w:w="175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95</w:t>
            </w:r>
          </w:p>
        </w:tc>
        <w:tc>
          <w:tcPr>
            <w:tcW w:w="1895"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19.8</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2496"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出水浓度</w:t>
            </w:r>
          </w:p>
        </w:tc>
        <w:tc>
          <w:tcPr>
            <w:tcW w:w="175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43</w:t>
            </w:r>
          </w:p>
        </w:tc>
        <w:tc>
          <w:tcPr>
            <w:tcW w:w="1895"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11</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2" w:hRule="atLeast"/>
          <w:jc w:val="center"/>
        </w:trPr>
        <w:tc>
          <w:tcPr>
            <w:tcW w:w="2496"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广西地方标准</w:t>
            </w:r>
          </w:p>
          <w:p>
            <w:pPr>
              <w:jc w:val="center"/>
              <w:rPr>
                <w:sz w:val="24"/>
              </w:rPr>
            </w:pPr>
            <w:r>
              <w:rPr>
                <w:sz w:val="24"/>
              </w:rPr>
              <w:t>二级标准</w:t>
            </w:r>
          </w:p>
        </w:tc>
        <w:tc>
          <w:tcPr>
            <w:tcW w:w="175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100</w:t>
            </w:r>
          </w:p>
        </w:tc>
        <w:tc>
          <w:tcPr>
            <w:tcW w:w="1895"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15</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jc w:val="center"/>
        </w:trPr>
        <w:tc>
          <w:tcPr>
            <w:tcW w:w="2496"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实际削减率（%）</w:t>
            </w:r>
          </w:p>
        </w:tc>
        <w:tc>
          <w:tcPr>
            <w:tcW w:w="175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54.74</w:t>
            </w:r>
          </w:p>
        </w:tc>
        <w:tc>
          <w:tcPr>
            <w:tcW w:w="1895"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44.44</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65.21</w:t>
            </w:r>
          </w:p>
        </w:tc>
      </w:tr>
    </w:tbl>
    <w:p>
      <w:pPr>
        <w:adjustRightInd w:val="0"/>
        <w:snapToGrid w:val="0"/>
        <w:spacing w:line="600" w:lineRule="exact"/>
        <w:ind w:firstLine="560" w:firstLineChars="200"/>
        <w:jc w:val="left"/>
        <w:rPr>
          <w:bCs/>
          <w:szCs w:val="28"/>
        </w:rPr>
      </w:pPr>
    </w:p>
    <w:p>
      <w:pPr>
        <w:pStyle w:val="2"/>
        <w:rPr>
          <w:szCs w:val="28"/>
        </w:rPr>
      </w:pPr>
    </w:p>
    <w:p/>
    <w:tbl>
      <w:tblPr>
        <w:tblStyle w:val="1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1" w:hRule="atLeast"/>
        </w:trPr>
        <w:tc>
          <w:tcPr>
            <w:tcW w:w="4261" w:type="dxa"/>
            <w:tcBorders>
              <w:tl2br w:val="nil"/>
              <w:tr2bl w:val="nil"/>
            </w:tcBorders>
          </w:tcPr>
          <w:p>
            <w:pPr>
              <w:jc w:val="center"/>
              <w:rPr>
                <w:bCs/>
                <w:sz w:val="24"/>
              </w:rPr>
            </w:pPr>
            <w:r>
              <w:rPr>
                <w:szCs w:val="28"/>
              </w:rPr>
              <w:drawing>
                <wp:inline distT="0" distB="0" distL="114300" distR="114300">
                  <wp:extent cx="2581275" cy="1945005"/>
                  <wp:effectExtent l="0" t="0" r="9525" b="17145"/>
                  <wp:docPr id="35" name="图片 9" descr="3d4de3d55ef8dece2a90df21bd33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3d4de3d55ef8dece2a90df21bd3311c"/>
                          <pic:cNvPicPr>
                            <a:picLocks noChangeAspect="1"/>
                          </pic:cNvPicPr>
                        </pic:nvPicPr>
                        <pic:blipFill>
                          <a:blip r:embed="rId13"/>
                          <a:stretch>
                            <a:fillRect/>
                          </a:stretch>
                        </pic:blipFill>
                        <pic:spPr>
                          <a:xfrm>
                            <a:off x="0" y="0"/>
                            <a:ext cx="2581275" cy="1945005"/>
                          </a:xfrm>
                          <a:prstGeom prst="rect">
                            <a:avLst/>
                          </a:prstGeom>
                          <a:noFill/>
                          <a:ln>
                            <a:noFill/>
                          </a:ln>
                        </pic:spPr>
                      </pic:pic>
                    </a:graphicData>
                  </a:graphic>
                </wp:inline>
              </w:drawing>
            </w:r>
          </w:p>
          <w:p>
            <w:pPr>
              <w:jc w:val="center"/>
              <w:rPr>
                <w:rFonts w:eastAsia="宋体"/>
              </w:rPr>
            </w:pPr>
            <w:r>
              <w:rPr>
                <w:bCs/>
                <w:sz w:val="24"/>
              </w:rPr>
              <w:t>分散处理概况</w:t>
            </w:r>
          </w:p>
        </w:tc>
        <w:tc>
          <w:tcPr>
            <w:tcW w:w="4261" w:type="dxa"/>
            <w:tcBorders>
              <w:tl2br w:val="nil"/>
              <w:tr2bl w:val="nil"/>
            </w:tcBorders>
          </w:tcPr>
          <w:p>
            <w:pPr>
              <w:jc w:val="center"/>
              <w:rPr>
                <w:bCs/>
                <w:sz w:val="24"/>
              </w:rPr>
            </w:pPr>
            <w:r>
              <w:drawing>
                <wp:inline distT="0" distB="0" distL="114300" distR="114300">
                  <wp:extent cx="2510155" cy="1925320"/>
                  <wp:effectExtent l="0" t="0" r="4445" b="17780"/>
                  <wp:docPr id="36" name="图片 10" descr="a9c01b32b7ba5ca0e9eb7266bc1c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a9c01b32b7ba5ca0e9eb7266bc1c88d"/>
                          <pic:cNvPicPr>
                            <a:picLocks noChangeAspect="1"/>
                          </pic:cNvPicPr>
                        </pic:nvPicPr>
                        <pic:blipFill>
                          <a:blip r:embed="rId14"/>
                          <a:stretch>
                            <a:fillRect/>
                          </a:stretch>
                        </pic:blipFill>
                        <pic:spPr>
                          <a:xfrm>
                            <a:off x="0" y="0"/>
                            <a:ext cx="2510155" cy="1925320"/>
                          </a:xfrm>
                          <a:prstGeom prst="rect">
                            <a:avLst/>
                          </a:prstGeom>
                          <a:noFill/>
                          <a:ln>
                            <a:noFill/>
                          </a:ln>
                        </pic:spPr>
                      </pic:pic>
                    </a:graphicData>
                  </a:graphic>
                </wp:inline>
              </w:drawing>
            </w:r>
          </w:p>
          <w:p>
            <w:pPr>
              <w:jc w:val="center"/>
            </w:pPr>
            <w:r>
              <w:rPr>
                <w:bCs/>
                <w:sz w:val="24"/>
              </w:rPr>
              <w:t>福绵区分散处理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1" w:hRule="atLeast"/>
        </w:trPr>
        <w:tc>
          <w:tcPr>
            <w:tcW w:w="4261" w:type="dxa"/>
            <w:tcBorders>
              <w:tl2br w:val="nil"/>
              <w:tr2bl w:val="nil"/>
            </w:tcBorders>
          </w:tcPr>
          <w:p>
            <w:pPr>
              <w:jc w:val="center"/>
              <w:rPr>
                <w:bCs/>
                <w:sz w:val="24"/>
              </w:rPr>
            </w:pPr>
            <w:r>
              <w:drawing>
                <wp:inline distT="0" distB="0" distL="114300" distR="114300">
                  <wp:extent cx="2460625" cy="1969770"/>
                  <wp:effectExtent l="0" t="0" r="15875" b="11430"/>
                  <wp:docPr id="37" name="图片 5" descr="10811dfc66700cdd3a602f37eb02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10811dfc66700cdd3a602f37eb02e2d"/>
                          <pic:cNvPicPr>
                            <a:picLocks noChangeAspect="1"/>
                          </pic:cNvPicPr>
                        </pic:nvPicPr>
                        <pic:blipFill>
                          <a:blip r:embed="rId15"/>
                          <a:stretch>
                            <a:fillRect/>
                          </a:stretch>
                        </pic:blipFill>
                        <pic:spPr>
                          <a:xfrm>
                            <a:off x="0" y="0"/>
                            <a:ext cx="2460625" cy="1969770"/>
                          </a:xfrm>
                          <a:prstGeom prst="rect">
                            <a:avLst/>
                          </a:prstGeom>
                          <a:noFill/>
                          <a:ln>
                            <a:noFill/>
                          </a:ln>
                        </pic:spPr>
                      </pic:pic>
                    </a:graphicData>
                  </a:graphic>
                </wp:inline>
              </w:drawing>
            </w:r>
          </w:p>
          <w:p>
            <w:pPr>
              <w:jc w:val="center"/>
              <w:rPr>
                <w:rFonts w:eastAsia="宋体"/>
              </w:rPr>
            </w:pPr>
            <w:r>
              <w:rPr>
                <w:bCs/>
                <w:sz w:val="24"/>
              </w:rPr>
              <w:t>粪水收集池（20-30户）</w:t>
            </w:r>
          </w:p>
        </w:tc>
        <w:tc>
          <w:tcPr>
            <w:tcW w:w="4261" w:type="dxa"/>
            <w:tcBorders>
              <w:tl2br w:val="nil"/>
              <w:tr2bl w:val="nil"/>
            </w:tcBorders>
          </w:tcPr>
          <w:p>
            <w:pPr>
              <w:jc w:val="center"/>
              <w:rPr>
                <w:bCs/>
                <w:sz w:val="24"/>
              </w:rPr>
            </w:pPr>
            <w:r>
              <w:rPr>
                <w:sz w:val="32"/>
              </w:rPr>
              <w:drawing>
                <wp:inline distT="0" distB="0" distL="114300" distR="114300">
                  <wp:extent cx="2606675" cy="2052955"/>
                  <wp:effectExtent l="0" t="0" r="3175" b="4445"/>
                  <wp:docPr id="38" name="图片 6" descr="IMG_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6871"/>
                          <pic:cNvPicPr>
                            <a:picLocks noChangeAspect="1"/>
                          </pic:cNvPicPr>
                        </pic:nvPicPr>
                        <pic:blipFill>
                          <a:blip r:embed="rId16"/>
                          <a:stretch>
                            <a:fillRect/>
                          </a:stretch>
                        </pic:blipFill>
                        <pic:spPr>
                          <a:xfrm>
                            <a:off x="0" y="0"/>
                            <a:ext cx="2612393" cy="2057697"/>
                          </a:xfrm>
                          <a:prstGeom prst="rect">
                            <a:avLst/>
                          </a:prstGeom>
                          <a:noFill/>
                          <a:ln>
                            <a:noFill/>
                          </a:ln>
                        </pic:spPr>
                      </pic:pic>
                    </a:graphicData>
                  </a:graphic>
                </wp:inline>
              </w:drawing>
            </w:r>
          </w:p>
          <w:p>
            <w:pPr>
              <w:jc w:val="center"/>
            </w:pPr>
            <w:r>
              <w:rPr>
                <w:bCs/>
                <w:sz w:val="24"/>
              </w:rPr>
              <w:t>粪水收集运输车</w:t>
            </w:r>
          </w:p>
        </w:tc>
      </w:tr>
    </w:tbl>
    <w:p>
      <w:pPr>
        <w:jc w:val="center"/>
        <w:rPr>
          <w:b/>
          <w:bCs/>
          <w:sz w:val="24"/>
        </w:rPr>
      </w:pPr>
      <w:r>
        <w:rPr>
          <w:b/>
          <w:bCs/>
          <w:sz w:val="24"/>
        </w:rPr>
        <w:t>图</w:t>
      </w:r>
      <w:r>
        <w:rPr>
          <w:rFonts w:hint="eastAsia"/>
          <w:b/>
          <w:bCs/>
          <w:sz w:val="24"/>
        </w:rPr>
        <w:t>1</w:t>
      </w:r>
      <w:r>
        <w:rPr>
          <w:b/>
          <w:bCs/>
          <w:sz w:val="24"/>
        </w:rPr>
        <w:t>-</w:t>
      </w:r>
      <w:r>
        <w:rPr>
          <w:rFonts w:hint="eastAsia"/>
          <w:b/>
          <w:bCs/>
          <w:sz w:val="24"/>
        </w:rPr>
        <w:t>8</w:t>
      </w:r>
      <w:r>
        <w:rPr>
          <w:b/>
          <w:bCs/>
          <w:sz w:val="24"/>
        </w:rPr>
        <w:t>福绵区福绵镇十丈村生活污水综合化利用项目</w:t>
      </w:r>
    </w:p>
    <w:p>
      <w:pPr>
        <w:pStyle w:val="7"/>
        <w:ind w:left="560"/>
      </w:pPr>
    </w:p>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8240" behindDoc="1" locked="0" layoutInCell="1" allowOverlap="1">
              <wp:simplePos x="0" y="0"/>
              <wp:positionH relativeFrom="page">
                <wp:posOffset>3660140</wp:posOffset>
              </wp:positionH>
              <wp:positionV relativeFrom="page">
                <wp:posOffset>9845675</wp:posOffset>
              </wp:positionV>
              <wp:extent cx="217170" cy="172720"/>
              <wp:effectExtent l="0" t="0" r="0" b="0"/>
              <wp:wrapNone/>
              <wp:docPr id="67" name="文本框 1"/>
              <wp:cNvGraphicFramePr/>
              <a:graphic xmlns:a="http://schemas.openxmlformats.org/drawingml/2006/main">
                <a:graphicData uri="http://schemas.microsoft.com/office/word/2010/wordprocessingShape">
                  <wps:wsp>
                    <wps:cNvSpPr txBox="1"/>
                    <wps:spPr>
                      <a:xfrm>
                        <a:off x="0" y="0"/>
                        <a:ext cx="217170" cy="172720"/>
                      </a:xfrm>
                      <a:prstGeom prst="rect">
                        <a:avLst/>
                      </a:prstGeom>
                      <a:noFill/>
                      <a:ln>
                        <a:noFill/>
                      </a:ln>
                    </wps:spPr>
                    <wps:txbx>
                      <w:txbxContent>
                        <w:p>
                          <w:pPr>
                            <w:spacing w:before="3"/>
                            <w:ind w:left="40"/>
                            <w:jc w:val="left"/>
                            <w:rPr>
                              <w:rFonts w:eastAsia="Times New Roman"/>
                              <w:sz w:val="19"/>
                              <w:szCs w:val="19"/>
                            </w:rPr>
                          </w:pPr>
                          <w:r>
                            <w:fldChar w:fldCharType="begin"/>
                          </w:r>
                          <w:r>
                            <w:rPr>
                              <w:w w:val="117"/>
                              <w:sz w:val="19"/>
                            </w:rPr>
                            <w:instrText xml:space="preserve"> PAGE </w:instrText>
                          </w:r>
                          <w:r>
                            <w:fldChar w:fldCharType="separate"/>
                          </w:r>
                          <w:r>
                            <w:rPr>
                              <w:w w:val="117"/>
                              <w:sz w:val="19"/>
                            </w:rPr>
                            <w:t>17</w:t>
                          </w:r>
                          <w:r>
                            <w:fldChar w:fldCharType="end"/>
                          </w:r>
                        </w:p>
                      </w:txbxContent>
                    </wps:txbx>
                    <wps:bodyPr lIns="0" tIns="0" rIns="0" bIns="0" upright="1"/>
                  </wps:wsp>
                </a:graphicData>
              </a:graphic>
            </wp:anchor>
          </w:drawing>
        </mc:Choice>
        <mc:Fallback>
          <w:pict>
            <v:shape id="文本框 1" o:spid="_x0000_s1026" o:spt="202" type="#_x0000_t202" style="position:absolute;left:0pt;margin-left:288.2pt;margin-top:775.25pt;height:13.6pt;width:17.1pt;mso-position-horizontal-relative:page;mso-position-vertical-relative:page;z-index:-251658240;mso-width-relative:page;mso-height-relative:page;" filled="f" stroked="f" coordsize="21600,21600" o:gfxdata="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srNkK2gAAAA0BAAAPAAAAAAAA&#10;AAEAIAAAACIAAABkcnMvZG93bnJldi54bWxQSwECFAAUAAAACACHTuJAZ7joRJ4BAAAkAwAADgAA&#10;AAAAAAABACAAAAApAQAAZHJzL2Uyb0RvYy54bWxQSwUGAAAAAAYABgBZAQAAOQUAAAAA&#10;">
              <v:fill on="f" focussize="0,0"/>
              <v:stroke on="f"/>
              <v:imagedata o:title=""/>
              <o:lock v:ext="edit" aspectratio="f"/>
              <v:textbox inset="0mm,0mm,0mm,0mm">
                <w:txbxContent>
                  <w:p>
                    <w:pPr>
                      <w:spacing w:before="3"/>
                      <w:ind w:left="40"/>
                      <w:jc w:val="left"/>
                      <w:rPr>
                        <w:rFonts w:eastAsia="Times New Roman"/>
                        <w:sz w:val="19"/>
                        <w:szCs w:val="19"/>
                      </w:rPr>
                    </w:pPr>
                    <w:r>
                      <w:fldChar w:fldCharType="begin"/>
                    </w:r>
                    <w:r>
                      <w:rPr>
                        <w:w w:val="117"/>
                        <w:sz w:val="19"/>
                      </w:rPr>
                      <w:instrText xml:space="preserve"> PAGE </w:instrText>
                    </w:r>
                    <w:r>
                      <w:fldChar w:fldCharType="separate"/>
                    </w:r>
                    <w:r>
                      <w:rPr>
                        <w:w w:val="117"/>
                        <w:sz w:val="19"/>
                      </w:rPr>
                      <w:t>17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776F1"/>
    <w:multiLevelType w:val="singleLevel"/>
    <w:tmpl w:val="3F0776F1"/>
    <w:lvl w:ilvl="0" w:tentative="0">
      <w:start w:val="1"/>
      <w:numFmt w:val="chineseCounting"/>
      <w:suff w:val="nothing"/>
      <w:lvlText w:val="%1、"/>
      <w:lvlJc w:val="left"/>
      <w:pPr>
        <w:ind w:left="56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A65"/>
    <w:rsid w:val="00146A65"/>
    <w:rsid w:val="00D30715"/>
    <w:rsid w:val="00DF29D1"/>
    <w:rsid w:val="04987804"/>
    <w:rsid w:val="09772AF0"/>
    <w:rsid w:val="0AB779FA"/>
    <w:rsid w:val="0ACE26A6"/>
    <w:rsid w:val="115B46AE"/>
    <w:rsid w:val="11E06A0E"/>
    <w:rsid w:val="124E18A3"/>
    <w:rsid w:val="168E762D"/>
    <w:rsid w:val="20DB13AD"/>
    <w:rsid w:val="220156C5"/>
    <w:rsid w:val="24534F2E"/>
    <w:rsid w:val="24831961"/>
    <w:rsid w:val="2DB134D9"/>
    <w:rsid w:val="2ED10887"/>
    <w:rsid w:val="2F7F2C11"/>
    <w:rsid w:val="391B0F54"/>
    <w:rsid w:val="3FE72395"/>
    <w:rsid w:val="46142EA4"/>
    <w:rsid w:val="47D23C00"/>
    <w:rsid w:val="4B5224DB"/>
    <w:rsid w:val="4CD70690"/>
    <w:rsid w:val="4E3C71B4"/>
    <w:rsid w:val="504B1E51"/>
    <w:rsid w:val="57D2359A"/>
    <w:rsid w:val="5E596937"/>
    <w:rsid w:val="5EFC52CC"/>
    <w:rsid w:val="67271CF2"/>
    <w:rsid w:val="6A031060"/>
    <w:rsid w:val="6BC2739F"/>
    <w:rsid w:val="6C1A57AE"/>
    <w:rsid w:val="7BA67C9B"/>
    <w:rsid w:val="7E8C5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仿宋" w:cs="Times New Roman"/>
      <w:kern w:val="2"/>
      <w:sz w:val="28"/>
      <w:szCs w:val="24"/>
      <w:lang w:val="en-US" w:eastAsia="zh-CN" w:bidi="ar-SA"/>
    </w:rPr>
  </w:style>
  <w:style w:type="paragraph" w:styleId="3">
    <w:name w:val="heading 1"/>
    <w:basedOn w:val="1"/>
    <w:next w:val="1"/>
    <w:qFormat/>
    <w:uiPriority w:val="9"/>
    <w:pPr>
      <w:keepNext/>
      <w:keepLines/>
      <w:spacing w:after="100" w:afterLines="100"/>
      <w:outlineLvl w:val="0"/>
    </w:pPr>
    <w:rPr>
      <w:b/>
      <w:bCs/>
      <w:kern w:val="44"/>
      <w:sz w:val="36"/>
      <w:szCs w:val="44"/>
    </w:rPr>
  </w:style>
  <w:style w:type="paragraph" w:styleId="4">
    <w:name w:val="heading 2"/>
    <w:basedOn w:val="1"/>
    <w:next w:val="1"/>
    <w:unhideWhenUsed/>
    <w:qFormat/>
    <w:uiPriority w:val="0"/>
    <w:pPr>
      <w:keepNext/>
      <w:keepLines/>
      <w:outlineLvl w:val="1"/>
    </w:pPr>
    <w:rPr>
      <w:b/>
      <w:sz w:val="32"/>
    </w:rPr>
  </w:style>
  <w:style w:type="paragraph" w:styleId="2">
    <w:name w:val="heading 3"/>
    <w:basedOn w:val="1"/>
    <w:next w:val="1"/>
    <w:unhideWhenUsed/>
    <w:qFormat/>
    <w:uiPriority w:val="9"/>
    <w:pPr>
      <w:keepNext/>
      <w:keepLines/>
      <w:outlineLvl w:val="2"/>
    </w:pPr>
    <w:rPr>
      <w:b/>
      <w:bCs/>
      <w:szCs w:val="32"/>
    </w:rPr>
  </w:style>
  <w:style w:type="paragraph" w:styleId="5">
    <w:name w:val="heading 4"/>
    <w:basedOn w:val="1"/>
    <w:next w:val="1"/>
    <w:link w:val="15"/>
    <w:semiHidden/>
    <w:unhideWhenUsed/>
    <w:qFormat/>
    <w:uiPriority w:val="0"/>
    <w:pPr>
      <w:keepNext/>
      <w:keepLines/>
      <w:spacing w:before="280" w:after="290" w:line="372" w:lineRule="auto"/>
      <w:outlineLvl w:val="3"/>
    </w:pPr>
    <w:rPr>
      <w:rFonts w:ascii="Arial" w:hAnsi="Arial" w:eastAsia="宋体"/>
      <w:b/>
      <w:sz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w:basedOn w:val="1"/>
    <w:qFormat/>
    <w:uiPriority w:val="1"/>
    <w:pPr>
      <w:ind w:left="111"/>
    </w:pPr>
    <w:rPr>
      <w:rFonts w:ascii="宋体" w:hAnsi="宋体" w:eastAsia="宋体"/>
      <w:szCs w:val="28"/>
    </w:rPr>
  </w:style>
  <w:style w:type="paragraph" w:styleId="7">
    <w:name w:val="Body Text Indent 2"/>
    <w:basedOn w:val="1"/>
    <w:qFormat/>
    <w:uiPriority w:val="0"/>
    <w:pPr>
      <w:spacing w:after="120" w:line="480" w:lineRule="auto"/>
      <w:ind w:left="420" w:leftChars="200"/>
    </w:p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2"/>
    <w:basedOn w:val="1"/>
    <w:next w:val="1"/>
    <w:qFormat/>
    <w:uiPriority w:val="0"/>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普通(网站) Char"/>
    <w:basedOn w:val="1"/>
    <w:qFormat/>
    <w:uiPriority w:val="0"/>
    <w:pPr>
      <w:widowControl/>
      <w:spacing w:beforeAutospacing="1" w:afterAutospacing="1"/>
      <w:jc w:val="left"/>
    </w:pPr>
    <w:rPr>
      <w:rFonts w:hint="eastAsia" w:ascii="宋体" w:hAnsi="宋体"/>
      <w:kern w:val="0"/>
      <w:sz w:val="24"/>
    </w:rPr>
  </w:style>
  <w:style w:type="character" w:customStyle="1" w:styleId="15">
    <w:name w:val="标题 4 字符"/>
    <w:link w:val="5"/>
    <w:qFormat/>
    <w:uiPriority w:val="0"/>
    <w:rPr>
      <w:rFonts w:ascii="Arial" w:hAnsi="Arial" w:eastAsia="宋体"/>
      <w:b/>
      <w:sz w:val="24"/>
    </w:rPr>
  </w:style>
  <w:style w:type="paragraph" w:customStyle="1" w:styleId="16">
    <w:name w:val="Table Paragraph"/>
    <w:basedOn w:val="1"/>
    <w:qFormat/>
    <w:uiPriority w:val="1"/>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965</Words>
  <Characters>5504</Characters>
  <Lines>45</Lines>
  <Paragraphs>12</Paragraphs>
  <TotalTime>80</TotalTime>
  <ScaleCrop>false</ScaleCrop>
  <LinksUpToDate>false</LinksUpToDate>
  <CharactersWithSpaces>6457</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金晓丹</dc:creator>
  <cp:lastModifiedBy>李林娟</cp:lastModifiedBy>
  <cp:lastPrinted>2021-06-11T03:16:00Z</cp:lastPrinted>
  <dcterms:modified xsi:type="dcterms:W3CDTF">2021-06-23T07:40:25Z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