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 xml:space="preserve"> </w:t>
      </w:r>
      <w:bookmarkStart w:id="0" w:name="_GoBack"/>
      <w:bookmarkEnd w:id="0"/>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广西壮族自治区建设用地土壤污染风险管控和修复名录</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（2023年11月8日更新）</w:t>
      </w:r>
    </w:p>
    <w:tbl>
      <w:tblPr>
        <w:tblStyle w:val="5"/>
        <w:tblW w:w="14218" w:type="dxa"/>
        <w:jc w:val="center"/>
        <w:tblLayout w:type="fixed"/>
        <w:tblCellMar>
          <w:top w:w="0" w:type="dxa"/>
          <w:left w:w="108" w:type="dxa"/>
          <w:bottom w:w="0" w:type="dxa"/>
          <w:right w:w="108" w:type="dxa"/>
        </w:tblCellMar>
      </w:tblPr>
      <w:tblGrid>
        <w:gridCol w:w="495"/>
        <w:gridCol w:w="1425"/>
        <w:gridCol w:w="571"/>
        <w:gridCol w:w="945"/>
        <w:gridCol w:w="1814"/>
        <w:gridCol w:w="1288"/>
        <w:gridCol w:w="1113"/>
        <w:gridCol w:w="1020"/>
        <w:gridCol w:w="1320"/>
        <w:gridCol w:w="1377"/>
        <w:gridCol w:w="900"/>
        <w:gridCol w:w="1113"/>
        <w:gridCol w:w="837"/>
      </w:tblGrid>
      <w:tr>
        <w:tblPrEx>
          <w:tblCellMar>
            <w:top w:w="0" w:type="dxa"/>
            <w:left w:w="108" w:type="dxa"/>
            <w:bottom w:w="0" w:type="dxa"/>
            <w:right w:w="108" w:type="dxa"/>
          </w:tblCellMar>
        </w:tblPrEx>
        <w:trPr>
          <w:trHeight w:val="90" w:hRule="atLeast"/>
          <w:tblHeader/>
          <w:jc w:val="center"/>
        </w:trPr>
        <w:tc>
          <w:tcPr>
            <w:tcW w:w="495" w:type="dxa"/>
            <w:vMerge w:val="restart"/>
            <w:tcBorders>
              <w:top w:val="single" w:color="auto" w:sz="6" w:space="0"/>
              <w:left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b/>
                <w:bCs/>
                <w:color w:val="000000"/>
                <w:sz w:val="22"/>
                <w:szCs w:val="22"/>
                <w:highlight w:val="none"/>
              </w:rPr>
            </w:pPr>
            <w:r>
              <w:rPr>
                <w:rFonts w:hint="default" w:ascii="Times New Roman" w:hAnsi="Times New Roman" w:eastAsia="黑体" w:cs="Times New Roman"/>
                <w:color w:val="000000"/>
                <w:sz w:val="22"/>
                <w:szCs w:val="22"/>
                <w:highlight w:val="none"/>
              </w:rPr>
              <w:t>序号</w:t>
            </w:r>
          </w:p>
        </w:tc>
        <w:tc>
          <w:tcPr>
            <w:tcW w:w="715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地块基本信息</w:t>
            </w:r>
          </w:p>
        </w:tc>
        <w:tc>
          <w:tcPr>
            <w:tcW w:w="5730"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风险管控或修复情况</w:t>
            </w:r>
          </w:p>
        </w:tc>
        <w:tc>
          <w:tcPr>
            <w:tcW w:w="837" w:type="dxa"/>
            <w:vMerge w:val="restart"/>
            <w:tcBorders>
              <w:top w:val="single" w:color="auto" w:sz="6" w:space="0"/>
              <w:left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黑体" w:cs="Times New Roman"/>
                <w:color w:val="000000"/>
                <w:sz w:val="22"/>
                <w:szCs w:val="22"/>
                <w:highlight w:val="none"/>
              </w:rPr>
              <w:t>纳入日期</w:t>
            </w:r>
          </w:p>
        </w:tc>
      </w:tr>
      <w:tr>
        <w:tblPrEx>
          <w:tblCellMar>
            <w:top w:w="0" w:type="dxa"/>
            <w:left w:w="108" w:type="dxa"/>
            <w:bottom w:w="0" w:type="dxa"/>
            <w:right w:w="108" w:type="dxa"/>
          </w:tblCellMar>
        </w:tblPrEx>
        <w:trPr>
          <w:trHeight w:val="860" w:hRule="atLeast"/>
          <w:tblHeader/>
          <w:jc w:val="center"/>
        </w:trPr>
        <w:tc>
          <w:tcPr>
            <w:tcW w:w="495" w:type="dxa"/>
            <w:vMerge w:val="continue"/>
            <w:tcBorders>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b/>
                <w:bCs/>
                <w:color w:val="000000"/>
                <w:sz w:val="22"/>
                <w:szCs w:val="22"/>
                <w:highlight w:val="none"/>
              </w:rPr>
            </w:pP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地块名称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所在市</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详细</w:t>
            </w:r>
          </w:p>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地址</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四至范围</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地块面积（m</w:t>
            </w:r>
            <w:r>
              <w:rPr>
                <w:rFonts w:hint="default" w:ascii="Times New Roman" w:hAnsi="Times New Roman" w:eastAsia="黑体" w:cs="Times New Roman"/>
                <w:color w:val="000000"/>
                <w:sz w:val="22"/>
                <w:szCs w:val="22"/>
                <w:highlight w:val="none"/>
                <w:vertAlign w:val="superscript"/>
              </w:rPr>
              <w:t>2</w:t>
            </w:r>
            <w:r>
              <w:rPr>
                <w:rFonts w:hint="default" w:ascii="Times New Roman" w:hAnsi="Times New Roman" w:eastAsia="黑体" w:cs="Times New Roman"/>
                <w:color w:val="000000"/>
                <w:sz w:val="22"/>
                <w:szCs w:val="22"/>
                <w:highlight w:val="none"/>
              </w:rPr>
              <w:t>）</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土地使用权人</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进展情况/所在阶段</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风险管控或修复目标</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风险管控或修复方案编制单位</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风险管控或修复单位</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风险管控或修复委托人</w:t>
            </w:r>
          </w:p>
        </w:tc>
        <w:tc>
          <w:tcPr>
            <w:tcW w:w="837" w:type="dxa"/>
            <w:vMerge w:val="continue"/>
            <w:tcBorders>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田东县冶炼厂</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百色</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田东县平马镇合恒村那平屯</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rPr>
              <w:t>东侧为农田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南侧为右江</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西侧、北侧为那平屯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61719.69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广西田东工业投资开发有限公司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rPr>
              <w:t>满足一类用地土壤环境质量要求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2023年10月23日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柳州市中色锌品有限责任公司地块（柳州市鹧鸪江路5号地块D号子地块）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柳州市柳北区长塘镇鹧鸪江路5号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lang w:eastAsia="zh-CN"/>
              </w:rPr>
              <w:t>东至柳州恒盛公司北，南至思源路，西至北进路东约 100 米，北至贝永青车辆救援</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59573.62</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柳州市元成供应链有限公司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满足居住</w:t>
            </w:r>
            <w:r>
              <w:rPr>
                <w:rFonts w:hint="eastAsia" w:ascii="Times New Roman" w:hAnsi="Times New Roman" w:eastAsia="仿宋" w:cs="Times New Roman"/>
                <w:color w:val="000000"/>
                <w:sz w:val="22"/>
                <w:szCs w:val="22"/>
                <w:highlight w:val="none"/>
                <w:lang w:val="en-US" w:eastAsia="zh-CN"/>
              </w:rPr>
              <w:t>用地、仓储</w:t>
            </w:r>
            <w:r>
              <w:rPr>
                <w:rFonts w:hint="default" w:ascii="Times New Roman" w:hAnsi="Times New Roman" w:eastAsia="仿宋" w:cs="Times New Roman"/>
                <w:color w:val="000000"/>
                <w:sz w:val="22"/>
                <w:szCs w:val="22"/>
                <w:highlight w:val="none"/>
              </w:rPr>
              <w:t>用地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商业服</w:t>
            </w:r>
          </w:p>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务业用地土壤环境质量要求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柳州市元成供应链有限公司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2023年8月11日</w:t>
            </w:r>
          </w:p>
        </w:tc>
      </w:tr>
      <w:tr>
        <w:tblPrEx>
          <w:tblCellMar>
            <w:top w:w="0" w:type="dxa"/>
            <w:left w:w="108" w:type="dxa"/>
            <w:bottom w:w="0" w:type="dxa"/>
            <w:right w:w="108" w:type="dxa"/>
          </w:tblCellMar>
        </w:tblPrEx>
        <w:trPr>
          <w:trHeight w:val="321"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柳州市鹧鸪江路5号地块E号子地块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柳州市柳北区长塘镇鹧鸪江路5号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rPr>
              <w:t>东至思源路，南至新红卫钢材物流中心，西至新红卫钢材物流中心，北至思源路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25900.87</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柳州市元成供应链有限公司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00" w:lineRule="exact"/>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w:t>
            </w:r>
            <w:r>
              <w:rPr>
                <w:rFonts w:hint="eastAsia" w:ascii="Times New Roman" w:hAnsi="Times New Roman" w:eastAsia="仿宋" w:cs="Times New Roman"/>
                <w:color w:val="000000"/>
                <w:sz w:val="22"/>
                <w:szCs w:val="22"/>
                <w:highlight w:val="none"/>
                <w:lang w:val="en-US" w:eastAsia="zh-CN"/>
              </w:rPr>
              <w:t>仓储</w:t>
            </w:r>
            <w:r>
              <w:rPr>
                <w:rFonts w:hint="default" w:ascii="Times New Roman" w:hAnsi="Times New Roman" w:eastAsia="仿宋" w:cs="Times New Roman"/>
                <w:color w:val="000000"/>
                <w:sz w:val="22"/>
                <w:szCs w:val="22"/>
                <w:highlight w:val="none"/>
              </w:rPr>
              <w:t>用地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商业</w:t>
            </w:r>
            <w:r>
              <w:rPr>
                <w:rFonts w:hint="eastAsia" w:ascii="Times New Roman" w:hAnsi="Times New Roman" w:eastAsia="仿宋" w:cs="Times New Roman"/>
                <w:color w:val="000000"/>
                <w:sz w:val="22"/>
                <w:szCs w:val="22"/>
                <w:highlight w:val="none"/>
                <w:lang w:val="en-US" w:eastAsia="zh-CN"/>
              </w:rPr>
              <w:t>服务业</w:t>
            </w:r>
            <w:r>
              <w:rPr>
                <w:rFonts w:hint="default" w:ascii="Times New Roman" w:hAnsi="Times New Roman" w:eastAsia="仿宋" w:cs="Times New Roman"/>
                <w:color w:val="000000"/>
                <w:sz w:val="22"/>
                <w:szCs w:val="22"/>
                <w:highlight w:val="none"/>
              </w:rPr>
              <w:t>用地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交通运输用地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绿地与开敞空间用地</w:t>
            </w:r>
            <w:r>
              <w:rPr>
                <w:rFonts w:hint="eastAsia" w:ascii="Times New Roman" w:hAnsi="Times New Roman" w:eastAsia="仿宋" w:cs="Times New Roman"/>
                <w:color w:val="000000"/>
                <w:sz w:val="22"/>
                <w:szCs w:val="22"/>
                <w:highlight w:val="none"/>
                <w:lang w:val="en-US" w:eastAsia="zh-CN"/>
              </w:rPr>
              <w:t>土</w:t>
            </w:r>
            <w:r>
              <w:rPr>
                <w:rFonts w:hint="default" w:ascii="Times New Roman" w:hAnsi="Times New Roman" w:eastAsia="仿宋" w:cs="Times New Roman"/>
                <w:color w:val="000000"/>
                <w:sz w:val="22"/>
                <w:szCs w:val="22"/>
                <w:highlight w:val="none"/>
              </w:rPr>
              <w:t>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柳州市元成供应链有限公司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2023年8月11日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柳州市鹧鸪江路5号地块</w:t>
            </w:r>
            <w:r>
              <w:rPr>
                <w:rFonts w:hint="eastAsia" w:ascii="Times New Roman" w:hAnsi="Times New Roman" w:eastAsia="仿宋" w:cs="Times New Roman"/>
                <w:color w:val="000000"/>
                <w:sz w:val="22"/>
                <w:szCs w:val="22"/>
                <w:highlight w:val="none"/>
                <w:lang w:val="en-US" w:eastAsia="zh-CN"/>
              </w:rPr>
              <w:t>F</w:t>
            </w:r>
            <w:r>
              <w:rPr>
                <w:rFonts w:hint="default" w:ascii="Times New Roman" w:hAnsi="Times New Roman" w:eastAsia="仿宋" w:cs="Times New Roman"/>
                <w:color w:val="000000"/>
                <w:sz w:val="22"/>
                <w:szCs w:val="22"/>
                <w:highlight w:val="none"/>
                <w:lang w:val="en-US" w:eastAsia="zh-CN"/>
              </w:rPr>
              <w:t>号子地块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柳州市柳北区长塘镇鹧鸪江路5号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lang w:eastAsia="zh-CN"/>
              </w:rPr>
              <w:t>东至园艺路，南至思源路，西至思源路，北至恒盛公司北面</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36420.26</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柳州市元成供应链有限公司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满足公共管理与公共服务用地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交通运输用地</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柳州市元成供应链有限公司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sz w:val="22"/>
                <w:szCs w:val="22"/>
                <w:highlight w:val="none"/>
                <w:lang w:val="en-US" w:eastAsia="zh-CN"/>
              </w:rPr>
              <w:t>2023年8月11日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宜州市德润冶炼有限责任公司</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河池市宜州区庆远镇叶茂村门楼屯</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eastAsia"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rPr>
              <w:t>东至原机床厂内部道路，南至原机床厂内部道路，西至广西宜州申亚锰业有限责任公司</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北至荒山</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26971.52</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宜州市水泥厂</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w:t>
            </w:r>
            <w:r>
              <w:rPr>
                <w:rFonts w:hint="eastAsia" w:ascii="Times New Roman" w:hAnsi="Times New Roman" w:eastAsia="仿宋" w:cs="Times New Roman"/>
                <w:color w:val="000000"/>
                <w:sz w:val="22"/>
                <w:szCs w:val="22"/>
                <w:highlight w:val="none"/>
                <w:lang w:val="en-US" w:eastAsia="zh-CN"/>
              </w:rPr>
              <w:t>工矿</w:t>
            </w:r>
            <w:r>
              <w:rPr>
                <w:rFonts w:hint="default" w:ascii="Times New Roman" w:hAnsi="Times New Roman" w:eastAsia="仿宋" w:cs="Times New Roman"/>
                <w:color w:val="000000"/>
                <w:sz w:val="22"/>
                <w:szCs w:val="22"/>
                <w:highlight w:val="none"/>
              </w:rPr>
              <w:t>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Times New Roman" w:hAnsi="Times New Roman" w:eastAsia="仿宋" w:cs="Times New Roman"/>
                <w:color w:val="000000"/>
                <w:sz w:val="22"/>
                <w:szCs w:val="22"/>
                <w:highlight w:val="none"/>
                <w:lang w:val="en-US" w:eastAsia="zh-CN"/>
              </w:rPr>
            </w:pPr>
            <w:r>
              <w:rPr>
                <w:rFonts w:hint="eastAsia" w:ascii="Times New Roman" w:hAnsi="Times New Roman" w:eastAsia="仿宋" w:cs="Times New Roman"/>
                <w:color w:val="000000"/>
                <w:sz w:val="22"/>
                <w:szCs w:val="22"/>
                <w:highlight w:val="none"/>
                <w:lang w:val="en-US" w:eastAsia="zh-CN"/>
              </w:rPr>
              <w:t>2023年7月6日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柳州市桂柳路以南滨江路以西B地块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柳州市城中区桂柳路以南500m，滨江路以西300米</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lang w:eastAsia="zh-CN"/>
              </w:rPr>
              <w:t>东至柳州市独静路8号地块，南至柳州市独静路9号地块，西至独静路，北至原环东金属材料有限公司厂区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2282.19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柳州市龙建投资发展有限责任公司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广西柳州晟恒环保科技有限公司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柳州市龙建投资发展有限责任公司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2023年1月12日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柳州华锡铟锡材料有限公司地块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柳州市阳和工业新区古亭大道324号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lang w:eastAsia="zh-CN"/>
              </w:rPr>
              <w:t>地块东至古亭山脉、南至荣兴驾校、西至古亭大道、北至工业厂房和古亭山脉</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136089.4</w:t>
            </w:r>
            <w:r>
              <w:rPr>
                <w:rFonts w:hint="default" w:ascii="Times New Roman" w:hAnsi="Times New Roman" w:eastAsia="仿宋" w:cs="Times New Roman"/>
                <w:color w:val="000000"/>
                <w:sz w:val="22"/>
                <w:szCs w:val="22"/>
                <w:highlight w:val="none"/>
                <w:lang w:val="en-US" w:eastAsia="zh-CN"/>
              </w:rPr>
              <w:t>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广西壮族自治区土地储备中心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广西壮族自治区土地储备中心</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2023年1月12日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贺州市平桂冶炼厂</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贺州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平桂区西湾街道</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东侧至凉亭街，西至电厂南路，南至潇贺大道</w:t>
            </w:r>
            <w:r>
              <w:rPr>
                <w:rFonts w:hint="default"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北侧为安东山</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80809.87</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贺州市平桂城市建设投资有限公司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w:t>
            </w:r>
            <w:r>
              <w:rPr>
                <w:rFonts w:hint="eastAsia" w:ascii="Times New Roman" w:hAnsi="Times New Roman" w:eastAsia="仿宋" w:cs="Times New Roman"/>
                <w:sz w:val="22"/>
                <w:szCs w:val="22"/>
                <w:highlight w:val="none"/>
                <w:lang w:val="en-US" w:eastAsia="zh-CN"/>
              </w:rPr>
              <w:t>实施</w:t>
            </w:r>
            <w:r>
              <w:rPr>
                <w:rFonts w:hint="default" w:ascii="Times New Roman" w:hAnsi="Times New Roman" w:eastAsia="仿宋" w:cs="Times New Roman"/>
                <w:sz w:val="22"/>
                <w:szCs w:val="22"/>
                <w:highlight w:val="none"/>
              </w:rPr>
              <w:t>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满足</w:t>
            </w:r>
            <w:r>
              <w:rPr>
                <w:rFonts w:hint="default" w:ascii="Times New Roman" w:hAnsi="Times New Roman" w:eastAsia="仿宋" w:cs="Times New Roman"/>
                <w:color w:val="000000"/>
                <w:sz w:val="22"/>
                <w:szCs w:val="22"/>
                <w:highlight w:val="none"/>
              </w:rPr>
              <w:t>仓储用地土壤环境质量要求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kern w:val="2"/>
                <w:sz w:val="22"/>
                <w:szCs w:val="22"/>
                <w:highlight w:val="none"/>
                <w:lang w:val="en-US" w:eastAsia="zh-CN" w:bidi="ar-SA"/>
              </w:rPr>
              <w:t>矿冶科技集团有限公司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2022年9月29日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灵山县制革厂地块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钦州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灵山县灵城镇燕子岭新村1号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东：燕子岭新村居民区。南：北灵渠和燕子岭新村居民区。西：山地，后段围墙或坎头边为界。北：山地和灵山消防大队东南面无名小路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25794.46</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灵山县制革厂</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2022年7月1日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10</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广西浦北县振兴皮革有限公司</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钦州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浦北县乐民镇榃渠村</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东面临靠莫村水田；南面临靠社头村水田和莫村居民区；西面临靠莫村水田；北面临靠莫村林地和莫村居民区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16109</w:t>
            </w:r>
            <w:r>
              <w:rPr>
                <w:rFonts w:hint="default"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广西浦北县振兴皮革有限公司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2022年7月1日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11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南丹化肥厂场地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南丹县城关镇小场村</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东至兰海高速南丹出口，西、北面皆为小场地段山地，南面为荒地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30904.00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南丹县人民政府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2022年7月1日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12</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柳州香兰大道西侧（原海川家具市场及周边道路、绿地）一号地块（A2区）</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广西柳州市柳北区香兰大道西侧、柳长路北侧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东至彰泰房地产建筑工地，西至香兰大道A1地块，北至星光社区，南至柳长路、柳长路一区居民区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56821.91</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广西博测检测技术服务有限公司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2022年5月19日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13</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宜州市新洲金属化工有限责任公司地块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广西河池市宜州区叶茂村门楼队</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北至河池市平安机动车驾驶员训练考试中心有限公司科目三考试中心，东至荒山，南至荒山，西至广西宜州市和诚实业有限责任公司</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19413.04</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宜州市水泥厂</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2022年5月19日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广西柳州发电有限责任公司</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柳州市柳北区前锋路4号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A地块东至前锋路三区住宿区，南至前锋路，西至柳州市票证博物馆，北至广西柳州钢铁（集团）公司厂界；B地块东至大都前锋院，南至北祥新居，西至电厂铁路，北至前锋路；C地块东至电厂铁路，南至柳州化学工业集团有限公司，西至前锋路私人住宅，北至前锋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183736.63</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广西柳州发电有限责任公司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满足居住用地、商业服务业用地、绿地与开敞空间用地、工矿用地土壤环境质量要求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广西柳州发电有限责任公司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2022年5月19日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广西有色金属集团河池鑫华冶炼（金冶厂区）</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河池市金城江区城西路71号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东至建设路，西至金光路，南至城西路，北至建设路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50581.57</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中节能中咨环境投资管理有限公司河池分公司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广西威尔森环保科技开发有限公司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河池市金城江区环境应急和固体废物技术中心</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2022年5月8日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河池市佳玉矿冶有限责任公司地块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河池市金城江区五圩镇板銮村那肯屯</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东至河池市金城江区五圩镇新兴选矿厂边界，南至山脚，西至山脚，北至新兴尾矿库边界</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9023.26</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2022年5月6日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17</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河池市金城江区五圩镇新兴选矿厂地块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河池市金城江区五圩镇板銮村那肯屯</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东至恒丰选矿厂运矿道路，南至山脚，西至河池市佳玉矿冶有限责任公司道路边界，北至河池市佳玉矿冶有限责任公司进场大门道路边界</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4350.02</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2022年5月6日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河池市金城江区五圩镇芙兴选矿厂地块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河池市金城江区五圩镇板銮村芙蓉屯</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东至林地，南至林地，西至芙兴尾矿库边界，北至办公室进厂道路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4297.55</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2022年5月6日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河池市双龙冶化有限责任公司地块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河池市金城江区五圩镇板銮村芙蓉屯</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东至进厂道路边界，南至林地边界，西至佳正选矿厂，北至佳正选矿厂进厂道路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2818.83</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2022年5月6日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20</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河池市金鹏矿冶有限责任公司地块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金城江区河池镇河池社区莫乱头</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南侧为河池水电工程处，北侧为河池镇冶炼厂，西侧为河池市信地混凝土有限公司，东侧为木材厂</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14007.50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河池地区水电工程处</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广西桂咨环境评估有限公司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2022年4月8日</w:t>
            </w:r>
          </w:p>
        </w:tc>
      </w:tr>
      <w:tr>
        <w:tblPrEx>
          <w:tblCellMar>
            <w:top w:w="0" w:type="dxa"/>
            <w:left w:w="108" w:type="dxa"/>
            <w:bottom w:w="0" w:type="dxa"/>
            <w:right w:w="108" w:type="dxa"/>
          </w:tblCellMar>
        </w:tblPrEx>
        <w:trPr>
          <w:trHeight w:val="1679"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河池市河池新村选矿厂</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河池市金城江区河池镇新村屯</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东至新村屯，西至农田，南至野马河，北至乔灌木林</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21400.00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广西桂咨环境评估有限公司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2022年4月8日</w:t>
            </w:r>
          </w:p>
        </w:tc>
      </w:tr>
      <w:tr>
        <w:tblPrEx>
          <w:tblCellMar>
            <w:top w:w="0" w:type="dxa"/>
            <w:left w:w="108" w:type="dxa"/>
            <w:bottom w:w="0" w:type="dxa"/>
            <w:right w:w="108" w:type="dxa"/>
          </w:tblCellMar>
        </w:tblPrEx>
        <w:trPr>
          <w:trHeight w:val="166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22</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广西钦州钦锰冶炼有限公司</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钦州市南珠大道高岭</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北至南防铁路及钦防高铁，东至康华饲料厂，南至环城西路，西至荒地和居民区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32258.00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广西钦州钦锰冶炼有限公司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满足公共管理与公共服务用地土壤环境质量要求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2022年3月28日</w:t>
            </w:r>
          </w:p>
        </w:tc>
      </w:tr>
      <w:tr>
        <w:tblPrEx>
          <w:tblCellMar>
            <w:top w:w="0" w:type="dxa"/>
            <w:left w:w="108" w:type="dxa"/>
            <w:bottom w:w="0" w:type="dxa"/>
            <w:right w:w="108" w:type="dxa"/>
          </w:tblCellMar>
        </w:tblPrEx>
        <w:trPr>
          <w:trHeight w:val="1991"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柳州市静兰独凳山片区8号地块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柳州市城中区独静路89号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西至独静路，东至环江滨水大道，南至柳州市静兰独凳山片区9号地块，北至独静路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25693.00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柳州市龙建投资发展有限责任公司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广西莱禾环保科技有限公司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柳州轨道润投置业发展有限公司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2022年2月25日</w:t>
            </w:r>
          </w:p>
        </w:tc>
      </w:tr>
      <w:tr>
        <w:tblPrEx>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柳州市静兰独凳山片区9号地块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柳州市城中区独静路89号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东至环江滨水大道，南至凳山路，西至独静路，北至柳州市静兰独凳山片区8号地块</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35946.49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柳州市龙建投资发展有限责任公司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广西莱禾环保科技有限公司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柳州轨道润投置业发展有限公司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2022年2月25日</w:t>
            </w:r>
          </w:p>
        </w:tc>
      </w:tr>
      <w:tr>
        <w:tblPrEx>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柳州市辉强冶化有限公司地块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柳州市柳江县里雍镇</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北紧邻柳江，南至062县道农田，西至062县道农田，东至062县道林地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24895.79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shd w:val="clear" w:color="FFFFFF" w:fill="D9D9D9"/>
                <w:lang w:val="en-US" w:eastAsia="zh-CN" w:bidi="ar-SA"/>
              </w:rPr>
            </w:pPr>
            <w:r>
              <w:rPr>
                <w:rFonts w:hint="default" w:ascii="Times New Roman" w:hAnsi="Times New Roman" w:eastAsia="仿宋" w:cs="Times New Roman"/>
                <w:color w:val="000000"/>
                <w:sz w:val="22"/>
                <w:szCs w:val="22"/>
                <w:highlight w:val="none"/>
              </w:rPr>
              <w:t>柳州鱼峰区人民政府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南方环境有限公司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中国电建集团贵阳勘测设计研究院有限公司、贵州万通环保工程有限公司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柳州市龙翔建设投资发展集团有限公司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2022年1月13日</w:t>
            </w:r>
          </w:p>
        </w:tc>
      </w:tr>
      <w:tr>
        <w:tblPrEx>
          <w:tblCellMar>
            <w:top w:w="0" w:type="dxa"/>
            <w:left w:w="108" w:type="dxa"/>
            <w:bottom w:w="0" w:type="dxa"/>
            <w:right w:w="108" w:type="dxa"/>
          </w:tblCellMar>
        </w:tblPrEx>
        <w:trPr>
          <w:trHeight w:val="58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中国石油化工集团北海石化原老厂火炬区（NH-01-05）</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北海</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海城区北海大道与成都路交叉口西南侧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东至空地，南至空地，北至空地，西至北海市管道燃气公司用地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12120.60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满足居住用地、交通运输用地土壤环境质量要求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中石化炼化工程（集团）股份有限公司洛阳技术研发中心</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2021年11月30日</w:t>
            </w:r>
          </w:p>
        </w:tc>
      </w:tr>
      <w:tr>
        <w:tblPrEx>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中国石油化工集团北海石化原老厂装置区</w:t>
            </w:r>
            <w:r>
              <w:rPr>
                <w:rFonts w:hint="default" w:ascii="Times New Roman" w:hAnsi="Times New Roman" w:eastAsia="仿宋" w:cs="Times New Roman"/>
                <w:color w:val="000000"/>
                <w:spacing w:val="-11"/>
                <w:sz w:val="22"/>
                <w:szCs w:val="22"/>
                <w:highlight w:val="none"/>
              </w:rPr>
              <w:t>（NH-01-02）</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北海</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海城区北海大道与成都路交叉口西南侧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东至成都路，南至北师大附中及规划路，西至天府路，北至北海大道</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176188.21</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满足居住用地、交通运输用地土壤环境质量要求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中石化炼化工程（集团）股份有限公司洛阳技术研发中心</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2021年11月30日</w:t>
            </w:r>
          </w:p>
        </w:tc>
      </w:tr>
      <w:tr>
        <w:tblPrEx>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独静路89号五宗土地（4号地）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北至独静路89号五宗土地（5号地）南侧，南至独静路89号场地南边界，西至已规划住宅地块，东至独静路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10348.67</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2021年10月27日</w:t>
            </w:r>
          </w:p>
        </w:tc>
      </w:tr>
      <w:tr>
        <w:tblPrEx>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独静路89号五宗土地（5号地）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北至独静路89号五宗土地（3号地）南侧，南至独静路89号五宗土地（4号地）北侧，西至已规划住宅用地，东至独静路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19432.79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广西莱禾环保科技有限公司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柳州轨道润投置业发展有限公司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2021年10月27日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30</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钦州市制革厂</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钦北区八角巷3号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北至钦州市中兴印刷厂，东至</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小骑兵</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饮食店，南至世华汽车修理厂，西至鸿丰家具城</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15448.92</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钦州市制革厂</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2021年9月27日</w:t>
            </w:r>
          </w:p>
        </w:tc>
      </w:tr>
      <w:tr>
        <w:tblPrEx>
          <w:tblCellMar>
            <w:top w:w="0" w:type="dxa"/>
            <w:left w:w="108" w:type="dxa"/>
            <w:bottom w:w="0" w:type="dxa"/>
            <w:right w:w="108" w:type="dxa"/>
          </w:tblCellMar>
        </w:tblPrEx>
        <w:trPr>
          <w:trHeight w:val="31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柳州市龙城化工总厂Ⅰ地块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鱼峰区洛维工业园叶山南路35号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东至原混凝土搅拌站，北至山体，西至山体，南至泉南高速</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194778.00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808080"/>
                <w:kern w:val="2"/>
                <w:sz w:val="22"/>
                <w:szCs w:val="22"/>
                <w:highlight w:val="none"/>
                <w:lang w:val="en-US" w:eastAsia="zh-CN" w:bidi="ar-SA"/>
              </w:rPr>
            </w:pPr>
            <w:r>
              <w:rPr>
                <w:rFonts w:hint="default" w:ascii="Times New Roman" w:hAnsi="Times New Roman" w:eastAsia="仿宋" w:cs="Times New Roman"/>
                <w:sz w:val="22"/>
                <w:szCs w:val="22"/>
                <w:highlight w:val="none"/>
              </w:rPr>
              <w:t>柳州市安居建设投资开发有限公司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广西柳州晟恒环保科技有限公司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广西建工集团第二建筑工程有限责任公司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广西柳州市城市建设投资发展集团有限公司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2021年9月1日</w:t>
            </w:r>
          </w:p>
        </w:tc>
      </w:tr>
      <w:tr>
        <w:tblPrEx>
          <w:tblCellMar>
            <w:top w:w="0" w:type="dxa"/>
            <w:left w:w="108" w:type="dxa"/>
            <w:bottom w:w="0" w:type="dxa"/>
            <w:right w:w="108" w:type="dxa"/>
          </w:tblCellMar>
        </w:tblPrEx>
        <w:trPr>
          <w:trHeight w:val="85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32</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梧州市渝鑫稀贵金属有限公司</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 xml:space="preserve">梧州 </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万秀区塘源路76号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北邻西江，南至梧州市飞卓林产品实业有限公司和塘源路，西邻梧州市联溢化工有限公司，东至塘源村</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70382.00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梧州市万秀区龙湖镇人民政府和粤桂合作特别试验区（梧州）管委会</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广弘厂区满足码头用地、防护绿地、仓储物流用地土壤环境质量要求；翔源厂区满足居住用地土壤环境质量要求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广西天安德环工程咨询有限公司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广西博世科环保科技股份有限公司、湖南省和清环境科技有限公司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梧州市万秀区龙湖镇人民政府</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2021年9月1日</w:t>
            </w:r>
          </w:p>
        </w:tc>
      </w:tr>
      <w:tr>
        <w:tblPrEx>
          <w:tblCellMar>
            <w:top w:w="0" w:type="dxa"/>
            <w:left w:w="108" w:type="dxa"/>
            <w:bottom w:w="0" w:type="dxa"/>
            <w:right w:w="108" w:type="dxa"/>
          </w:tblCellMar>
        </w:tblPrEx>
        <w:trPr>
          <w:trHeight w:val="92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柳州香兰大道西侧（原海川家具市场及周边道路、绿地）一号地块</w:t>
            </w:r>
          </w:p>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（B区）</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柳北区柳长路6号、香兰大道西侧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东至彰泰房地产建筑工地，西至和平驾校，北至星光社区，南至柳长路、柳长路一区居民区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46765.29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满足交通运输用地、绿地与开敞空间用地土壤环境质量要求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广西博测检测技术服务有限公司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中桂海晟（广西）建设工程有限公司</w:t>
            </w:r>
            <w:r>
              <w:rPr>
                <w:rFonts w:hint="eastAsia"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北京市勘察设计研究院有限公司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2021年8月16日</w:t>
            </w:r>
          </w:p>
        </w:tc>
      </w:tr>
      <w:tr>
        <w:tblPrEx>
          <w:tblCellMar>
            <w:top w:w="0" w:type="dxa"/>
            <w:left w:w="108" w:type="dxa"/>
            <w:bottom w:w="0" w:type="dxa"/>
            <w:right w:w="108" w:type="dxa"/>
          </w:tblCellMar>
        </w:tblPrEx>
        <w:trPr>
          <w:trHeight w:val="122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贵港市盛荣三水铝有限公司地块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贵港</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港南区八塘镇江南制造业综合产业园内324国道西侧、工业二路南侧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东至324国道,北至工业二路，西至广西继禹环保科技有限公司，南至无名小路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166667.00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贵港市人民政府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南宁市淇智环保科技有限责任公司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广西奔盛建筑工程有限公司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广西夏特集创家居有限责任公司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2021年6月3日</w:t>
            </w:r>
          </w:p>
        </w:tc>
      </w:tr>
      <w:tr>
        <w:tblPrEx>
          <w:tblCellMar>
            <w:top w:w="0" w:type="dxa"/>
            <w:left w:w="108" w:type="dxa"/>
            <w:bottom w:w="0" w:type="dxa"/>
            <w:right w:w="108" w:type="dxa"/>
          </w:tblCellMar>
        </w:tblPrEx>
        <w:trPr>
          <w:trHeight w:val="72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原岑溪市顺源矿业有限公司选厂地块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岑溪市筋竹镇毕公顶</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地块北至毕公顶板栗种植区，南至筋竹镇变电站，西至新建木材加工厂，东至毕公顶上山道路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7936.60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梧州岑溪市筋竹镇人民政府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w:t>
            </w:r>
            <w:r>
              <w:rPr>
                <w:rFonts w:hint="eastAsia" w:ascii="Times New Roman" w:hAnsi="Times New Roman" w:eastAsia="仿宋" w:cs="Times New Roman"/>
                <w:color w:val="000000"/>
                <w:sz w:val="22"/>
                <w:szCs w:val="22"/>
                <w:highlight w:val="none"/>
                <w:lang w:val="en-US" w:eastAsia="zh-CN"/>
              </w:rPr>
              <w:t>西</w:t>
            </w:r>
            <w:r>
              <w:rPr>
                <w:rFonts w:hint="default" w:ascii="Times New Roman" w:hAnsi="Times New Roman" w:eastAsia="仿宋" w:cs="Times New Roman"/>
                <w:color w:val="000000"/>
                <w:sz w:val="22"/>
                <w:szCs w:val="22"/>
                <w:highlight w:val="none"/>
              </w:rPr>
              <w:t>城建建设集团有限公司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岑溪市国大矿业投资管理有限公司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2021年4月30日</w:t>
            </w:r>
          </w:p>
        </w:tc>
      </w:tr>
      <w:tr>
        <w:tblPrEx>
          <w:tblCellMar>
            <w:top w:w="0" w:type="dxa"/>
            <w:left w:w="108" w:type="dxa"/>
            <w:bottom w:w="0" w:type="dxa"/>
            <w:right w:w="108" w:type="dxa"/>
          </w:tblCellMar>
        </w:tblPrEx>
        <w:trPr>
          <w:trHeight w:val="99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柳州市中铁物流园及周边片区改造项目地块二</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柳南区河西路1号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地块西面、北面和东面被柳州市中铁物流园及周边片区改造项目地块一所包围，南面为居住小区（包括川海碧园和红茂小区）和商铺（包括汽车销售、餐饮和汽车美容等），东南面为柳州市市政设施维护管理处沥青砼拌合站</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40837.00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广西柳州市元信投资有限公司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广西桂寰环保有限公司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柳州荣和美地置业有限责任公司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2021年1月8日</w:t>
            </w:r>
          </w:p>
        </w:tc>
      </w:tr>
      <w:tr>
        <w:tblPrEx>
          <w:tblCellMar>
            <w:top w:w="0" w:type="dxa"/>
            <w:left w:w="108" w:type="dxa"/>
            <w:bottom w:w="0" w:type="dxa"/>
            <w:right w:w="108" w:type="dxa"/>
          </w:tblCellMar>
        </w:tblPrEx>
        <w:trPr>
          <w:trHeight w:val="19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柳州市环东金属材料厂3号地块及南面道路</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北至独静路89号五宗土地（1号地）南侧，南至独静路89号五宗土地（5号地）北侧，西至已规划居住用地，东至柳州莲花山庄</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27430.81</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满足公共服务和公共管理用地土壤环境质量要求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南方环境有限公司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北京中岩大地科技股份有限公司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2020年12月15日</w:t>
            </w:r>
          </w:p>
        </w:tc>
      </w:tr>
      <w:tr>
        <w:tblPrEx>
          <w:tblCellMar>
            <w:top w:w="0" w:type="dxa"/>
            <w:left w:w="108" w:type="dxa"/>
            <w:bottom w:w="0" w:type="dxa"/>
            <w:right w:w="108" w:type="dxa"/>
          </w:tblCellMar>
        </w:tblPrEx>
        <w:trPr>
          <w:trHeight w:val="65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柳州市环东金属材料厂1号地块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北至小马鞍山，南至独静路89号五宗土地（3号地）北侧和山水1号华远岚山公寓住宅区北侧，西至独静路89号五宗土地（2号地）东侧，东至柳州莲花山庄</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49231.88</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0"/>
              </w:numPr>
              <w:ind w:left="0" w:leftChars="0" w:firstLine="0" w:firstLineChars="0"/>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南方环境有限公司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香山红叶建设有限公司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2020年12月15日</w:t>
            </w:r>
          </w:p>
        </w:tc>
      </w:tr>
      <w:tr>
        <w:tblPrEx>
          <w:tblCellMar>
            <w:top w:w="0" w:type="dxa"/>
            <w:left w:w="108" w:type="dxa"/>
            <w:bottom w:w="0" w:type="dxa"/>
            <w:right w:w="108" w:type="dxa"/>
          </w:tblCellMar>
        </w:tblPrEx>
        <w:trPr>
          <w:trHeight w:val="1001"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39</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百色融达铜业有限责任公司地块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百色</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右江区大华路8号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东、南、北等三面与广西蓝星大华化工厂毗邻，西面坡底为百色市工业园区通港大道</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86665.80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百色融达铜业有限责任公司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中国有色桂林矿产地质研究院有限公司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中兰环保科技股份有限公司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百色市工业区管理服务中心</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2020年9月14日</w:t>
            </w:r>
          </w:p>
        </w:tc>
      </w:tr>
      <w:tr>
        <w:tblPrEx>
          <w:tblCellMar>
            <w:top w:w="0" w:type="dxa"/>
            <w:left w:w="108" w:type="dxa"/>
            <w:bottom w:w="0" w:type="dxa"/>
            <w:right w:w="108" w:type="dxa"/>
          </w:tblCellMar>
        </w:tblPrEx>
        <w:trPr>
          <w:trHeight w:val="94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40</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融安县扶贫生态移民搬迁一期工程项目（原柳州长安锌品有限责任公司生产区）</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融安县长安红卫路99号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东至老乡家园小区西至印象融江河堤南至红卫村高岭头土地北至东方上城小区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25956.16</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融安世益房地产开发有限公司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航天凯天环保科技股份有限公司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融安世益房地产开发有限公司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2020年8月12日</w:t>
            </w:r>
          </w:p>
        </w:tc>
      </w:tr>
      <w:tr>
        <w:tblPrEx>
          <w:tblCellMar>
            <w:top w:w="0" w:type="dxa"/>
            <w:left w:w="108" w:type="dxa"/>
            <w:bottom w:w="0" w:type="dxa"/>
            <w:right w:w="108" w:type="dxa"/>
          </w:tblCellMar>
        </w:tblPrEx>
        <w:trPr>
          <w:trHeight w:val="1566"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41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原柳州长安锌品有限责任公司未出让地块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融安县长安红卫路 99号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东至红卫路及融安县长锌安置小区，北至东方上城和千禧小区，西至融江，南至融安县红卫竹木深加工园区和融安县交巡警大队</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44088.70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融安县土地收购储备交易中心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满足公共管理和公共服务用地土壤环境质量要求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北京伦至环境科技有限公司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融安县土地收购储备交易中心</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1616"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42</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柳州空气压缩机总厂退役场地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柳北区北雀路129号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东至怡园新苑，北至柳钢厂区，南至北雀路，西至柳钢单身</w:t>
            </w:r>
          </w:p>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公寓</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278660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广西柳州市文化旅游投资发展集团有限公司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满足公共管理与公共服务用地土壤环境质量要求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北京伦至环境科技有限公司</w:t>
            </w:r>
          </w:p>
          <w:p>
            <w:pPr>
              <w:jc w:val="center"/>
              <w:rPr>
                <w:rFonts w:hint="default" w:ascii="Times New Roman" w:hAnsi="Times New Roman" w:eastAsia="仿宋" w:cs="Times New Roman"/>
                <w:color w:val="000000"/>
                <w:kern w:val="2"/>
                <w:sz w:val="22"/>
                <w:szCs w:val="22"/>
                <w:highlight w:val="none"/>
                <w:lang w:val="en-US" w:eastAsia="zh-CN" w:bidi="ar-SA"/>
              </w:rPr>
            </w:pP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广西柳州市文化旅游投资发展集团有限公司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46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w:t>
            </w:r>
            <w:r>
              <w:rPr>
                <w:rFonts w:hint="default" w:ascii="Times New Roman" w:hAnsi="Times New Roman" w:eastAsia="仿宋" w:cs="Times New Roman"/>
                <w:color w:val="000000"/>
                <w:sz w:val="22"/>
                <w:szCs w:val="22"/>
                <w:highlight w:val="none"/>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原柳州市新兴农场第一化工厂场地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柳江区穿山镇柳石路新兴医药东面约500米白虎山东面山脚下</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地块东北面为白虎山，东南面为林地或甘蔗地，西面和北面为甘蔗地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53333.00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广西农垦新兴农场有限公司（原广西农垦国有新兴农场）</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广西中圳检测技术有限公司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广西农垦新兴农场有限公司（原广西农垦国有新兴农场）</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165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44</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灌阳金鑫有色金属综合回收有限责任公司铅锌有色金属选矿厂场地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桂林</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灌阳县文市镇马莲村002号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西至马莲村村道；东至马莲村农田；南至邬家农田；北至马莲村农田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8600.00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灌阳金鑫有色金属综合回收有限责任公司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中国有色桂林矿产地质研究院有限公司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灌阳县岭海农村投资有限公司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1673"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45</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钟山县原永丰化冶厂同古车间污染场地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钟山县同古镇和平村牛角岭</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东侧紧邻包茂高速，北侧为山坡或小树林，西侧侧为大桥冲水库，南侧为山坡树林</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4331.00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广西咏春新环保科技有限公司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159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46</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钟山县原永丰化冶厂回龙车间场地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钟山县回龙镇牛塘工业区</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东面至军冲水库，北面至军冲水库，西面至706县道，南面至五七砖厂</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38547.00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202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47</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钟山县金易冶炼有限责任公司旧址污染场地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30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钟山县钟山镇西路G323(瑞临线)</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东侧紧邻驾校训练场地，北至323国道，西侧至道贺高速，南侧主要为荒地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37297.59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48</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桂平市福利锰粉厂旧址污染场地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贵港</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桂平市寻旺乡河南村</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东至桂平市选矿厂，西至无名乡村道路，南至无名乡村道路，北至桂平市选矿厂</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5235.90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广西桂平市信美实业投资有限公司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广西桂平市信美实业投资有限公司</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2019年7月29日</w:t>
            </w:r>
          </w:p>
        </w:tc>
      </w:tr>
      <w:tr>
        <w:tblPrEx>
          <w:tblCellMar>
            <w:top w:w="0" w:type="dxa"/>
            <w:left w:w="108" w:type="dxa"/>
            <w:bottom w:w="0" w:type="dxa"/>
            <w:right w:w="108" w:type="dxa"/>
          </w:tblCellMar>
        </w:tblPrEx>
        <w:trPr>
          <w:trHeight w:val="90" w:hRule="atLeast"/>
          <w:jc w:val="center"/>
        </w:trPr>
        <w:tc>
          <w:tcPr>
            <w:tcW w:w="14218" w:type="dxa"/>
            <w:gridSpan w:val="13"/>
            <w:tcBorders>
              <w:top w:val="single" w:color="auto" w:sz="6" w:space="0"/>
              <w:left w:val="nil"/>
              <w:bottom w:val="nil"/>
              <w:right w:val="nil"/>
              <w:tl2br w:val="nil"/>
              <w:tr2bl w:val="nil"/>
            </w:tcBorders>
            <w:noWrap w:val="0"/>
            <w:vAlign w:val="center"/>
          </w:tcPr>
          <w:tbl>
            <w:tblPr>
              <w:tblStyle w:val="5"/>
              <w:tblW w:w="14218" w:type="dxa"/>
              <w:jc w:val="center"/>
              <w:tblLayout w:type="fixed"/>
              <w:tblCellMar>
                <w:top w:w="0" w:type="dxa"/>
                <w:left w:w="108" w:type="dxa"/>
                <w:bottom w:w="0" w:type="dxa"/>
                <w:right w:w="108" w:type="dxa"/>
              </w:tblCellMar>
            </w:tblPr>
            <w:tblGrid>
              <w:gridCol w:w="14218"/>
            </w:tblGrid>
            <w:tr>
              <w:tblPrEx>
                <w:tblCellMar>
                  <w:top w:w="0" w:type="dxa"/>
                  <w:left w:w="108" w:type="dxa"/>
                  <w:bottom w:w="0" w:type="dxa"/>
                  <w:right w:w="108" w:type="dxa"/>
                </w:tblCellMar>
              </w:tblPrEx>
              <w:trPr>
                <w:trHeight w:val="1022" w:hRule="atLeast"/>
                <w:jc w:val="center"/>
              </w:trPr>
              <w:tc>
                <w:tcPr>
                  <w:tcW w:w="14218" w:type="dxa"/>
                  <w:tcBorders>
                    <w:top w:val="nil"/>
                    <w:left w:val="nil"/>
                    <w:bottom w:val="nil"/>
                    <w:right w:val="nil"/>
                    <w:tl2br w:val="nil"/>
                    <w:tr2bl w:val="nil"/>
                  </w:tcBorders>
                  <w:noWrap w:val="0"/>
                  <w:vAlign w:val="center"/>
                </w:tcPr>
                <w:p>
                  <w:pPr>
                    <w:tabs>
                      <w:tab w:val="left" w:pos="3551"/>
                    </w:tabs>
                    <w:jc w:val="left"/>
                    <w:rPr>
                      <w:rFonts w:hint="eastAsia" w:ascii="Times New Roman" w:hAnsi="Times New Roman" w:eastAsia="仿宋" w:cs="Times New Roman"/>
                      <w:color w:val="000000"/>
                      <w:sz w:val="22"/>
                      <w:szCs w:val="22"/>
                      <w:lang w:eastAsia="zh-CN"/>
                    </w:rPr>
                  </w:pPr>
                  <w:r>
                    <w:rPr>
                      <w:rFonts w:hint="default" w:ascii="Times New Roman" w:hAnsi="Times New Roman" w:eastAsia="仿宋" w:cs="Times New Roman"/>
                      <w:b/>
                      <w:bCs/>
                      <w:color w:val="000000"/>
                      <w:sz w:val="24"/>
                      <w:szCs w:val="28"/>
                    </w:rPr>
                    <w:t>备注</w:t>
                  </w:r>
                  <w:r>
                    <w:rPr>
                      <w:rFonts w:hint="default" w:ascii="Times New Roman" w:hAnsi="Times New Roman" w:eastAsia="仿宋" w:cs="Times New Roman"/>
                      <w:color w:val="000000"/>
                      <w:sz w:val="24"/>
                      <w:szCs w:val="28"/>
                    </w:rPr>
                    <w:t>：1.列入建设用地土壤污染风险管控和修复名录的地块，不得作为住宅、公共管理与公共服务用地。2.未达到土壤污染风险评估报告确定的风险管控、修复目标的建设用地地块，禁止开工建设任何与风险管控、修复无关的项目。3.环保举报电话：</w:t>
                  </w:r>
                  <w:r>
                    <w:rPr>
                      <w:rFonts w:hint="default" w:ascii="Times New Roman" w:hAnsi="Times New Roman" w:eastAsia="仿宋" w:cs="Times New Roman"/>
                      <w:color w:val="000000"/>
                      <w:sz w:val="24"/>
                      <w:szCs w:val="28"/>
                      <w:lang w:val="en-US" w:eastAsia="zh-CN"/>
                    </w:rPr>
                    <w:t>12345。</w:t>
                  </w:r>
                </w:p>
              </w:tc>
            </w:tr>
          </w:tbl>
          <w:p>
            <w:pPr>
              <w:jc w:val="center"/>
              <w:rPr>
                <w:rFonts w:hint="default" w:ascii="Times New Roman" w:hAnsi="Times New Roman" w:eastAsia="仿宋" w:cs="Times New Roman"/>
                <w:color w:val="000000"/>
                <w:sz w:val="22"/>
                <w:szCs w:val="22"/>
                <w:highlight w:val="none"/>
              </w:rPr>
            </w:pPr>
          </w:p>
        </w:tc>
      </w:tr>
    </w:tbl>
    <w:p>
      <w:pPr>
        <w:rPr>
          <w:rFonts w:hint="default" w:ascii="Times New Roman" w:hAnsi="Times New Roman" w:cs="Times New Roman"/>
        </w:rPr>
      </w:pPr>
    </w:p>
    <w:sectPr>
      <w:footerReference r:id="rId3" w:type="default"/>
      <w:pgSz w:w="16838" w:h="11906" w:orient="landscape"/>
      <w:pgMar w:top="1440" w:right="1588" w:bottom="1701" w:left="1588" w:header="1134" w:footer="1077"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新宋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Style w:val="7"/>
        <w:rFonts w:eastAsia="仿宋_GB2312"/>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280"/>
                            <w:jc w:val="right"/>
                          </w:pPr>
                          <w:r>
                            <w:rPr>
                              <w:rFonts w:ascii="Times New Roman" w:hAnsi="Times New Roman" w:cs="Times New Roman"/>
                              <w:kern w:val="0"/>
                              <w:sz w:val="28"/>
                              <w:szCs w:val="28"/>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4</w:t>
                          </w:r>
                          <w:r>
                            <w:rPr>
                              <w:rFonts w:ascii="Times New Roman" w:hAnsi="Times New Roman" w:cs="Times New Roman"/>
                              <w:kern w:val="0"/>
                              <w:sz w:val="28"/>
                              <w:szCs w:val="28"/>
                            </w:rPr>
                            <w:fldChar w:fldCharType="end"/>
                          </w:r>
                          <w:r>
                            <w:rPr>
                              <w:rFonts w:ascii="Times New Roman" w:hAnsi="Times New Roman" w:cs="Times New Roman"/>
                              <w:kern w:val="0"/>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YZVh&#10;XhACAAAHBAAADgAAAAAAAAABACAAAAA1AQAAZHJzL2Uyb0RvYy54bWxQSwUGAAAAAAYABgBZAQAA&#10;twUAAAAA&#10;">
              <v:fill on="f" focussize="0,0"/>
              <v:stroke on="f" weight="0.5pt"/>
              <v:imagedata o:title=""/>
              <o:lock v:ext="edit" aspectratio="f"/>
              <v:textbox inset="0mm,0mm,0mm,0mm" style="mso-fit-shape-to-text:t;">
                <w:txbxContent>
                  <w:p>
                    <w:pPr>
                      <w:pStyle w:val="2"/>
                      <w:ind w:right="280"/>
                      <w:jc w:val="right"/>
                    </w:pPr>
                    <w:r>
                      <w:rPr>
                        <w:rFonts w:ascii="Times New Roman" w:hAnsi="Times New Roman" w:cs="Times New Roman"/>
                        <w:kern w:val="0"/>
                        <w:sz w:val="28"/>
                        <w:szCs w:val="28"/>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4</w:t>
                    </w:r>
                    <w:r>
                      <w:rPr>
                        <w:rFonts w:ascii="Times New Roman" w:hAnsi="Times New Roman" w:cs="Times New Roman"/>
                        <w:kern w:val="0"/>
                        <w:sz w:val="28"/>
                        <w:szCs w:val="28"/>
                      </w:rPr>
                      <w:fldChar w:fldCharType="end"/>
                    </w:r>
                    <w:r>
                      <w:rPr>
                        <w:rFonts w:ascii="Times New Roman" w:hAnsi="Times New Roman" w:cs="Times New Roman"/>
                        <w:kern w:val="0"/>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NjgxZTY0MjMxZmMzNTdjZjAxOTQ1ODFjNmFlMjUifQ=="/>
  </w:docVars>
  <w:rsids>
    <w:rsidRoot w:val="4C4C5993"/>
    <w:rsid w:val="000C2703"/>
    <w:rsid w:val="001136EE"/>
    <w:rsid w:val="00156BFC"/>
    <w:rsid w:val="00167A26"/>
    <w:rsid w:val="00175EAB"/>
    <w:rsid w:val="001E0677"/>
    <w:rsid w:val="001E375D"/>
    <w:rsid w:val="00205341"/>
    <w:rsid w:val="00322864"/>
    <w:rsid w:val="003849B7"/>
    <w:rsid w:val="0039321B"/>
    <w:rsid w:val="003C4274"/>
    <w:rsid w:val="003C63CE"/>
    <w:rsid w:val="003E69D1"/>
    <w:rsid w:val="00415A41"/>
    <w:rsid w:val="004212C1"/>
    <w:rsid w:val="00463460"/>
    <w:rsid w:val="004811FC"/>
    <w:rsid w:val="00495DB4"/>
    <w:rsid w:val="004C7E79"/>
    <w:rsid w:val="00641DE5"/>
    <w:rsid w:val="00660AA9"/>
    <w:rsid w:val="00661B6F"/>
    <w:rsid w:val="006B293C"/>
    <w:rsid w:val="006B47D9"/>
    <w:rsid w:val="006E5CEF"/>
    <w:rsid w:val="007039B7"/>
    <w:rsid w:val="00795216"/>
    <w:rsid w:val="007F39B8"/>
    <w:rsid w:val="00860C04"/>
    <w:rsid w:val="00914638"/>
    <w:rsid w:val="009E027F"/>
    <w:rsid w:val="009F6D69"/>
    <w:rsid w:val="00A16F0E"/>
    <w:rsid w:val="00A31D33"/>
    <w:rsid w:val="00AB4DD4"/>
    <w:rsid w:val="00AB7C93"/>
    <w:rsid w:val="00AC29EF"/>
    <w:rsid w:val="00B22794"/>
    <w:rsid w:val="00B3360E"/>
    <w:rsid w:val="00C07A6B"/>
    <w:rsid w:val="00C45F95"/>
    <w:rsid w:val="00C808E6"/>
    <w:rsid w:val="00D068B9"/>
    <w:rsid w:val="00D964EF"/>
    <w:rsid w:val="00E57D0C"/>
    <w:rsid w:val="00EC5BF9"/>
    <w:rsid w:val="00F0267F"/>
    <w:rsid w:val="00F02808"/>
    <w:rsid w:val="00F50A6E"/>
    <w:rsid w:val="00F5437F"/>
    <w:rsid w:val="00FD113A"/>
    <w:rsid w:val="00FD351C"/>
    <w:rsid w:val="00FD4ADB"/>
    <w:rsid w:val="00FF43EC"/>
    <w:rsid w:val="012B64AF"/>
    <w:rsid w:val="015A016E"/>
    <w:rsid w:val="01B841E6"/>
    <w:rsid w:val="023B0973"/>
    <w:rsid w:val="030F5441"/>
    <w:rsid w:val="034B61CA"/>
    <w:rsid w:val="039D1C5F"/>
    <w:rsid w:val="03E72B61"/>
    <w:rsid w:val="049031F8"/>
    <w:rsid w:val="04B52E65"/>
    <w:rsid w:val="04B62D06"/>
    <w:rsid w:val="055916C1"/>
    <w:rsid w:val="05D01263"/>
    <w:rsid w:val="06642B7C"/>
    <w:rsid w:val="06AD65F7"/>
    <w:rsid w:val="071B4B9D"/>
    <w:rsid w:val="08404F36"/>
    <w:rsid w:val="08867400"/>
    <w:rsid w:val="08E04023"/>
    <w:rsid w:val="091837BC"/>
    <w:rsid w:val="091A2D1C"/>
    <w:rsid w:val="09F776AD"/>
    <w:rsid w:val="0A14667A"/>
    <w:rsid w:val="0A340A2C"/>
    <w:rsid w:val="0B3443DF"/>
    <w:rsid w:val="0B391F35"/>
    <w:rsid w:val="0B941820"/>
    <w:rsid w:val="0C092F18"/>
    <w:rsid w:val="0C1C3D10"/>
    <w:rsid w:val="0C391C0F"/>
    <w:rsid w:val="0C415EE7"/>
    <w:rsid w:val="0C720D19"/>
    <w:rsid w:val="0CD901D5"/>
    <w:rsid w:val="0D985538"/>
    <w:rsid w:val="0DCD47D9"/>
    <w:rsid w:val="0E644050"/>
    <w:rsid w:val="0F4A548B"/>
    <w:rsid w:val="0F4D643E"/>
    <w:rsid w:val="0F566DED"/>
    <w:rsid w:val="10160D90"/>
    <w:rsid w:val="10995FA9"/>
    <w:rsid w:val="10D623DD"/>
    <w:rsid w:val="11765B66"/>
    <w:rsid w:val="11C12C43"/>
    <w:rsid w:val="13382562"/>
    <w:rsid w:val="136054A1"/>
    <w:rsid w:val="13FC742F"/>
    <w:rsid w:val="14727A45"/>
    <w:rsid w:val="160F3B36"/>
    <w:rsid w:val="163B5607"/>
    <w:rsid w:val="16CB3BE4"/>
    <w:rsid w:val="171D6DE2"/>
    <w:rsid w:val="175B7696"/>
    <w:rsid w:val="18095344"/>
    <w:rsid w:val="18315148"/>
    <w:rsid w:val="184F03FF"/>
    <w:rsid w:val="18837B71"/>
    <w:rsid w:val="18846779"/>
    <w:rsid w:val="19330603"/>
    <w:rsid w:val="1A2C70C8"/>
    <w:rsid w:val="1A80544A"/>
    <w:rsid w:val="1A917F07"/>
    <w:rsid w:val="1AEC5FE6"/>
    <w:rsid w:val="1AF179FC"/>
    <w:rsid w:val="1BAF6202"/>
    <w:rsid w:val="1BB31DB4"/>
    <w:rsid w:val="1BC83448"/>
    <w:rsid w:val="1BCB46BE"/>
    <w:rsid w:val="1BEA723A"/>
    <w:rsid w:val="1C5D55ED"/>
    <w:rsid w:val="1D9735A2"/>
    <w:rsid w:val="1DD0420E"/>
    <w:rsid w:val="1E4A2212"/>
    <w:rsid w:val="1ED57977"/>
    <w:rsid w:val="1F9A79B8"/>
    <w:rsid w:val="20161D7E"/>
    <w:rsid w:val="206D318D"/>
    <w:rsid w:val="2129610F"/>
    <w:rsid w:val="227521BC"/>
    <w:rsid w:val="23454392"/>
    <w:rsid w:val="23533917"/>
    <w:rsid w:val="23933D0D"/>
    <w:rsid w:val="2393761B"/>
    <w:rsid w:val="24C76CC2"/>
    <w:rsid w:val="25264403"/>
    <w:rsid w:val="25667832"/>
    <w:rsid w:val="268F23F1"/>
    <w:rsid w:val="26A12BEB"/>
    <w:rsid w:val="26E70054"/>
    <w:rsid w:val="27E24F42"/>
    <w:rsid w:val="27E656F2"/>
    <w:rsid w:val="28E079FB"/>
    <w:rsid w:val="2907740F"/>
    <w:rsid w:val="2A58688F"/>
    <w:rsid w:val="2B395AE8"/>
    <w:rsid w:val="2B456BEA"/>
    <w:rsid w:val="2BCC2107"/>
    <w:rsid w:val="2D0E4090"/>
    <w:rsid w:val="2D597D7C"/>
    <w:rsid w:val="2D9B530B"/>
    <w:rsid w:val="2E0C4DEE"/>
    <w:rsid w:val="2E7806D6"/>
    <w:rsid w:val="2E9A4EC7"/>
    <w:rsid w:val="2F6473A1"/>
    <w:rsid w:val="2FAC4ADB"/>
    <w:rsid w:val="2FB839DF"/>
    <w:rsid w:val="2FEC3129"/>
    <w:rsid w:val="303676C7"/>
    <w:rsid w:val="30CA3C57"/>
    <w:rsid w:val="30F23AC9"/>
    <w:rsid w:val="31225E51"/>
    <w:rsid w:val="314C2A51"/>
    <w:rsid w:val="317F6D15"/>
    <w:rsid w:val="3199108F"/>
    <w:rsid w:val="31CA749A"/>
    <w:rsid w:val="31FE5396"/>
    <w:rsid w:val="326A2A2B"/>
    <w:rsid w:val="327317CE"/>
    <w:rsid w:val="32B36180"/>
    <w:rsid w:val="342D0DF4"/>
    <w:rsid w:val="3430661A"/>
    <w:rsid w:val="34C02F66"/>
    <w:rsid w:val="35201905"/>
    <w:rsid w:val="35304C08"/>
    <w:rsid w:val="355E2FA9"/>
    <w:rsid w:val="362627BD"/>
    <w:rsid w:val="37C94735"/>
    <w:rsid w:val="37F87BDD"/>
    <w:rsid w:val="389F7FFB"/>
    <w:rsid w:val="39027305"/>
    <w:rsid w:val="39C600D4"/>
    <w:rsid w:val="3AF21295"/>
    <w:rsid w:val="3B9F2268"/>
    <w:rsid w:val="3BF770DE"/>
    <w:rsid w:val="3D105842"/>
    <w:rsid w:val="3D9A60D2"/>
    <w:rsid w:val="3E602FB4"/>
    <w:rsid w:val="3FD634AE"/>
    <w:rsid w:val="3FFA445B"/>
    <w:rsid w:val="40C12F0B"/>
    <w:rsid w:val="413D6668"/>
    <w:rsid w:val="42295B17"/>
    <w:rsid w:val="4307484E"/>
    <w:rsid w:val="433151F8"/>
    <w:rsid w:val="447A4460"/>
    <w:rsid w:val="44823C05"/>
    <w:rsid w:val="449C3B05"/>
    <w:rsid w:val="44C9538F"/>
    <w:rsid w:val="44F42227"/>
    <w:rsid w:val="458F3751"/>
    <w:rsid w:val="45E9646F"/>
    <w:rsid w:val="461E76FB"/>
    <w:rsid w:val="465D2233"/>
    <w:rsid w:val="4680386C"/>
    <w:rsid w:val="479C489E"/>
    <w:rsid w:val="47B34FB2"/>
    <w:rsid w:val="484336AB"/>
    <w:rsid w:val="48D730C6"/>
    <w:rsid w:val="494B6C56"/>
    <w:rsid w:val="49971F00"/>
    <w:rsid w:val="4BD05255"/>
    <w:rsid w:val="4C307A20"/>
    <w:rsid w:val="4C4C5993"/>
    <w:rsid w:val="4DEB7916"/>
    <w:rsid w:val="4E6313FB"/>
    <w:rsid w:val="4EB15812"/>
    <w:rsid w:val="4ED01871"/>
    <w:rsid w:val="4FE6773D"/>
    <w:rsid w:val="4FEF0C93"/>
    <w:rsid w:val="50B6598C"/>
    <w:rsid w:val="51821F5E"/>
    <w:rsid w:val="51B74937"/>
    <w:rsid w:val="52392A2F"/>
    <w:rsid w:val="52796647"/>
    <w:rsid w:val="536A444E"/>
    <w:rsid w:val="54573D69"/>
    <w:rsid w:val="545E3E01"/>
    <w:rsid w:val="54B9620F"/>
    <w:rsid w:val="550C0C6D"/>
    <w:rsid w:val="554C0043"/>
    <w:rsid w:val="56480E73"/>
    <w:rsid w:val="567D4F03"/>
    <w:rsid w:val="568C6C36"/>
    <w:rsid w:val="569246E8"/>
    <w:rsid w:val="579F7CCF"/>
    <w:rsid w:val="581F559B"/>
    <w:rsid w:val="582B3241"/>
    <w:rsid w:val="58570C1B"/>
    <w:rsid w:val="59185CB0"/>
    <w:rsid w:val="5A5157EB"/>
    <w:rsid w:val="5AF20E4A"/>
    <w:rsid w:val="5B864E83"/>
    <w:rsid w:val="5D0E2871"/>
    <w:rsid w:val="5D4875CB"/>
    <w:rsid w:val="5D504448"/>
    <w:rsid w:val="5DAA34A0"/>
    <w:rsid w:val="5DF30C28"/>
    <w:rsid w:val="5E8048B9"/>
    <w:rsid w:val="5F13397F"/>
    <w:rsid w:val="5F2110DD"/>
    <w:rsid w:val="5FBE38EB"/>
    <w:rsid w:val="61A12121"/>
    <w:rsid w:val="61DA16CF"/>
    <w:rsid w:val="61F47128"/>
    <w:rsid w:val="62673FC2"/>
    <w:rsid w:val="62C76F5B"/>
    <w:rsid w:val="63062F43"/>
    <w:rsid w:val="63626C83"/>
    <w:rsid w:val="63B254CE"/>
    <w:rsid w:val="65250642"/>
    <w:rsid w:val="653A52B9"/>
    <w:rsid w:val="65512BCD"/>
    <w:rsid w:val="655B7E2E"/>
    <w:rsid w:val="65962C14"/>
    <w:rsid w:val="66417ACC"/>
    <w:rsid w:val="66872D50"/>
    <w:rsid w:val="67E46F21"/>
    <w:rsid w:val="68506E82"/>
    <w:rsid w:val="68787D26"/>
    <w:rsid w:val="69073728"/>
    <w:rsid w:val="6A5C267E"/>
    <w:rsid w:val="6A9E7103"/>
    <w:rsid w:val="6AD722E3"/>
    <w:rsid w:val="6B805C8A"/>
    <w:rsid w:val="6CD10BF8"/>
    <w:rsid w:val="6D3035EB"/>
    <w:rsid w:val="6DB34CEB"/>
    <w:rsid w:val="6DF246FE"/>
    <w:rsid w:val="6E0F4C8C"/>
    <w:rsid w:val="6E29423A"/>
    <w:rsid w:val="6E49116B"/>
    <w:rsid w:val="6E802311"/>
    <w:rsid w:val="6ED473B7"/>
    <w:rsid w:val="6EE025C2"/>
    <w:rsid w:val="6EF03395"/>
    <w:rsid w:val="6EFC61DE"/>
    <w:rsid w:val="6F217006"/>
    <w:rsid w:val="6F41633C"/>
    <w:rsid w:val="6F6644BA"/>
    <w:rsid w:val="70280BD1"/>
    <w:rsid w:val="70361D57"/>
    <w:rsid w:val="70735FDC"/>
    <w:rsid w:val="70B36924"/>
    <w:rsid w:val="726A5CB0"/>
    <w:rsid w:val="7361583B"/>
    <w:rsid w:val="74CA6436"/>
    <w:rsid w:val="75407433"/>
    <w:rsid w:val="75C906A6"/>
    <w:rsid w:val="76344AF7"/>
    <w:rsid w:val="7696253A"/>
    <w:rsid w:val="76DB7386"/>
    <w:rsid w:val="76E4028B"/>
    <w:rsid w:val="76E77774"/>
    <w:rsid w:val="76F54524"/>
    <w:rsid w:val="773F310C"/>
    <w:rsid w:val="77CB3B5B"/>
    <w:rsid w:val="78692D80"/>
    <w:rsid w:val="787B0173"/>
    <w:rsid w:val="792D0192"/>
    <w:rsid w:val="793D56E9"/>
    <w:rsid w:val="7A460876"/>
    <w:rsid w:val="7A4822D7"/>
    <w:rsid w:val="7A582B55"/>
    <w:rsid w:val="7A5E1AFB"/>
    <w:rsid w:val="7AA1640E"/>
    <w:rsid w:val="7AB631AF"/>
    <w:rsid w:val="7B22366A"/>
    <w:rsid w:val="7B4861E0"/>
    <w:rsid w:val="7B53600E"/>
    <w:rsid w:val="7BC167E5"/>
    <w:rsid w:val="7C273E90"/>
    <w:rsid w:val="7C921E9D"/>
    <w:rsid w:val="7CA575E0"/>
    <w:rsid w:val="7CA60973"/>
    <w:rsid w:val="7CBD3365"/>
    <w:rsid w:val="7D9408BC"/>
    <w:rsid w:val="7DD10836"/>
    <w:rsid w:val="7E2E654B"/>
    <w:rsid w:val="7E3234A8"/>
    <w:rsid w:val="7EA10BB9"/>
    <w:rsid w:val="7F39079D"/>
    <w:rsid w:val="7F6E0A32"/>
    <w:rsid w:val="7FC23E1A"/>
    <w:rsid w:val="FFFFF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paragraph" w:styleId="3">
    <w:name w:val="annotation text"/>
    <w:basedOn w:val="1"/>
    <w:qFormat/>
    <w:uiPriority w:val="0"/>
    <w:pPr>
      <w:jc w:val="left"/>
    </w:p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ascii="Times New Roman" w:hAnsi="Times New Roman" w:cs="Times New Roman"/>
      <w:sz w:val="28"/>
    </w:rPr>
  </w:style>
  <w:style w:type="paragraph" w:customStyle="1" w:styleId="8">
    <w:name w:val="Default"/>
    <w:qFormat/>
    <w:uiPriority w:val="99"/>
    <w:pPr>
      <w:widowControl w:val="0"/>
      <w:autoSpaceDE w:val="0"/>
      <w:autoSpaceDN w:val="0"/>
      <w:adjustRightInd w:val="0"/>
    </w:pPr>
    <w:rPr>
      <w:rFonts w:ascii="新宋体′...." w:hAnsi="Calibri" w:eastAsia="新宋体′...." w:cs="新宋体′...."/>
      <w:color w:val="000000"/>
      <w:sz w:val="24"/>
      <w:szCs w:val="24"/>
      <w:lang w:val="en-US" w:eastAsia="zh-CN" w:bidi="ar-SA"/>
    </w:rPr>
  </w:style>
  <w:style w:type="paragraph" w:customStyle="1" w:styleId="9">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0">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1">
    <w:name w:val="页眉 字符"/>
    <w:basedOn w:val="6"/>
    <w:link w:val="4"/>
    <w:qFormat/>
    <w:uiPriority w:val="0"/>
    <w:rPr>
      <w:rFonts w:asciiTheme="minorHAnsi" w:hAnsiTheme="minorHAnsi" w:eastAsiaTheme="minorEastAsia" w:cstheme="minorBidi"/>
      <w:kern w:val="2"/>
      <w:sz w:val="18"/>
      <w:szCs w:val="18"/>
    </w:rPr>
  </w:style>
  <w:style w:type="character" w:customStyle="1" w:styleId="12">
    <w:name w:val="font21"/>
    <w:basedOn w:val="6"/>
    <w:qFormat/>
    <w:uiPriority w:val="0"/>
    <w:rPr>
      <w:rFonts w:hint="default" w:ascii="Times New Roman" w:hAnsi="Times New Roman" w:cs="Times New Roman"/>
      <w:color w:val="000000"/>
      <w:sz w:val="22"/>
      <w:szCs w:val="22"/>
      <w:u w:val="none"/>
    </w:rPr>
  </w:style>
  <w:style w:type="character" w:customStyle="1" w:styleId="13">
    <w:name w:val="font11"/>
    <w:basedOn w:val="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8052</Words>
  <Characters>8760</Characters>
  <Lines>62</Lines>
  <Paragraphs>17</Paragraphs>
  <TotalTime>2</TotalTime>
  <ScaleCrop>false</ScaleCrop>
  <LinksUpToDate>false</LinksUpToDate>
  <CharactersWithSpaces>8772</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2022-03-23T11:49:00Z</dcterms:created>
  <dc:creator>lio</dc:creator>
  <cp:lastModifiedBy>方晴</cp:lastModifiedBy>
  <dcterms:modified xsi:type="dcterms:W3CDTF">2023-11-17T15:12:40Z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8926E968E7794ADFB79B6D4D1A3A70A7</vt:lpwstr>
  </property>
</Properties>
</file>