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600" w:lineRule="exact"/>
        <w:jc w:val="left"/>
        <w:rPr>
          <w:rFonts w:hint="eastAsia" w:ascii="黑体" w:hAnsi="黑体" w:eastAsia="黑体" w:cs="黑体"/>
          <w:sz w:val="32"/>
          <w:szCs w:val="32"/>
        </w:rPr>
      </w:pPr>
      <w:r>
        <w:rPr>
          <w:rFonts w:hint="eastAsia" w:ascii="黑体" w:hAnsi="黑体" w:eastAsia="黑体" w:cs="黑体"/>
          <w:sz w:val="32"/>
          <w:szCs w:val="32"/>
        </w:rPr>
        <w:t>附1</w:t>
      </w:r>
    </w:p>
    <w:p>
      <w:pPr>
        <w:tabs>
          <w:tab w:val="left" w:pos="0"/>
        </w:tabs>
        <w:spacing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采购需求</w:t>
      </w:r>
    </w:p>
    <w:tbl>
      <w:tblPr>
        <w:tblStyle w:val="11"/>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rFonts w:eastAsia="宋体"/>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vAlign w:val="center"/>
          </w:tcPr>
          <w:p>
            <w:pPr>
              <w:spacing w:line="300" w:lineRule="exact"/>
              <w:jc w:val="left"/>
              <w:rPr>
                <w:rFonts w:hint="eastAsia" w:eastAsia="宋体"/>
                <w:szCs w:val="21"/>
                <w:lang w:val="en-US" w:eastAsia="zh-CN"/>
              </w:rPr>
            </w:pPr>
            <w:bookmarkStart w:id="0" w:name="_Hlk177659500"/>
            <w:r>
              <w:rPr>
                <w:rFonts w:hint="eastAsia" w:eastAsia="宋体"/>
                <w:szCs w:val="21"/>
                <w:lang w:val="en-US" w:eastAsia="zh-CN"/>
              </w:rPr>
              <w:t>地下水水质监测外业采样服务</w:t>
            </w:r>
          </w:p>
        </w:tc>
        <w:tc>
          <w:tcPr>
            <w:tcW w:w="470" w:type="dxa"/>
            <w:vAlign w:val="center"/>
          </w:tcPr>
          <w:p>
            <w:pPr>
              <w:spacing w:line="300" w:lineRule="exact"/>
              <w:jc w:val="left"/>
              <w:rPr>
                <w:rFonts w:hint="eastAsia" w:eastAsia="宋体"/>
                <w:szCs w:val="21"/>
                <w:lang w:val="en-US" w:eastAsia="zh-CN"/>
              </w:rPr>
            </w:pPr>
            <w:r>
              <w:rPr>
                <w:rFonts w:hint="eastAsia" w:eastAsia="宋体"/>
                <w:szCs w:val="21"/>
                <w:lang w:val="en-US" w:eastAsia="zh-CN"/>
              </w:rPr>
              <w:t>1</w:t>
            </w:r>
          </w:p>
        </w:tc>
        <w:tc>
          <w:tcPr>
            <w:tcW w:w="7307" w:type="dxa"/>
            <w:vAlign w:val="center"/>
          </w:tcPr>
          <w:p>
            <w:pPr>
              <w:spacing w:line="300" w:lineRule="exact"/>
              <w:jc w:val="left"/>
              <w:rPr>
                <w:rFonts w:hint="eastAsia" w:eastAsia="宋体"/>
                <w:szCs w:val="21"/>
                <w:lang w:val="en-US" w:eastAsia="zh-CN"/>
              </w:rPr>
            </w:pPr>
            <w:bookmarkStart w:id="1" w:name="_Hlk177130775"/>
            <w:r>
              <w:rPr>
                <w:rFonts w:hint="eastAsia" w:eastAsia="宋体"/>
                <w:szCs w:val="21"/>
                <w:lang w:val="en-US" w:eastAsia="zh-CN"/>
              </w:rPr>
              <w:t>（一）项目基本概况</w:t>
            </w:r>
          </w:p>
          <w:bookmarkEnd w:id="1"/>
          <w:p>
            <w:pPr>
              <w:spacing w:line="300" w:lineRule="exact"/>
              <w:jc w:val="left"/>
              <w:rPr>
                <w:rFonts w:hint="eastAsia" w:eastAsia="宋体"/>
                <w:szCs w:val="21"/>
                <w:lang w:val="en-US" w:eastAsia="zh-CN"/>
              </w:rPr>
            </w:pPr>
            <w:bookmarkStart w:id="2" w:name="_Hlk177130791"/>
            <w:r>
              <w:rPr>
                <w:rFonts w:hint="eastAsia" w:eastAsia="宋体"/>
                <w:szCs w:val="21"/>
                <w:lang w:val="en-US" w:eastAsia="zh-CN"/>
              </w:rPr>
              <w:t>根据《关于印发“十四五”土壤、地下水和农村生态环境保护规划的通知》（环土壤〔2021〕120号），《关于印发2021年地下水生态环境保护评估工作方案的函》（环办便函〔2021〕290号），《关于印发地下水污染防治实施方案的通知》（环土壤〔2019〕25号）、《广西地下水污染防治“十四五”规划》、《广西壮族自治区人民政府办公厅关于印发广西地下水管理办法的通知》（桂政办发〔2017〕26号）等文件要求，为加强我区地下水管理，障地下水质量和可持续利用，开展自治区控监测网络点位备选点位地下水监测工作。完成全区105个地下水点位样品采集工作。</w:t>
            </w:r>
          </w:p>
          <w:bookmarkEnd w:id="2"/>
          <w:p>
            <w:pPr>
              <w:spacing w:line="300" w:lineRule="exact"/>
              <w:jc w:val="left"/>
              <w:rPr>
                <w:rFonts w:hint="eastAsia" w:eastAsia="宋体"/>
                <w:szCs w:val="21"/>
                <w:lang w:val="en-US" w:eastAsia="zh-CN"/>
              </w:rPr>
            </w:pPr>
            <w:bookmarkStart w:id="3" w:name="_Hlk177659295"/>
            <w:r>
              <w:rPr>
                <w:rFonts w:hint="eastAsia" w:eastAsia="宋体"/>
                <w:szCs w:val="21"/>
                <w:lang w:val="en-US" w:eastAsia="zh-CN"/>
              </w:rPr>
              <w:t>（二）</w:t>
            </w:r>
            <w:bookmarkStart w:id="4" w:name="_Hlk177130801"/>
            <w:r>
              <w:rPr>
                <w:rFonts w:hint="eastAsia" w:eastAsia="宋体"/>
                <w:szCs w:val="21"/>
                <w:lang w:val="en-US" w:eastAsia="zh-CN"/>
              </w:rPr>
              <w:t>工作内容</w:t>
            </w:r>
          </w:p>
          <w:bookmarkEnd w:id="4"/>
          <w:p>
            <w:pPr>
              <w:spacing w:line="300" w:lineRule="exact"/>
              <w:jc w:val="left"/>
              <w:rPr>
                <w:rFonts w:hint="eastAsia" w:eastAsia="宋体"/>
                <w:szCs w:val="21"/>
                <w:lang w:val="en-US" w:eastAsia="zh-CN"/>
              </w:rPr>
            </w:pPr>
            <w:r>
              <w:rPr>
                <w:rFonts w:hint="eastAsia" w:eastAsia="宋体"/>
                <w:szCs w:val="21"/>
                <w:lang w:val="en-US" w:eastAsia="zh-CN"/>
              </w:rPr>
              <w:t>1、供应商完成全区105个地下水点位枯、丰水期样品采集工作，并将采集的每批样品在标准规范要求的保存期限内安全运送到采购人指定样品分析实验室。</w:t>
            </w:r>
          </w:p>
          <w:p>
            <w:pPr>
              <w:spacing w:line="300" w:lineRule="exact"/>
              <w:jc w:val="left"/>
              <w:rPr>
                <w:rFonts w:hint="eastAsia" w:eastAsia="宋体"/>
                <w:szCs w:val="21"/>
                <w:lang w:val="en-US" w:eastAsia="zh-CN"/>
              </w:rPr>
            </w:pPr>
            <w:r>
              <w:rPr>
                <w:rFonts w:hint="eastAsia" w:eastAsia="宋体"/>
                <w:szCs w:val="21"/>
                <w:lang w:val="en-US" w:eastAsia="zh-CN"/>
              </w:rPr>
              <w:t>2、样品采集、保</w:t>
            </w:r>
            <w:r>
              <w:rPr>
                <w:rFonts w:hint="default" w:eastAsia="宋体"/>
                <w:szCs w:val="21"/>
                <w:lang w:val="en-US" w:eastAsia="zh-CN"/>
              </w:rPr>
              <w:t>存和流转按照《地下水环境监测技术规范》（HJ 164-2020）、《地块土壤和地下水中挥发性有机物采样技术导则》（HJ 1019-2019）、《地下水环境监测技术规范》（HJ 164-2020）、《地块土壤和地下水中挥发性有机物采样技术导则》（HJ 1019-2019）、《水质 采样样品的保存和管理技术规定》（HJ 493-2009）、《地下水 环境质量标准》（GB/T 14848-2017）、</w:t>
            </w:r>
          </w:p>
          <w:p>
            <w:pPr>
              <w:spacing w:line="300" w:lineRule="exact"/>
              <w:jc w:val="left"/>
              <w:rPr>
                <w:rFonts w:hint="eastAsia" w:eastAsia="宋体"/>
                <w:szCs w:val="21"/>
                <w:lang w:val="en-US" w:eastAsia="zh-CN"/>
              </w:rPr>
            </w:pPr>
            <w:r>
              <w:rPr>
                <w:rFonts w:hint="eastAsia" w:eastAsia="宋体"/>
                <w:szCs w:val="21"/>
                <w:lang w:val="en-US" w:eastAsia="zh-CN"/>
              </w:rPr>
              <w:t>（三）工作质量控制要求</w:t>
            </w:r>
          </w:p>
          <w:p>
            <w:pPr>
              <w:spacing w:line="300" w:lineRule="exact"/>
              <w:jc w:val="left"/>
              <w:rPr>
                <w:rFonts w:hint="eastAsia" w:eastAsia="宋体"/>
                <w:szCs w:val="21"/>
                <w:lang w:val="en-US" w:eastAsia="zh-CN"/>
              </w:rPr>
            </w:pPr>
            <w:r>
              <w:rPr>
                <w:rFonts w:hint="eastAsia" w:eastAsia="宋体"/>
                <w:szCs w:val="21"/>
                <w:lang w:val="en-US" w:eastAsia="zh-CN"/>
              </w:rPr>
              <w:t>1、供应商需严格按照《广西壮族自治区水环境质量监测质量控制技术方案》等相关标准规范要求开地下水采样质控工作。</w:t>
            </w:r>
          </w:p>
          <w:p>
            <w:pPr>
              <w:spacing w:line="300" w:lineRule="exact"/>
              <w:jc w:val="left"/>
              <w:rPr>
                <w:rFonts w:hint="eastAsia" w:eastAsia="宋体"/>
                <w:szCs w:val="21"/>
                <w:lang w:val="en-US" w:eastAsia="zh-CN"/>
              </w:rPr>
            </w:pPr>
            <w:r>
              <w:rPr>
                <w:rFonts w:hint="eastAsia" w:eastAsia="宋体"/>
                <w:szCs w:val="21"/>
                <w:lang w:val="en-US" w:eastAsia="zh-CN"/>
              </w:rPr>
              <w:t>2、供应商需无条件配合采购方完成所有外部质量控制工作及满足外部质量控制要求。</w:t>
            </w:r>
          </w:p>
          <w:p>
            <w:pPr>
              <w:spacing w:line="300" w:lineRule="exact"/>
              <w:jc w:val="left"/>
              <w:rPr>
                <w:rFonts w:hint="eastAsia" w:eastAsia="宋体"/>
                <w:szCs w:val="21"/>
                <w:lang w:val="en-US" w:eastAsia="zh-CN"/>
              </w:rPr>
            </w:pPr>
            <w:r>
              <w:rPr>
                <w:rFonts w:hint="eastAsia" w:eastAsia="宋体"/>
                <w:szCs w:val="21"/>
                <w:lang w:val="en-US" w:eastAsia="zh-CN"/>
              </w:rPr>
              <w:t>（四）数据资料归属及保管</w:t>
            </w:r>
          </w:p>
          <w:p>
            <w:pPr>
              <w:spacing w:line="300" w:lineRule="exact"/>
              <w:jc w:val="left"/>
              <w:rPr>
                <w:rFonts w:hint="eastAsia" w:eastAsia="宋体"/>
                <w:szCs w:val="21"/>
                <w:lang w:val="en-US" w:eastAsia="zh-CN"/>
              </w:rPr>
            </w:pPr>
            <w:r>
              <w:rPr>
                <w:rFonts w:hint="eastAsia" w:eastAsia="宋体"/>
                <w:szCs w:val="21"/>
                <w:lang w:val="en-US" w:eastAsia="zh-CN"/>
              </w:rPr>
              <w:t>本项目所形成的数据和报告归采购人所有。未经采购人授权，不得将数据和报告发送给任何第三方。</w:t>
            </w:r>
          </w:p>
          <w:p>
            <w:pPr>
              <w:spacing w:line="300" w:lineRule="exact"/>
              <w:jc w:val="left"/>
              <w:rPr>
                <w:rFonts w:hint="eastAsia" w:eastAsia="宋体"/>
                <w:szCs w:val="21"/>
                <w:lang w:val="en-US" w:eastAsia="zh-CN"/>
              </w:rPr>
            </w:pPr>
            <w:r>
              <w:rPr>
                <w:rFonts w:hint="eastAsia" w:eastAsia="宋体"/>
                <w:szCs w:val="21"/>
                <w:lang w:val="en-US" w:eastAsia="zh-CN"/>
              </w:rPr>
              <w:t>（五）项目验收</w:t>
            </w:r>
          </w:p>
          <w:p>
            <w:pPr>
              <w:spacing w:line="300" w:lineRule="exact"/>
              <w:jc w:val="left"/>
              <w:rPr>
                <w:rFonts w:hint="eastAsia" w:eastAsia="宋体"/>
                <w:szCs w:val="21"/>
                <w:lang w:val="en-US" w:eastAsia="zh-CN"/>
              </w:rPr>
            </w:pPr>
            <w:r>
              <w:rPr>
                <w:rFonts w:hint="eastAsia" w:eastAsia="宋体"/>
                <w:szCs w:val="21"/>
                <w:lang w:val="en-US" w:eastAsia="zh-CN"/>
              </w:rPr>
              <w:t>项目验收时间：预计验收时间2024年12月15日，在采购方主体项目完成并通过验收之后，本项目将进入验收阶段。</w:t>
            </w:r>
          </w:p>
          <w:p>
            <w:pPr>
              <w:spacing w:line="300" w:lineRule="exact"/>
              <w:jc w:val="left"/>
              <w:rPr>
                <w:rFonts w:hint="eastAsia" w:eastAsia="宋体"/>
                <w:szCs w:val="21"/>
                <w:lang w:val="en-US" w:eastAsia="zh-CN"/>
              </w:rPr>
            </w:pPr>
            <w:r>
              <w:rPr>
                <w:rFonts w:hint="eastAsia" w:eastAsia="宋体"/>
                <w:szCs w:val="21"/>
                <w:lang w:val="en-US" w:eastAsia="zh-CN"/>
              </w:rPr>
              <w:t>（六）成果提交内容</w:t>
            </w:r>
          </w:p>
          <w:p>
            <w:pPr>
              <w:spacing w:line="300" w:lineRule="exact"/>
              <w:jc w:val="left"/>
              <w:rPr>
                <w:rFonts w:hint="eastAsia" w:eastAsia="宋体"/>
                <w:szCs w:val="21"/>
                <w:lang w:val="en-US" w:eastAsia="zh-CN"/>
              </w:rPr>
            </w:pPr>
            <w:r>
              <w:rPr>
                <w:rFonts w:hint="eastAsia" w:eastAsia="宋体"/>
                <w:szCs w:val="21"/>
                <w:lang w:val="en-US" w:eastAsia="zh-CN"/>
              </w:rPr>
              <w:t>1、采样记录1套。</w:t>
            </w:r>
          </w:p>
          <w:p>
            <w:pPr>
              <w:spacing w:line="300" w:lineRule="exact"/>
              <w:jc w:val="left"/>
              <w:rPr>
                <w:rFonts w:hint="eastAsia" w:eastAsia="宋体"/>
                <w:szCs w:val="21"/>
                <w:lang w:val="en-US" w:eastAsia="zh-CN"/>
              </w:rPr>
            </w:pPr>
            <w:r>
              <w:rPr>
                <w:rFonts w:hint="eastAsia" w:eastAsia="宋体"/>
                <w:szCs w:val="21"/>
                <w:lang w:val="en-US" w:eastAsia="zh-CN"/>
              </w:rPr>
              <w:t>2、样品交接流转记录1套。</w:t>
            </w:r>
            <w:bookmarkEnd w:id="3"/>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1、报价要求</w:t>
            </w:r>
          </w:p>
          <w:p>
            <w:pPr>
              <w:ind w:firstLine="420" w:firstLineChars="200"/>
              <w:rPr>
                <w:szCs w:val="21"/>
              </w:rPr>
            </w:pPr>
            <w:r>
              <w:rPr>
                <w:rFonts w:hint="eastAsia"/>
                <w:szCs w:val="21"/>
              </w:rPr>
              <w:t>（1）</w:t>
            </w:r>
            <w:r>
              <w:rPr>
                <w:rFonts w:hint="eastAsia" w:ascii="宋体" w:hAnsi="宋体" w:cs="宋体"/>
                <w:szCs w:val="21"/>
              </w:rPr>
              <w:t>投标人必须报出总价，且不得超过最高限价。本项目按总包干报价，包括所有服务、技术支持、售后服务、差旅费、劳务费、样品采集、材料费、培训费、验收费、手续费、包装费、运输费、保险费和各项税金、安装费及由于市场价格波动增加的费用，以及不可预见费等全部费用。</w:t>
            </w:r>
          </w:p>
          <w:p>
            <w:pPr>
              <w:ind w:firstLine="420" w:firstLineChars="200"/>
              <w:rPr>
                <w:szCs w:val="21"/>
              </w:rPr>
            </w:pPr>
            <w:r>
              <w:rPr>
                <w:rFonts w:hint="eastAsia"/>
                <w:szCs w:val="21"/>
              </w:rPr>
              <w:t>（2）采购人不再支付成交价格以外的任何费用。</w:t>
            </w:r>
          </w:p>
          <w:p>
            <w:pPr>
              <w:ind w:firstLine="422" w:firstLineChars="200"/>
              <w:rPr>
                <w:b/>
                <w:szCs w:val="21"/>
              </w:rPr>
            </w:pPr>
            <w:r>
              <w:rPr>
                <w:rFonts w:hint="eastAsia"/>
                <w:b/>
                <w:szCs w:val="21"/>
              </w:rPr>
              <w:t>2、项目服务时间及服务地点</w:t>
            </w:r>
          </w:p>
          <w:p>
            <w:pPr>
              <w:ind w:firstLine="420" w:firstLineChars="200"/>
              <w:rPr>
                <w:rFonts w:ascii="Times New Roman" w:hAnsi="Times New Roman" w:cs="Times New Roman"/>
                <w:szCs w:val="21"/>
              </w:rPr>
            </w:pPr>
            <w:r>
              <w:rPr>
                <w:rFonts w:hint="eastAsia"/>
                <w:szCs w:val="21"/>
              </w:rPr>
              <w:t>（1）服务期限：</w:t>
            </w:r>
            <w:r>
              <w:rPr>
                <w:rFonts w:hint="eastAsia" w:ascii="Times New Roman" w:hAnsi="Times New Roman" w:cs="Times New Roman"/>
                <w:szCs w:val="21"/>
              </w:rPr>
              <w:t>自签订合同之日起至202</w:t>
            </w:r>
            <w:r>
              <w:rPr>
                <w:rFonts w:hint="eastAsia" w:ascii="Times New Roman" w:hAnsi="Times New Roman" w:cs="Times New Roman"/>
                <w:szCs w:val="21"/>
                <w:lang w:val="en-US" w:eastAsia="zh-CN"/>
              </w:rPr>
              <w:t>4</w:t>
            </w:r>
            <w:r>
              <w:rPr>
                <w:rFonts w:hint="eastAsia" w:ascii="Times New Roman" w:hAnsi="Times New Roman" w:cs="Times New Roman"/>
                <w:szCs w:val="21"/>
              </w:rPr>
              <w:t>年</w:t>
            </w:r>
            <w:r>
              <w:rPr>
                <w:rFonts w:hint="eastAsia" w:ascii="Times New Roman" w:hAnsi="Times New Roman" w:cs="Times New Roman"/>
                <w:szCs w:val="21"/>
                <w:lang w:val="en-US" w:eastAsia="zh-CN"/>
              </w:rPr>
              <w:t>12</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日前。</w:t>
            </w:r>
          </w:p>
          <w:p>
            <w:pPr>
              <w:ind w:firstLine="420" w:firstLineChars="200"/>
              <w:rPr>
                <w:szCs w:val="21"/>
              </w:rPr>
            </w:pPr>
            <w:r>
              <w:rPr>
                <w:rFonts w:hint="eastAsia"/>
                <w:szCs w:val="21"/>
              </w:rPr>
              <w:t>（2）服务地点：南宁市青秀区教育路5号</w:t>
            </w:r>
          </w:p>
          <w:p>
            <w:pPr>
              <w:ind w:firstLine="422" w:firstLineChars="200"/>
              <w:rPr>
                <w:b/>
                <w:szCs w:val="21"/>
              </w:rPr>
            </w:pPr>
            <w:r>
              <w:rPr>
                <w:rFonts w:hint="eastAsia"/>
                <w:b/>
                <w:szCs w:val="21"/>
              </w:rPr>
              <w:t>3、服务交付时间及交付地点</w:t>
            </w:r>
          </w:p>
          <w:p>
            <w:pPr>
              <w:ind w:firstLine="420" w:firstLineChars="200"/>
              <w:rPr>
                <w:szCs w:val="21"/>
              </w:rPr>
            </w:pPr>
            <w:r>
              <w:rPr>
                <w:rFonts w:hint="eastAsia"/>
                <w:szCs w:val="21"/>
              </w:rPr>
              <w:t>（1）交付时间：</w:t>
            </w:r>
            <w:r>
              <w:rPr>
                <w:rFonts w:hint="eastAsia" w:ascii="Times New Roman" w:hAnsi="Times New Roman" w:cs="Times New Roman"/>
                <w:szCs w:val="21"/>
              </w:rPr>
              <w:t>2024年12月</w:t>
            </w:r>
            <w:bookmarkStart w:id="5" w:name="_GoBack"/>
            <w:bookmarkEnd w:id="5"/>
            <w:r>
              <w:rPr>
                <w:rFonts w:hint="eastAsia" w:ascii="Times New Roman" w:hAnsi="Times New Roman" w:cs="Times New Roman"/>
                <w:szCs w:val="21"/>
                <w:lang w:val="en-US" w:eastAsia="zh-CN"/>
              </w:rPr>
              <w:t>15</w:t>
            </w:r>
            <w:r>
              <w:rPr>
                <w:rFonts w:hint="eastAsia" w:ascii="Times New Roman" w:hAnsi="Times New Roman" w:cs="Times New Roman"/>
                <w:szCs w:val="21"/>
              </w:rPr>
              <w:t>日前。</w:t>
            </w:r>
          </w:p>
          <w:p>
            <w:pPr>
              <w:ind w:firstLine="420" w:firstLineChars="200"/>
              <w:rPr>
                <w:szCs w:val="21"/>
              </w:rPr>
            </w:pPr>
            <w:r>
              <w:rPr>
                <w:rFonts w:hint="eastAsia"/>
                <w:szCs w:val="21"/>
              </w:rPr>
              <w:t>（2）交付地点：南宁市青秀区教育路5号</w:t>
            </w:r>
          </w:p>
          <w:p>
            <w:pPr>
              <w:ind w:firstLine="422" w:firstLineChars="200"/>
              <w:rPr>
                <w:b/>
                <w:szCs w:val="21"/>
              </w:rPr>
            </w:pPr>
            <w:r>
              <w:rPr>
                <w:rFonts w:hint="eastAsia"/>
                <w:b/>
                <w:szCs w:val="21"/>
              </w:rPr>
              <w:t>4、付款条件</w:t>
            </w:r>
          </w:p>
          <w:p>
            <w:pPr>
              <w:ind w:firstLine="420" w:firstLineChars="200"/>
              <w:rPr>
                <w:rFonts w:ascii="Times New Roman" w:hAnsi="Times New Roman" w:cs="Times New Roman"/>
                <w:szCs w:val="21"/>
              </w:rPr>
            </w:pPr>
            <w:r>
              <w:rPr>
                <w:rFonts w:hint="eastAsia" w:ascii="Times New Roman" w:hAnsi="Times New Roman" w:cs="Times New Roman"/>
                <w:szCs w:val="21"/>
              </w:rPr>
              <w:t>本合同签订后5个工作日内采购人向成交人支付合同</w:t>
            </w:r>
            <w:r>
              <w:rPr>
                <w:rFonts w:hint="eastAsia" w:ascii="Times New Roman" w:hAnsi="Times New Roman" w:cs="Times New Roman"/>
                <w:szCs w:val="21"/>
                <w:lang w:val="en-US" w:eastAsia="zh-CN"/>
              </w:rPr>
              <w:t>4</w:t>
            </w:r>
            <w:r>
              <w:rPr>
                <w:rFonts w:hint="eastAsia" w:ascii="Times New Roman" w:hAnsi="Times New Roman" w:cs="Times New Roman"/>
                <w:szCs w:val="21"/>
              </w:rPr>
              <w:t>0%预付款；采购人</w:t>
            </w:r>
            <w:r>
              <w:rPr>
                <w:rFonts w:hint="eastAsia" w:ascii="Times New Roman" w:hAnsi="Times New Roman" w:cs="Times New Roman"/>
                <w:szCs w:val="21"/>
                <w:lang w:eastAsia="zh-CN"/>
              </w:rPr>
              <w:t>完成样品采集工作</w:t>
            </w:r>
            <w:r>
              <w:rPr>
                <w:rFonts w:hint="eastAsia" w:ascii="Times New Roman" w:hAnsi="Times New Roman" w:cs="Times New Roman"/>
                <w:szCs w:val="21"/>
              </w:rPr>
              <w:t>后5个工作日内支付合同</w:t>
            </w:r>
            <w:r>
              <w:rPr>
                <w:rFonts w:hint="eastAsia" w:ascii="Times New Roman" w:hAnsi="Times New Roman" w:cs="Times New Roman"/>
                <w:szCs w:val="21"/>
                <w:lang w:val="en-US" w:eastAsia="zh-CN"/>
              </w:rPr>
              <w:t>5</w:t>
            </w:r>
            <w:r>
              <w:rPr>
                <w:rFonts w:hint="eastAsia" w:ascii="Times New Roman" w:hAnsi="Times New Roman" w:cs="Times New Roman"/>
                <w:szCs w:val="21"/>
              </w:rPr>
              <w:t>0%款项；本合同项目完成最终验收后，支付合同剩余款项。</w:t>
            </w:r>
          </w:p>
          <w:p>
            <w:pPr>
              <w:ind w:firstLine="422" w:firstLineChars="200"/>
              <w:rPr>
                <w:b/>
                <w:bCs/>
                <w:szCs w:val="21"/>
              </w:rPr>
            </w:pPr>
            <w:r>
              <w:rPr>
                <w:rFonts w:hint="eastAsia"/>
                <w:b/>
                <w:bCs/>
                <w:szCs w:val="21"/>
              </w:rPr>
              <w:t>5、其他要求</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（1）提供本项目服务方案包括项目实施方案、项目需求理解</w:t>
            </w:r>
            <w:r>
              <w:rPr>
                <w:rFonts w:hint="eastAsia" w:ascii="Times New Roman" w:hAnsi="Times New Roman" w:cs="Times New Roman"/>
                <w:szCs w:val="21"/>
                <w:lang w:eastAsia="zh-CN"/>
              </w:rPr>
              <w:t>、</w:t>
            </w:r>
            <w:r>
              <w:rPr>
                <w:rFonts w:hint="eastAsia" w:ascii="Times New Roman" w:hAnsi="Times New Roman" w:cs="Times New Roman"/>
                <w:szCs w:val="21"/>
              </w:rPr>
              <w:t>项目质量控制方案</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（2）提供相关业绩证明</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（3）提供项目实施团队证明材料</w:t>
            </w:r>
          </w:p>
          <w:p>
            <w:pPr>
              <w:ind w:firstLine="420" w:firstLineChars="200"/>
              <w:rPr>
                <w:rFonts w:hint="eastAsia" w:ascii="Times New Roman" w:hAnsi="Times New Roman" w:cs="Times New Roman"/>
                <w:szCs w:val="21"/>
              </w:rPr>
            </w:pPr>
            <w:r>
              <w:rPr>
                <w:rFonts w:hint="eastAsia" w:ascii="Times New Roman" w:hAnsi="Times New Roman" w:cs="Times New Roman"/>
                <w:szCs w:val="21"/>
              </w:rPr>
              <w:t>（4）售后服务方案</w:t>
            </w:r>
          </w:p>
          <w:p>
            <w:pPr>
              <w:ind w:firstLine="420" w:firstLineChars="200"/>
              <w:rPr>
                <w:rFonts w:hint="eastAsia"/>
              </w:rPr>
            </w:pPr>
            <w:r>
              <w:rPr>
                <w:rFonts w:hint="eastAsia" w:ascii="Times New Roman" w:hAnsi="Times New Roman" w:cs="Times New Roman"/>
                <w:szCs w:val="21"/>
              </w:rPr>
              <w:t>（5）</w:t>
            </w:r>
            <w:r>
              <w:rPr>
                <w:rFonts w:hint="eastAsia" w:ascii="Times New Roman" w:hAnsi="Times New Roman" w:cs="Times New Roman"/>
                <w:szCs w:val="21"/>
                <w:lang w:eastAsia="zh-CN"/>
              </w:rPr>
              <w:t>本项目</w:t>
            </w:r>
            <w:r>
              <w:rPr>
                <w:rFonts w:hint="eastAsia" w:ascii="Times New Roman" w:hAnsi="Times New Roman" w:cs="Times New Roman"/>
                <w:szCs w:val="21"/>
              </w:rPr>
              <w:t>不能进行二次分包</w:t>
            </w:r>
          </w:p>
        </w:tc>
      </w:tr>
    </w:tbl>
    <w:p>
      <w:pPr>
        <w:ind w:firstLine="4800" w:firstLineChars="1500"/>
        <w:rPr>
          <w:rFonts w:hint="eastAsia"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220D81-5EF9-4C43-9778-FB2BA089D3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DD414BB-22F1-4C21-A21F-ABEA0C01AE91}"/>
  </w:font>
  <w:font w:name="仿宋">
    <w:panose1 w:val="02010609060101010101"/>
    <w:charset w:val="86"/>
    <w:family w:val="modern"/>
    <w:pitch w:val="default"/>
    <w:sig w:usb0="800002BF" w:usb1="38CF7CFA" w:usb2="00000016" w:usb3="00000000" w:csb0="00040001" w:csb1="00000000"/>
    <w:embedRegular r:id="rId3" w:fontKey="{5D5E3D1A-F7A8-48CB-B9E2-CC6FA310F0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12692998"/>
    <w:rsid w:val="0000328F"/>
    <w:rsid w:val="00004E1A"/>
    <w:rsid w:val="0004551F"/>
    <w:rsid w:val="001218E2"/>
    <w:rsid w:val="00137F68"/>
    <w:rsid w:val="0015267C"/>
    <w:rsid w:val="00214E8E"/>
    <w:rsid w:val="00253494"/>
    <w:rsid w:val="00287E60"/>
    <w:rsid w:val="002A1287"/>
    <w:rsid w:val="002B1FE1"/>
    <w:rsid w:val="002F26E3"/>
    <w:rsid w:val="00326B8D"/>
    <w:rsid w:val="00327E5B"/>
    <w:rsid w:val="003507FC"/>
    <w:rsid w:val="0035303F"/>
    <w:rsid w:val="003631F8"/>
    <w:rsid w:val="00375D92"/>
    <w:rsid w:val="00386A27"/>
    <w:rsid w:val="00396FD5"/>
    <w:rsid w:val="003C18C2"/>
    <w:rsid w:val="003E7CAA"/>
    <w:rsid w:val="00412211"/>
    <w:rsid w:val="00491E41"/>
    <w:rsid w:val="004928AC"/>
    <w:rsid w:val="004A04EA"/>
    <w:rsid w:val="004F2334"/>
    <w:rsid w:val="00503AA5"/>
    <w:rsid w:val="00524F10"/>
    <w:rsid w:val="00556A0F"/>
    <w:rsid w:val="005822CB"/>
    <w:rsid w:val="005B52C9"/>
    <w:rsid w:val="005C139B"/>
    <w:rsid w:val="00613A52"/>
    <w:rsid w:val="0063187A"/>
    <w:rsid w:val="00637D28"/>
    <w:rsid w:val="00723A2C"/>
    <w:rsid w:val="007B005E"/>
    <w:rsid w:val="007C6C14"/>
    <w:rsid w:val="007D6C29"/>
    <w:rsid w:val="00811902"/>
    <w:rsid w:val="00812F9A"/>
    <w:rsid w:val="00823358"/>
    <w:rsid w:val="008567B0"/>
    <w:rsid w:val="008A46FE"/>
    <w:rsid w:val="008B4733"/>
    <w:rsid w:val="008B7E8A"/>
    <w:rsid w:val="00916D72"/>
    <w:rsid w:val="00920CFE"/>
    <w:rsid w:val="0094410A"/>
    <w:rsid w:val="00980D3A"/>
    <w:rsid w:val="009A3FD6"/>
    <w:rsid w:val="009C4FD6"/>
    <w:rsid w:val="009C5D59"/>
    <w:rsid w:val="009D21F2"/>
    <w:rsid w:val="00A21CFD"/>
    <w:rsid w:val="00AC4433"/>
    <w:rsid w:val="00AF4138"/>
    <w:rsid w:val="00B14E40"/>
    <w:rsid w:val="00B43D4F"/>
    <w:rsid w:val="00BB2BFC"/>
    <w:rsid w:val="00BF01EF"/>
    <w:rsid w:val="00BF11AD"/>
    <w:rsid w:val="00BF18C6"/>
    <w:rsid w:val="00C06825"/>
    <w:rsid w:val="00C955B4"/>
    <w:rsid w:val="00D10E8F"/>
    <w:rsid w:val="00D747B7"/>
    <w:rsid w:val="00DA2475"/>
    <w:rsid w:val="00DB68FF"/>
    <w:rsid w:val="00E2509F"/>
    <w:rsid w:val="00E723BE"/>
    <w:rsid w:val="00E739FB"/>
    <w:rsid w:val="00EA4180"/>
    <w:rsid w:val="00EF0A93"/>
    <w:rsid w:val="00F03A70"/>
    <w:rsid w:val="00F138BD"/>
    <w:rsid w:val="00F17E56"/>
    <w:rsid w:val="00F51CB6"/>
    <w:rsid w:val="00F755A6"/>
    <w:rsid w:val="00F8042D"/>
    <w:rsid w:val="00F804C0"/>
    <w:rsid w:val="00F94321"/>
    <w:rsid w:val="00FB1A97"/>
    <w:rsid w:val="00FC06DB"/>
    <w:rsid w:val="00FF4C4E"/>
    <w:rsid w:val="012758E4"/>
    <w:rsid w:val="01445627"/>
    <w:rsid w:val="02523383"/>
    <w:rsid w:val="04F57C74"/>
    <w:rsid w:val="069C2283"/>
    <w:rsid w:val="098C3EFF"/>
    <w:rsid w:val="09E00788"/>
    <w:rsid w:val="09FB7E38"/>
    <w:rsid w:val="0A77190A"/>
    <w:rsid w:val="0A7B5651"/>
    <w:rsid w:val="0D172FC3"/>
    <w:rsid w:val="0D204917"/>
    <w:rsid w:val="0DBD025C"/>
    <w:rsid w:val="0DC660CC"/>
    <w:rsid w:val="0E5A52F1"/>
    <w:rsid w:val="0EAA13E0"/>
    <w:rsid w:val="12692998"/>
    <w:rsid w:val="143007F6"/>
    <w:rsid w:val="14F823C5"/>
    <w:rsid w:val="158D362A"/>
    <w:rsid w:val="15A66BAA"/>
    <w:rsid w:val="15FF789B"/>
    <w:rsid w:val="174D022A"/>
    <w:rsid w:val="17B4682F"/>
    <w:rsid w:val="1813765A"/>
    <w:rsid w:val="197B382A"/>
    <w:rsid w:val="1B7127F0"/>
    <w:rsid w:val="1B7B3D05"/>
    <w:rsid w:val="1DDB0E36"/>
    <w:rsid w:val="1DE06944"/>
    <w:rsid w:val="1DFB7B70"/>
    <w:rsid w:val="1E5254AF"/>
    <w:rsid w:val="1F1A1B2E"/>
    <w:rsid w:val="20642B72"/>
    <w:rsid w:val="2096325C"/>
    <w:rsid w:val="210C50C9"/>
    <w:rsid w:val="23C258EE"/>
    <w:rsid w:val="24075E00"/>
    <w:rsid w:val="24AD6339"/>
    <w:rsid w:val="24CD4983"/>
    <w:rsid w:val="25A71CC0"/>
    <w:rsid w:val="28A57344"/>
    <w:rsid w:val="28CD0B93"/>
    <w:rsid w:val="2C241BF7"/>
    <w:rsid w:val="2DD76B52"/>
    <w:rsid w:val="2F476F1C"/>
    <w:rsid w:val="2FCF1B49"/>
    <w:rsid w:val="2FEF5999"/>
    <w:rsid w:val="312C5FF4"/>
    <w:rsid w:val="31B11834"/>
    <w:rsid w:val="33274700"/>
    <w:rsid w:val="332C051B"/>
    <w:rsid w:val="33C70F2A"/>
    <w:rsid w:val="343B076A"/>
    <w:rsid w:val="34734C61"/>
    <w:rsid w:val="355B714D"/>
    <w:rsid w:val="39024D6A"/>
    <w:rsid w:val="3B177E4D"/>
    <w:rsid w:val="3BD83656"/>
    <w:rsid w:val="3CAE44F7"/>
    <w:rsid w:val="3D83204A"/>
    <w:rsid w:val="3F3109AA"/>
    <w:rsid w:val="3F6F3C0A"/>
    <w:rsid w:val="40A82195"/>
    <w:rsid w:val="40B10232"/>
    <w:rsid w:val="420234AD"/>
    <w:rsid w:val="428D06CC"/>
    <w:rsid w:val="44926AA2"/>
    <w:rsid w:val="44BE1258"/>
    <w:rsid w:val="45044DBF"/>
    <w:rsid w:val="45F00825"/>
    <w:rsid w:val="46A05D43"/>
    <w:rsid w:val="496403CA"/>
    <w:rsid w:val="4E760248"/>
    <w:rsid w:val="4EEA1116"/>
    <w:rsid w:val="4F630757"/>
    <w:rsid w:val="53CE4C55"/>
    <w:rsid w:val="5604611D"/>
    <w:rsid w:val="563760F8"/>
    <w:rsid w:val="564D08BA"/>
    <w:rsid w:val="57315F9B"/>
    <w:rsid w:val="57BE05B6"/>
    <w:rsid w:val="58B04F93"/>
    <w:rsid w:val="594312D8"/>
    <w:rsid w:val="59C85FD5"/>
    <w:rsid w:val="59EF7951"/>
    <w:rsid w:val="5A4971E2"/>
    <w:rsid w:val="5A923B5B"/>
    <w:rsid w:val="5AA849A8"/>
    <w:rsid w:val="5B020066"/>
    <w:rsid w:val="5CA505CC"/>
    <w:rsid w:val="5DEC6D32"/>
    <w:rsid w:val="5F206A7A"/>
    <w:rsid w:val="62363D6E"/>
    <w:rsid w:val="62E20FBA"/>
    <w:rsid w:val="6582356A"/>
    <w:rsid w:val="65B77484"/>
    <w:rsid w:val="66C15EAA"/>
    <w:rsid w:val="679A63B5"/>
    <w:rsid w:val="687D1E77"/>
    <w:rsid w:val="68C910C6"/>
    <w:rsid w:val="6B4C27FF"/>
    <w:rsid w:val="6BD47A26"/>
    <w:rsid w:val="6F6777B3"/>
    <w:rsid w:val="6FC312AB"/>
    <w:rsid w:val="70531183"/>
    <w:rsid w:val="705B03F7"/>
    <w:rsid w:val="7067717B"/>
    <w:rsid w:val="70AE7A5F"/>
    <w:rsid w:val="71150A65"/>
    <w:rsid w:val="755A2977"/>
    <w:rsid w:val="78F959F9"/>
    <w:rsid w:val="7931048B"/>
    <w:rsid w:val="7970616D"/>
    <w:rsid w:val="798450B6"/>
    <w:rsid w:val="79D940A8"/>
    <w:rsid w:val="79E368A6"/>
    <w:rsid w:val="79F50870"/>
    <w:rsid w:val="7B9342B7"/>
    <w:rsid w:val="7BDE2536"/>
    <w:rsid w:val="7CF1021D"/>
    <w:rsid w:val="7EB3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eastAsia="宋体" w:cs="Times New Roman"/>
    </w:rPr>
  </w:style>
  <w:style w:type="paragraph" w:styleId="4">
    <w:name w:val="annotation subject"/>
    <w:basedOn w:val="5"/>
    <w:next w:val="5"/>
    <w:link w:val="16"/>
    <w:qFormat/>
    <w:uiPriority w:val="0"/>
    <w:rPr>
      <w:b/>
      <w:bCs/>
    </w:rPr>
  </w:style>
  <w:style w:type="paragraph" w:styleId="5">
    <w:name w:val="annotation text"/>
    <w:basedOn w:val="1"/>
    <w:link w:val="15"/>
    <w:qFormat/>
    <w:uiPriority w:val="0"/>
    <w:pPr>
      <w:jc w:val="left"/>
    </w:pPr>
  </w:style>
  <w:style w:type="paragraph" w:styleId="6">
    <w:name w:val="Plain Text"/>
    <w:basedOn w:val="1"/>
    <w:next w:val="3"/>
    <w:qFormat/>
    <w:uiPriority w:val="99"/>
    <w:rPr>
      <w:rFonts w:ascii="宋体" w:hAnsi="Courier New"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annotation reference"/>
    <w:basedOn w:val="9"/>
    <w:qFormat/>
    <w:uiPriority w:val="0"/>
    <w:rPr>
      <w:sz w:val="21"/>
      <w:szCs w:val="21"/>
    </w:rPr>
  </w:style>
  <w:style w:type="paragraph" w:customStyle="1" w:styleId="1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3">
    <w:name w:val="YHY"/>
    <w:basedOn w:val="1"/>
    <w:qFormat/>
    <w:uiPriority w:val="0"/>
    <w:pPr>
      <w:spacing w:before="156" w:beforeLines="50" w:after="156" w:afterLines="50" w:line="360" w:lineRule="auto"/>
      <w:ind w:firstLine="200" w:firstLineChars="200"/>
    </w:pPr>
    <w:rPr>
      <w:rFonts w:ascii="Times New Roman" w:hAnsi="Times New Roman"/>
    </w:rPr>
  </w:style>
  <w:style w:type="paragraph" w:customStyle="1" w:styleId="14">
    <w:name w:val="列出段落1"/>
    <w:basedOn w:val="1"/>
    <w:qFormat/>
    <w:uiPriority w:val="0"/>
    <w:pPr>
      <w:ind w:firstLine="420" w:firstLineChars="200"/>
    </w:pPr>
  </w:style>
  <w:style w:type="character" w:customStyle="1" w:styleId="15">
    <w:name w:val="批注文字 字符"/>
    <w:basedOn w:val="9"/>
    <w:link w:val="5"/>
    <w:qFormat/>
    <w:uiPriority w:val="0"/>
    <w:rPr>
      <w:kern w:val="2"/>
      <w:sz w:val="21"/>
      <w:szCs w:val="24"/>
    </w:rPr>
  </w:style>
  <w:style w:type="character" w:customStyle="1" w:styleId="16">
    <w:name w:val="批注主题 字符"/>
    <w:basedOn w:val="15"/>
    <w:link w:val="4"/>
    <w:qFormat/>
    <w:uiPriority w:val="0"/>
    <w:rPr>
      <w:b/>
      <w:bCs/>
      <w:kern w:val="2"/>
      <w:sz w:val="21"/>
      <w:szCs w:val="24"/>
    </w:r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qFormat/>
    <w:uiPriority w:val="99"/>
    <w:pPr>
      <w:ind w:firstLine="420" w:firstLineChars="200"/>
    </w:p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FFAD2-4426-4A1E-A55D-30604C523617}">
  <ds:schemaRefs/>
</ds:datastoreItem>
</file>

<file path=docProps/app.xml><?xml version="1.0" encoding="utf-8"?>
<Properties xmlns="http://schemas.openxmlformats.org/officeDocument/2006/extended-properties" xmlns:vt="http://schemas.openxmlformats.org/officeDocument/2006/docPropsVTypes">
  <Template>Normal</Template>
  <Company>广西环科院</Company>
  <Pages>14</Pages>
  <Words>7278</Words>
  <Characters>7780</Characters>
  <Lines>60</Lines>
  <Paragraphs>17</Paragraphs>
  <TotalTime>3</TotalTime>
  <ScaleCrop>false</ScaleCrop>
  <LinksUpToDate>false</LinksUpToDate>
  <CharactersWithSpaces>8109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2024-09-20T08:45:00Z</dcterms:created>
  <dc:creator>李夏</dc:creator>
  <cp:lastModifiedBy>TRC</cp:lastModifiedBy>
  <dcterms:modified xsi:type="dcterms:W3CDTF">2024-10-08T02:49:57Z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A68997FD1A4C4007876BB19851779011_12</vt:lpwstr>
  </property>
</Properties>
</file>