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附5</w:t>
      </w:r>
    </w:p>
    <w:p>
      <w:pPr>
        <w:tabs>
          <w:tab w:val="left" w:pos="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综合评分细则</w:t>
      </w:r>
    </w:p>
    <w:p>
      <w:pPr>
        <w:tabs>
          <w:tab w:val="left" w:pos="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</w:p>
    <w:p>
      <w:pPr>
        <w:spacing w:line="300" w:lineRule="auto"/>
        <w:ind w:firstLine="426" w:firstLineChars="202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一、评审原则</w:t>
      </w:r>
    </w:p>
    <w:p>
      <w:pPr>
        <w:spacing w:line="300" w:lineRule="auto"/>
        <w:ind w:firstLine="424" w:firstLineChars="202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（一）评审小组构成：评审小组由技术评分人员和监督指导人员组成。</w:t>
      </w:r>
    </w:p>
    <w:p>
      <w:pPr>
        <w:spacing w:line="300" w:lineRule="auto"/>
        <w:ind w:firstLine="424" w:firstLineChars="202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1.技术评分人员为三人以上（含三人）单数，由采购部门人员以及党务工作者组成，必要时可请本院其他部门人员参加，也可外聘专家；技术评分人员需对每项逐一打分。</w:t>
      </w:r>
    </w:p>
    <w:p>
      <w:pPr>
        <w:spacing w:line="300" w:lineRule="auto"/>
        <w:ind w:firstLine="424" w:firstLineChars="202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2.监督指导人员为采购专员或党务工作者，对评分过程进行监督指导，不参与打分。</w:t>
      </w:r>
    </w:p>
    <w:p>
      <w:pPr>
        <w:spacing w:line="300" w:lineRule="auto"/>
        <w:ind w:firstLine="424" w:firstLineChars="202"/>
        <w:rPr>
          <w:rFonts w:eastAsia="宋体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（二）评审依据：本评分细则和供应商提交的响应文件。</w:t>
      </w:r>
    </w:p>
    <w:p>
      <w:pPr>
        <w:spacing w:line="300" w:lineRule="auto"/>
        <w:ind w:firstLine="424" w:firstLineChars="202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（三）评审方法：综合评分法。</w:t>
      </w:r>
    </w:p>
    <w:p>
      <w:pPr>
        <w:spacing w:line="300" w:lineRule="auto"/>
        <w:ind w:firstLine="426" w:firstLineChars="202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二、评分标准</w:t>
      </w:r>
    </w:p>
    <w:p>
      <w:pPr>
        <w:spacing w:line="300" w:lineRule="auto"/>
        <w:ind w:firstLine="424" w:firstLineChars="202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供应商提交的报价及资格材料经初核符合要求的进入详评，评审小组将按本评分细则和响应文件为评定依据，采用百分制综合评分法：</w:t>
      </w:r>
    </w:p>
    <w:p>
      <w:pPr>
        <w:spacing w:line="300" w:lineRule="auto"/>
        <w:ind w:firstLine="422" w:firstLineChars="200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（一）价格分…………………………………………………  （满分10分）</w:t>
      </w:r>
    </w:p>
    <w:p>
      <w:pPr>
        <w:spacing w:line="300" w:lineRule="auto"/>
        <w:ind w:firstLine="396" w:firstLineChars="200"/>
        <w:rPr>
          <w:color w:val="auto"/>
          <w:spacing w:val="-6"/>
          <w:szCs w:val="21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某供应商价格分 = 供应商最低报价（金额）/某供应商报价（金额）×价格分值。</w:t>
      </w:r>
    </w:p>
    <w:p>
      <w:pPr>
        <w:spacing w:line="300" w:lineRule="auto"/>
        <w:ind w:firstLine="422" w:firstLineChars="200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（二）技术分……………………………………………………………… （满分63分）</w:t>
      </w:r>
    </w:p>
    <w:p>
      <w:pPr>
        <w:ind w:firstLine="396" w:firstLineChars="200"/>
        <w:rPr>
          <w:color w:val="auto"/>
          <w:spacing w:val="-6"/>
          <w:szCs w:val="21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1.实施方案分（工作大纲）（21分）：</w:t>
      </w:r>
    </w:p>
    <w:p>
      <w:pPr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一档（7分）：整体方案制定了工作阶段安排与工作进度统筹，但项目工作计划和服务思路不够合理；</w:t>
      </w:r>
    </w:p>
    <w:p>
      <w:pPr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二档（14分）：整体方案制定了</w:t>
      </w:r>
      <w:bookmarkStart w:id="0" w:name="_Hlk23707632"/>
      <w:r>
        <w:rPr>
          <w:rFonts w:hint="eastAsia" w:ascii="宋体" w:hAnsi="宋体"/>
          <w:bCs/>
          <w:color w:val="auto"/>
          <w:szCs w:val="21"/>
          <w:highlight w:val="none"/>
        </w:rPr>
        <w:t>工作阶段安排与工作进度统筹，包括</w:t>
      </w:r>
      <w:r>
        <w:rPr>
          <w:rFonts w:hint="eastAsia"/>
          <w:color w:val="auto"/>
          <w:spacing w:val="-6"/>
          <w:szCs w:val="21"/>
          <w:highlight w:val="none"/>
        </w:rPr>
        <w:t>各个阶段的工作任务、时间节点和预期成果，</w:t>
      </w:r>
      <w:r>
        <w:rPr>
          <w:rFonts w:hint="eastAsia" w:ascii="宋体" w:hAnsi="宋体"/>
          <w:bCs/>
          <w:color w:val="auto"/>
          <w:szCs w:val="21"/>
          <w:highlight w:val="none"/>
        </w:rPr>
        <w:t>项目工作计划和服务思路相对合理，但具</w:t>
      </w:r>
      <w:r>
        <w:rPr>
          <w:rFonts w:hint="eastAsia"/>
          <w:color w:val="auto"/>
          <w:spacing w:val="-6"/>
          <w:szCs w:val="21"/>
          <w:highlight w:val="none"/>
        </w:rPr>
        <w:t>体细节和服务思路的深入程度还需要优化</w:t>
      </w:r>
      <w:r>
        <w:rPr>
          <w:rFonts w:hint="eastAsia" w:ascii="宋体" w:hAnsi="宋体"/>
          <w:bCs/>
          <w:color w:val="auto"/>
          <w:szCs w:val="21"/>
          <w:highlight w:val="none"/>
        </w:rPr>
        <w:t>。</w:t>
      </w:r>
      <w:bookmarkStart w:id="2" w:name="_GoBack"/>
      <w:bookmarkEnd w:id="2"/>
    </w:p>
    <w:bookmarkEnd w:id="0"/>
    <w:p>
      <w:pPr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三档（21分）：整体方案制定了工作阶段安排与工作进度统筹，包括</w:t>
      </w:r>
      <w:r>
        <w:rPr>
          <w:rFonts w:hint="eastAsia"/>
          <w:color w:val="auto"/>
          <w:spacing w:val="-6"/>
          <w:szCs w:val="21"/>
          <w:highlight w:val="none"/>
        </w:rPr>
        <w:t>各个阶段的工作任务、时间节点和预期成果，</w:t>
      </w:r>
      <w:r>
        <w:rPr>
          <w:rFonts w:hint="eastAsia" w:ascii="宋体" w:hAnsi="宋体"/>
          <w:bCs/>
          <w:color w:val="auto"/>
          <w:szCs w:val="21"/>
          <w:highlight w:val="none"/>
        </w:rPr>
        <w:t>项目工作计划和服务思路合理，制定了相应的应急响应措施，针对项目特点和需求，提出具有针对性的服务策略，能较有力地确保项目按质按量完成。</w:t>
      </w:r>
    </w:p>
    <w:p>
      <w:pPr>
        <w:spacing w:line="300" w:lineRule="auto"/>
        <w:ind w:firstLine="396" w:firstLineChars="200"/>
        <w:rPr>
          <w:color w:val="auto"/>
          <w:spacing w:val="-6"/>
          <w:szCs w:val="21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2.项目需求理解分（21分）：</w:t>
      </w:r>
    </w:p>
    <w:p>
      <w:pPr>
        <w:ind w:firstLine="396" w:firstLineChars="200"/>
        <w:rPr>
          <w:color w:val="auto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一档（7分）：</w:t>
      </w:r>
      <w:r>
        <w:rPr>
          <w:color w:val="auto"/>
          <w:highlight w:val="none"/>
        </w:rPr>
        <w:t>基本掌握项目内容，</w:t>
      </w:r>
      <w:r>
        <w:rPr>
          <w:rFonts w:hint="eastAsia"/>
          <w:color w:val="auto"/>
          <w:highlight w:val="none"/>
        </w:rPr>
        <w:t>表述内容基本满足要求，但缺乏深度，</w:t>
      </w:r>
      <w:r>
        <w:rPr>
          <w:color w:val="auto"/>
          <w:highlight w:val="none"/>
        </w:rPr>
        <w:t>逻辑</w:t>
      </w:r>
      <w:r>
        <w:rPr>
          <w:rFonts w:hint="eastAsia"/>
          <w:color w:val="auto"/>
          <w:highlight w:val="none"/>
        </w:rPr>
        <w:t>及思路基本满足要求</w:t>
      </w:r>
      <w:r>
        <w:rPr>
          <w:color w:val="auto"/>
          <w:highlight w:val="none"/>
        </w:rPr>
        <w:t>。</w:t>
      </w:r>
    </w:p>
    <w:p>
      <w:pPr>
        <w:ind w:firstLine="396" w:firstLineChars="200"/>
        <w:rPr>
          <w:color w:val="auto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二档（14分）：</w:t>
      </w:r>
      <w:r>
        <w:rPr>
          <w:color w:val="auto"/>
          <w:highlight w:val="none"/>
        </w:rPr>
        <w:t>深入理解项目，表述清晰且流畅，内容较为全面但细节可提升，逻辑</w:t>
      </w:r>
      <w:r>
        <w:rPr>
          <w:rFonts w:hint="eastAsia"/>
          <w:color w:val="auto"/>
          <w:highlight w:val="none"/>
        </w:rPr>
        <w:t>较</w:t>
      </w:r>
      <w:r>
        <w:rPr>
          <w:color w:val="auto"/>
          <w:highlight w:val="none"/>
        </w:rPr>
        <w:t>严谨但偶有跳跃</w:t>
      </w:r>
      <w:r>
        <w:rPr>
          <w:rFonts w:hint="eastAsia"/>
          <w:color w:val="auto"/>
          <w:highlight w:val="none"/>
        </w:rPr>
        <w:t>不连贯</w:t>
      </w:r>
      <w:r>
        <w:rPr>
          <w:color w:val="auto"/>
          <w:highlight w:val="none"/>
        </w:rPr>
        <w:t>，</w:t>
      </w:r>
      <w:r>
        <w:rPr>
          <w:rFonts w:hint="eastAsia"/>
          <w:color w:val="auto"/>
          <w:spacing w:val="-6"/>
          <w:szCs w:val="21"/>
          <w:highlight w:val="none"/>
        </w:rPr>
        <w:t>人员分工较明确，</w:t>
      </w:r>
      <w:r>
        <w:rPr>
          <w:color w:val="auto"/>
          <w:highlight w:val="none"/>
        </w:rPr>
        <w:t>项目管理认识良好但实施需细化。</w:t>
      </w:r>
    </w:p>
    <w:p>
      <w:pPr>
        <w:spacing w:line="300" w:lineRule="auto"/>
        <w:ind w:firstLine="396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三档（21分）：对项目的理解充分、表述清晰、内容完整、逻辑严谨，组织架构完善、人员分工明确、工作流程高效、工作措施保障有力（有相应的应急措施）。</w:t>
      </w:r>
    </w:p>
    <w:p>
      <w:pPr>
        <w:spacing w:line="300" w:lineRule="auto"/>
        <w:ind w:firstLine="420" w:firstLineChars="200"/>
        <w:rPr>
          <w:color w:val="auto"/>
          <w:spacing w:val="-6"/>
          <w:szCs w:val="21"/>
          <w:highlight w:val="none"/>
        </w:rPr>
      </w:pPr>
      <w:r>
        <w:rPr>
          <w:rFonts w:hint="eastAsia" w:hAnsi="宋体"/>
          <w:bCs/>
          <w:color w:val="auto"/>
          <w:highlight w:val="none"/>
        </w:rPr>
        <w:t>3.</w:t>
      </w:r>
      <w:r>
        <w:rPr>
          <w:rFonts w:hAnsi="宋体"/>
          <w:bCs/>
          <w:color w:val="auto"/>
          <w:highlight w:val="none"/>
        </w:rPr>
        <w:t>质控方案分</w:t>
      </w:r>
      <w:r>
        <w:rPr>
          <w:rFonts w:hint="eastAsia"/>
          <w:color w:val="auto"/>
          <w:spacing w:val="-6"/>
          <w:szCs w:val="21"/>
          <w:highlight w:val="none"/>
        </w:rPr>
        <w:t>（21分）：</w:t>
      </w:r>
    </w:p>
    <w:p>
      <w:pPr>
        <w:pStyle w:val="6"/>
        <w:spacing w:line="360" w:lineRule="auto"/>
        <w:ind w:firstLine="420" w:firstLineChars="200"/>
        <w:rPr>
          <w:rFonts w:hint="eastAsia" w:hAnsi="宋体"/>
          <w:bCs/>
          <w:color w:val="auto"/>
          <w:highlight w:val="none"/>
        </w:rPr>
      </w:pPr>
      <w:r>
        <w:rPr>
          <w:rFonts w:hint="eastAsia" w:hAnsi="宋体"/>
          <w:bCs/>
          <w:color w:val="auto"/>
          <w:highlight w:val="none"/>
        </w:rPr>
        <w:t>一档（7</w:t>
      </w:r>
      <w:r>
        <w:rPr>
          <w:rFonts w:hAnsi="宋体"/>
          <w:bCs/>
          <w:color w:val="auto"/>
          <w:highlight w:val="none"/>
        </w:rPr>
        <w:t xml:space="preserve">分）：监测质量措施保障符合检测质量保证技术要求，满足项目需求。 </w:t>
      </w:r>
    </w:p>
    <w:p>
      <w:pPr>
        <w:pStyle w:val="6"/>
        <w:spacing w:line="360" w:lineRule="auto"/>
        <w:ind w:firstLine="420" w:firstLineChars="200"/>
        <w:rPr>
          <w:rFonts w:hint="eastAsia" w:hAnsi="宋体"/>
          <w:bCs/>
          <w:color w:val="auto"/>
          <w:highlight w:val="none"/>
        </w:rPr>
      </w:pPr>
      <w:r>
        <w:rPr>
          <w:rFonts w:hint="eastAsia" w:hAnsi="宋体"/>
          <w:bCs/>
          <w:color w:val="auto"/>
          <w:highlight w:val="none"/>
        </w:rPr>
        <w:t>二档（14</w:t>
      </w:r>
      <w:r>
        <w:rPr>
          <w:rFonts w:hAnsi="宋体"/>
          <w:bCs/>
          <w:color w:val="auto"/>
          <w:highlight w:val="none"/>
        </w:rPr>
        <w:t xml:space="preserve">分）：监测质量措施保障在符合检测质量保证技术要求基础上，针对本项目的特殊性，在分析、数据审核等方面进行把控。 </w:t>
      </w:r>
    </w:p>
    <w:p>
      <w:pPr>
        <w:spacing w:line="300" w:lineRule="auto"/>
        <w:ind w:firstLine="420" w:firstLineChars="200"/>
        <w:rPr>
          <w:color w:val="auto"/>
          <w:spacing w:val="-6"/>
          <w:szCs w:val="21"/>
          <w:highlight w:val="none"/>
        </w:rPr>
      </w:pPr>
      <w:r>
        <w:rPr>
          <w:rFonts w:hint="eastAsia" w:hAnsi="宋体"/>
          <w:bCs/>
          <w:color w:val="auto"/>
          <w:highlight w:val="none"/>
        </w:rPr>
        <w:t>三档（21</w:t>
      </w:r>
      <w:r>
        <w:rPr>
          <w:rFonts w:hAnsi="宋体"/>
          <w:bCs/>
          <w:color w:val="auto"/>
          <w:highlight w:val="none"/>
        </w:rPr>
        <w:t>分）：监测质量措施保障在符合检测质量保证技术要求基础上，针对本项目的特殊性，在分析、数据审核等方面进行全过程质量保证，为本项目执法监测提供科学、准确的数据依据支持。</w:t>
      </w:r>
    </w:p>
    <w:p>
      <w:pPr>
        <w:spacing w:line="300" w:lineRule="auto"/>
        <w:ind w:firstLine="422" w:firstLineChars="200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（三）技术支持分……………………………………………………………… 1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7</w:t>
      </w:r>
      <w:r>
        <w:rPr>
          <w:rFonts w:hint="eastAsia"/>
          <w:b/>
          <w:color w:val="auto"/>
          <w:szCs w:val="21"/>
          <w:highlight w:val="none"/>
        </w:rPr>
        <w:t>分</w:t>
      </w:r>
    </w:p>
    <w:p>
      <w:pPr>
        <w:snapToGrid w:val="0"/>
        <w:spacing w:line="380" w:lineRule="exact"/>
        <w:ind w:firstLine="396" w:firstLineChars="200"/>
        <w:rPr>
          <w:color w:val="auto"/>
          <w:spacing w:val="-6"/>
          <w:szCs w:val="21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1.实验室技术实力（3分）：</w:t>
      </w:r>
    </w:p>
    <w:p>
      <w:pPr>
        <w:snapToGrid w:val="0"/>
        <w:spacing w:line="380" w:lineRule="exact"/>
        <w:ind w:firstLine="424" w:firstLineChars="202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供应商通过质量管理体系认证、环境管理体系认证证书、职业健康安全管理体系的，得1分，缺一项的不得分。</w:t>
      </w:r>
      <w:r>
        <w:rPr>
          <w:rFonts w:hint="eastAsia" w:hAnsi="宋体" w:cs="宋体"/>
          <w:bCs/>
          <w:color w:val="auto"/>
          <w:szCs w:val="21"/>
          <w:highlight w:val="none"/>
        </w:rPr>
        <w:t>此项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满分1分。（供应商须提供清晰有效的认证证书复印件作为计分依据，否则不得分）。</w:t>
      </w:r>
    </w:p>
    <w:p>
      <w:pPr>
        <w:spacing w:line="300" w:lineRule="auto"/>
        <w:ind w:firstLine="396" w:firstLineChars="200"/>
        <w:rPr>
          <w:color w:val="auto"/>
          <w:spacing w:val="-6"/>
          <w:szCs w:val="21"/>
          <w:highlight w:val="none"/>
        </w:rPr>
      </w:pPr>
      <w:r>
        <w:rPr>
          <w:rFonts w:hint="eastAsia"/>
          <w:color w:val="auto"/>
          <w:spacing w:val="-6"/>
          <w:szCs w:val="21"/>
          <w:highlight w:val="none"/>
        </w:rPr>
        <w:t>2.技术团队实力（</w:t>
      </w:r>
      <w:r>
        <w:rPr>
          <w:rFonts w:hint="eastAsia"/>
          <w:color w:val="auto"/>
          <w:spacing w:val="-6"/>
          <w:szCs w:val="21"/>
          <w:highlight w:val="none"/>
          <w:lang w:val="en-US" w:eastAsia="zh-CN"/>
        </w:rPr>
        <w:t>14</w:t>
      </w:r>
      <w:r>
        <w:rPr>
          <w:rFonts w:hint="eastAsia"/>
          <w:color w:val="auto"/>
          <w:spacing w:val="-6"/>
          <w:szCs w:val="21"/>
          <w:highlight w:val="none"/>
        </w:rPr>
        <w:t>分）：</w:t>
      </w:r>
    </w:p>
    <w:p>
      <w:pPr>
        <w:spacing w:line="300" w:lineRule="auto"/>
        <w:ind w:firstLine="420" w:firstLineChars="200"/>
        <w:rPr>
          <w:color w:val="auto"/>
          <w:spacing w:val="-6"/>
          <w:szCs w:val="21"/>
          <w:highlight w:val="none"/>
        </w:rPr>
      </w:pPr>
      <w:r>
        <w:rPr>
          <w:rFonts w:hint="eastAsia" w:ascii="宋体" w:hAnsi="宋体"/>
          <w:iCs/>
          <w:color w:val="auto"/>
          <w:szCs w:val="21"/>
          <w:highlight w:val="none"/>
        </w:rPr>
        <w:t>拟投入项目人员</w:t>
      </w:r>
      <w:r>
        <w:rPr>
          <w:bCs/>
          <w:color w:val="auto"/>
          <w:highlight w:val="none"/>
        </w:rPr>
        <w:t>具有</w:t>
      </w:r>
      <w:r>
        <w:rPr>
          <w:rFonts w:hint="eastAsia" w:ascii="宋体" w:hAnsi="宋体"/>
          <w:iCs/>
          <w:color w:val="auto"/>
          <w:szCs w:val="21"/>
          <w:highlight w:val="none"/>
        </w:rPr>
        <w:t>副高级及以上职称的，每个得</w:t>
      </w:r>
      <w:r>
        <w:rPr>
          <w:rFonts w:hint="eastAsia" w:ascii="宋体" w:hAnsi="宋体"/>
          <w:i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iCs/>
          <w:color w:val="auto"/>
          <w:szCs w:val="21"/>
          <w:highlight w:val="none"/>
        </w:rPr>
        <w:t>分，满分</w:t>
      </w:r>
      <w:r>
        <w:rPr>
          <w:rFonts w:hint="eastAsia" w:ascii="宋体" w:hAnsi="宋体"/>
          <w:iCs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iCs/>
          <w:color w:val="auto"/>
          <w:szCs w:val="21"/>
          <w:highlight w:val="none"/>
        </w:rPr>
        <w:t>分。（提供相关职称证书复印件）。拟投入项目人员具有中级及以上职称的，每个得</w:t>
      </w:r>
      <w:r>
        <w:rPr>
          <w:rFonts w:hint="eastAsia" w:ascii="宋体" w:hAnsi="宋体"/>
          <w:iCs/>
          <w:color w:val="auto"/>
          <w:szCs w:val="21"/>
          <w:highlight w:val="none"/>
          <w:lang w:val="en-US" w:eastAsia="zh-CN"/>
        </w:rPr>
        <w:t>0.5</w:t>
      </w:r>
      <w:r>
        <w:rPr>
          <w:rFonts w:hint="eastAsia" w:ascii="宋体" w:hAnsi="宋体"/>
          <w:iCs/>
          <w:color w:val="auto"/>
          <w:szCs w:val="21"/>
          <w:highlight w:val="none"/>
        </w:rPr>
        <w:t>分，满分</w:t>
      </w:r>
      <w:r>
        <w:rPr>
          <w:rFonts w:hint="eastAsia" w:ascii="宋体" w:hAnsi="宋体"/>
          <w:iCs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iCs/>
          <w:color w:val="auto"/>
          <w:szCs w:val="21"/>
          <w:highlight w:val="none"/>
        </w:rPr>
        <w:t>分。（提供相关职称证书</w:t>
      </w:r>
      <w:bookmarkStart w:id="1" w:name="_Hlk113355602"/>
      <w:r>
        <w:rPr>
          <w:rFonts w:hint="eastAsia" w:ascii="宋体" w:hAnsi="宋体"/>
          <w:iCs/>
          <w:color w:val="auto"/>
          <w:szCs w:val="21"/>
          <w:highlight w:val="none"/>
        </w:rPr>
        <w:t>复印件</w:t>
      </w:r>
      <w:bookmarkEnd w:id="1"/>
      <w:r>
        <w:rPr>
          <w:rFonts w:hint="eastAsia" w:ascii="宋体" w:hAnsi="宋体"/>
          <w:iCs/>
          <w:color w:val="auto"/>
          <w:szCs w:val="21"/>
          <w:highlight w:val="none"/>
        </w:rPr>
        <w:t>）。</w:t>
      </w:r>
    </w:p>
    <w:p>
      <w:pPr>
        <w:spacing w:line="300" w:lineRule="auto"/>
        <w:ind w:firstLine="422" w:firstLineChars="200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（四）商务分……………………………………………………………………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10</w:t>
      </w:r>
      <w:r>
        <w:rPr>
          <w:rFonts w:hint="eastAsia"/>
          <w:b/>
          <w:color w:val="auto"/>
          <w:szCs w:val="21"/>
          <w:highlight w:val="none"/>
        </w:rPr>
        <w:t xml:space="preserve"> 分</w:t>
      </w:r>
    </w:p>
    <w:p>
      <w:pPr>
        <w:spacing w:line="300" w:lineRule="auto"/>
        <w:ind w:firstLine="420" w:firstLineChars="200"/>
        <w:rPr>
          <w:rFonts w:hint="eastAsia" w:hAnsi="宋体"/>
          <w:bCs/>
          <w:color w:val="auto"/>
          <w:szCs w:val="21"/>
          <w:highlight w:val="none"/>
        </w:rPr>
      </w:pPr>
      <w:r>
        <w:rPr>
          <w:rFonts w:hint="eastAsia" w:hAnsi="宋体"/>
          <w:bCs/>
          <w:color w:val="auto"/>
          <w:szCs w:val="21"/>
          <w:highlight w:val="none"/>
        </w:rPr>
        <w:t>工作业绩分（10分）</w:t>
      </w:r>
    </w:p>
    <w:p>
      <w:pPr>
        <w:spacing w:line="300" w:lineRule="auto"/>
        <w:ind w:firstLine="420" w:firstLineChars="200"/>
        <w:rPr>
          <w:rFonts w:hint="eastAsia" w:hAnsi="宋体"/>
          <w:bCs/>
          <w:color w:val="auto"/>
          <w:szCs w:val="21"/>
          <w:highlight w:val="none"/>
        </w:rPr>
      </w:pPr>
      <w:r>
        <w:rPr>
          <w:rFonts w:hint="eastAsia" w:hAnsi="宋体"/>
          <w:bCs/>
          <w:color w:val="auto"/>
          <w:szCs w:val="21"/>
          <w:highlight w:val="none"/>
        </w:rPr>
        <w:t>供应商自 20</w:t>
      </w:r>
      <w:r>
        <w:rPr>
          <w:rFonts w:hint="eastAsia" w:hAnsi="宋体"/>
          <w:bCs/>
          <w:color w:val="auto"/>
          <w:szCs w:val="21"/>
          <w:highlight w:val="none"/>
          <w:lang w:val="en-US" w:eastAsia="zh-CN"/>
        </w:rPr>
        <w:t>18</w:t>
      </w:r>
      <w:r>
        <w:rPr>
          <w:rFonts w:hint="eastAsia" w:hAnsi="宋体"/>
          <w:bCs/>
          <w:color w:val="auto"/>
          <w:szCs w:val="21"/>
          <w:highlight w:val="none"/>
        </w:rPr>
        <w:t>年 1 月 1 日以来，承担过</w:t>
      </w:r>
      <w:r>
        <w:rPr>
          <w:rFonts w:hint="eastAsia" w:hAnsi="宋体"/>
          <w:bCs/>
          <w:color w:val="auto"/>
          <w:szCs w:val="21"/>
          <w:highlight w:val="none"/>
          <w:lang w:eastAsia="zh-CN"/>
        </w:rPr>
        <w:t>环境监测采样</w:t>
      </w:r>
      <w:r>
        <w:rPr>
          <w:rFonts w:hint="eastAsia" w:hAnsi="宋体"/>
          <w:bCs/>
          <w:color w:val="auto"/>
          <w:szCs w:val="21"/>
          <w:highlight w:val="none"/>
          <w:lang w:val="en-US" w:eastAsia="zh-CN"/>
        </w:rPr>
        <w:t>等相关工作业绩</w:t>
      </w:r>
      <w:r>
        <w:rPr>
          <w:rFonts w:hint="eastAsia" w:hAnsi="宋体"/>
          <w:bCs/>
          <w:color w:val="auto"/>
          <w:szCs w:val="21"/>
          <w:highlight w:val="none"/>
        </w:rPr>
        <w:t>，每个项目得 2 分，满分10分。（以提供成交通知书或合同复印件证明资料为准注：项目以成交通知书或合同复印件并加盖供应商公章为准，未提供证明材料的不得分。）</w:t>
      </w:r>
    </w:p>
    <w:p>
      <w:pPr>
        <w:spacing w:line="300" w:lineRule="auto"/>
        <w:ind w:firstLine="384"/>
        <w:rPr>
          <w:b/>
          <w:bCs/>
          <w:spacing w:val="-6"/>
          <w:szCs w:val="21"/>
        </w:rPr>
      </w:pPr>
      <w:r>
        <w:rPr>
          <w:rFonts w:hint="eastAsia"/>
          <w:b/>
          <w:bCs/>
          <w:spacing w:val="-6"/>
          <w:szCs w:val="21"/>
        </w:rPr>
        <w:t>总分值=（一）+（二）+（三）+（四）</w:t>
      </w:r>
    </w:p>
    <w:p>
      <w:pPr>
        <w:spacing w:line="300" w:lineRule="auto"/>
        <w:ind w:firstLine="384"/>
        <w:rPr>
          <w:spacing w:val="-6"/>
          <w:szCs w:val="21"/>
        </w:rPr>
      </w:pPr>
    </w:p>
    <w:p>
      <w:pPr>
        <w:spacing w:line="300" w:lineRule="auto"/>
        <w:ind w:firstLine="426" w:firstLineChars="202"/>
        <w:rPr>
          <w:b/>
          <w:szCs w:val="21"/>
        </w:rPr>
      </w:pPr>
      <w:r>
        <w:rPr>
          <w:rFonts w:hint="eastAsia"/>
          <w:b/>
          <w:szCs w:val="21"/>
        </w:rPr>
        <w:t>三、评审结果</w:t>
      </w:r>
    </w:p>
    <w:p>
      <w:pPr>
        <w:ind w:firstLine="420" w:firstLineChars="200"/>
      </w:pPr>
      <w:r>
        <w:rPr>
          <w:rFonts w:hint="eastAsia"/>
          <w:szCs w:val="21"/>
        </w:rPr>
        <w:t>根据供应商提交的材料进行综合评分，按照得分由高到低顺序得出成交供应商名单，评审得分最高者为成交供应商。评审得分相同的，按报价由低到高排序，评审得分相同且报价也相同的，按技术指标优劣排序。排序第一的供应商为成交供应商。如成交供应商因不可抗力提出不能履行合同，顺位选择第二排名的供应商，以此类推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C0DDCF-005C-4F45-93F7-A48BDDEF40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C485453-6328-4577-87AB-DBB1E021CE44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1C24B2A-6FEA-4B7A-BDC3-0BB5FC6059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YTMxNWEyZjZhYjU3NDQ5OWY0Njk5NTZjOTA0NTMifQ=="/>
  </w:docVars>
  <w:rsids>
    <w:rsidRoot w:val="12692998"/>
    <w:rsid w:val="0000328F"/>
    <w:rsid w:val="00004E1A"/>
    <w:rsid w:val="0004551F"/>
    <w:rsid w:val="001218E2"/>
    <w:rsid w:val="00137F68"/>
    <w:rsid w:val="0015267C"/>
    <w:rsid w:val="00214E8E"/>
    <w:rsid w:val="00253494"/>
    <w:rsid w:val="00287E60"/>
    <w:rsid w:val="002A1287"/>
    <w:rsid w:val="002B1FE1"/>
    <w:rsid w:val="002F26E3"/>
    <w:rsid w:val="00326B8D"/>
    <w:rsid w:val="00327E5B"/>
    <w:rsid w:val="003507FC"/>
    <w:rsid w:val="0035303F"/>
    <w:rsid w:val="003631F8"/>
    <w:rsid w:val="00375D92"/>
    <w:rsid w:val="00386A27"/>
    <w:rsid w:val="00396FD5"/>
    <w:rsid w:val="003C18C2"/>
    <w:rsid w:val="003E7CAA"/>
    <w:rsid w:val="00412211"/>
    <w:rsid w:val="00491E41"/>
    <w:rsid w:val="004928AC"/>
    <w:rsid w:val="004A04EA"/>
    <w:rsid w:val="004F2334"/>
    <w:rsid w:val="00503AA5"/>
    <w:rsid w:val="00524F10"/>
    <w:rsid w:val="00556A0F"/>
    <w:rsid w:val="005822CB"/>
    <w:rsid w:val="005B52C9"/>
    <w:rsid w:val="005C139B"/>
    <w:rsid w:val="00613A52"/>
    <w:rsid w:val="0063187A"/>
    <w:rsid w:val="00637D28"/>
    <w:rsid w:val="00723A2C"/>
    <w:rsid w:val="007B005E"/>
    <w:rsid w:val="007C6C14"/>
    <w:rsid w:val="007D6C29"/>
    <w:rsid w:val="00811902"/>
    <w:rsid w:val="00812F9A"/>
    <w:rsid w:val="00823358"/>
    <w:rsid w:val="008567B0"/>
    <w:rsid w:val="008A46FE"/>
    <w:rsid w:val="008B4733"/>
    <w:rsid w:val="008B7E8A"/>
    <w:rsid w:val="009049D8"/>
    <w:rsid w:val="00916D72"/>
    <w:rsid w:val="00920CFE"/>
    <w:rsid w:val="0094410A"/>
    <w:rsid w:val="00980D3A"/>
    <w:rsid w:val="009A3FD6"/>
    <w:rsid w:val="009C4FD6"/>
    <w:rsid w:val="009C5D59"/>
    <w:rsid w:val="009D21F2"/>
    <w:rsid w:val="00A21CFD"/>
    <w:rsid w:val="00AC4433"/>
    <w:rsid w:val="00AF4138"/>
    <w:rsid w:val="00B14E40"/>
    <w:rsid w:val="00B43D4F"/>
    <w:rsid w:val="00BB2BFC"/>
    <w:rsid w:val="00BF01EF"/>
    <w:rsid w:val="00BF11AD"/>
    <w:rsid w:val="00BF18C6"/>
    <w:rsid w:val="00C06825"/>
    <w:rsid w:val="00C955B4"/>
    <w:rsid w:val="00D10E8F"/>
    <w:rsid w:val="00D747B7"/>
    <w:rsid w:val="00DA2475"/>
    <w:rsid w:val="00DB68FF"/>
    <w:rsid w:val="00E2509F"/>
    <w:rsid w:val="00E723BE"/>
    <w:rsid w:val="00E739FB"/>
    <w:rsid w:val="00EA4180"/>
    <w:rsid w:val="00EF0A93"/>
    <w:rsid w:val="00F03A70"/>
    <w:rsid w:val="00F138BD"/>
    <w:rsid w:val="00F17E56"/>
    <w:rsid w:val="00F51CB6"/>
    <w:rsid w:val="00F755A6"/>
    <w:rsid w:val="00F8042D"/>
    <w:rsid w:val="00F804C0"/>
    <w:rsid w:val="00F94321"/>
    <w:rsid w:val="00FB1A97"/>
    <w:rsid w:val="00FC06DB"/>
    <w:rsid w:val="00FF4C4E"/>
    <w:rsid w:val="012758E4"/>
    <w:rsid w:val="01445627"/>
    <w:rsid w:val="020967F0"/>
    <w:rsid w:val="02523383"/>
    <w:rsid w:val="041476CE"/>
    <w:rsid w:val="04F57C74"/>
    <w:rsid w:val="05597A8E"/>
    <w:rsid w:val="05E27A84"/>
    <w:rsid w:val="069C2283"/>
    <w:rsid w:val="07C14985"/>
    <w:rsid w:val="098C3EFF"/>
    <w:rsid w:val="09E00788"/>
    <w:rsid w:val="09FB7E38"/>
    <w:rsid w:val="0A173A74"/>
    <w:rsid w:val="0A4C1970"/>
    <w:rsid w:val="0A77190A"/>
    <w:rsid w:val="0A7B5651"/>
    <w:rsid w:val="0D172FC3"/>
    <w:rsid w:val="0D204917"/>
    <w:rsid w:val="0DB241E0"/>
    <w:rsid w:val="0DBD025C"/>
    <w:rsid w:val="0DC660CC"/>
    <w:rsid w:val="0E5A52F1"/>
    <w:rsid w:val="12015736"/>
    <w:rsid w:val="12692998"/>
    <w:rsid w:val="143007F6"/>
    <w:rsid w:val="14F823C5"/>
    <w:rsid w:val="158D362A"/>
    <w:rsid w:val="15A66BAA"/>
    <w:rsid w:val="15FF789B"/>
    <w:rsid w:val="174D022A"/>
    <w:rsid w:val="17B4682F"/>
    <w:rsid w:val="1813765A"/>
    <w:rsid w:val="197B382A"/>
    <w:rsid w:val="1B7127F0"/>
    <w:rsid w:val="1B7B3D05"/>
    <w:rsid w:val="1BAB226E"/>
    <w:rsid w:val="1DDB0E36"/>
    <w:rsid w:val="1DE06944"/>
    <w:rsid w:val="1DFB7B70"/>
    <w:rsid w:val="1E5254AF"/>
    <w:rsid w:val="1F1A1B2E"/>
    <w:rsid w:val="20642B72"/>
    <w:rsid w:val="2096325C"/>
    <w:rsid w:val="210C50C9"/>
    <w:rsid w:val="23C258EE"/>
    <w:rsid w:val="24075E00"/>
    <w:rsid w:val="24AD6339"/>
    <w:rsid w:val="24C70119"/>
    <w:rsid w:val="24CD4983"/>
    <w:rsid w:val="25A71CC0"/>
    <w:rsid w:val="28A57344"/>
    <w:rsid w:val="28CD0B93"/>
    <w:rsid w:val="2A510485"/>
    <w:rsid w:val="2C241BF7"/>
    <w:rsid w:val="2C6170A5"/>
    <w:rsid w:val="2DD76B52"/>
    <w:rsid w:val="2DD85145"/>
    <w:rsid w:val="2F476F1C"/>
    <w:rsid w:val="2F7470EF"/>
    <w:rsid w:val="2FCF1B49"/>
    <w:rsid w:val="2FEF5999"/>
    <w:rsid w:val="312C5FF4"/>
    <w:rsid w:val="31B11834"/>
    <w:rsid w:val="33274700"/>
    <w:rsid w:val="332C051B"/>
    <w:rsid w:val="339F04B3"/>
    <w:rsid w:val="33C70F2A"/>
    <w:rsid w:val="343B076A"/>
    <w:rsid w:val="34734C61"/>
    <w:rsid w:val="355B714D"/>
    <w:rsid w:val="39024D6A"/>
    <w:rsid w:val="39883EAD"/>
    <w:rsid w:val="3B177E4D"/>
    <w:rsid w:val="3BD83656"/>
    <w:rsid w:val="3CAE44F7"/>
    <w:rsid w:val="3D83204A"/>
    <w:rsid w:val="3E2E0DB1"/>
    <w:rsid w:val="3F3109AA"/>
    <w:rsid w:val="3F6F3C0A"/>
    <w:rsid w:val="40A82195"/>
    <w:rsid w:val="40B10232"/>
    <w:rsid w:val="40B21825"/>
    <w:rsid w:val="41250249"/>
    <w:rsid w:val="420234AD"/>
    <w:rsid w:val="428D06CC"/>
    <w:rsid w:val="44872FC9"/>
    <w:rsid w:val="44926AA2"/>
    <w:rsid w:val="44BE1258"/>
    <w:rsid w:val="45044DBF"/>
    <w:rsid w:val="45F00825"/>
    <w:rsid w:val="496403CA"/>
    <w:rsid w:val="4B95421D"/>
    <w:rsid w:val="4E760248"/>
    <w:rsid w:val="4EEA1116"/>
    <w:rsid w:val="4F630757"/>
    <w:rsid w:val="51C969CF"/>
    <w:rsid w:val="53CE4C55"/>
    <w:rsid w:val="55524F2D"/>
    <w:rsid w:val="5604611D"/>
    <w:rsid w:val="563760F8"/>
    <w:rsid w:val="564D08BA"/>
    <w:rsid w:val="56FE536D"/>
    <w:rsid w:val="57315F9B"/>
    <w:rsid w:val="57BE05B6"/>
    <w:rsid w:val="58B04F93"/>
    <w:rsid w:val="58BF28DA"/>
    <w:rsid w:val="594312D8"/>
    <w:rsid w:val="59605E6B"/>
    <w:rsid w:val="59C85FD5"/>
    <w:rsid w:val="59EF7951"/>
    <w:rsid w:val="59FB3DE5"/>
    <w:rsid w:val="5A4971E2"/>
    <w:rsid w:val="5A923B5B"/>
    <w:rsid w:val="5AA849A8"/>
    <w:rsid w:val="5B020066"/>
    <w:rsid w:val="5CA505CC"/>
    <w:rsid w:val="5D327B1E"/>
    <w:rsid w:val="5DEC6D32"/>
    <w:rsid w:val="5EBB1D95"/>
    <w:rsid w:val="5F206A7A"/>
    <w:rsid w:val="616A12E6"/>
    <w:rsid w:val="62363D6E"/>
    <w:rsid w:val="62586279"/>
    <w:rsid w:val="62E20FBA"/>
    <w:rsid w:val="6582356A"/>
    <w:rsid w:val="65B77484"/>
    <w:rsid w:val="66C15EAA"/>
    <w:rsid w:val="679A63B5"/>
    <w:rsid w:val="687D1E77"/>
    <w:rsid w:val="68C910C6"/>
    <w:rsid w:val="6B4C27FF"/>
    <w:rsid w:val="6BD47A26"/>
    <w:rsid w:val="6BF012D0"/>
    <w:rsid w:val="6F6777B3"/>
    <w:rsid w:val="6FC312AB"/>
    <w:rsid w:val="70531183"/>
    <w:rsid w:val="705B03F7"/>
    <w:rsid w:val="7067717B"/>
    <w:rsid w:val="70AE7A5F"/>
    <w:rsid w:val="71150A65"/>
    <w:rsid w:val="755A2977"/>
    <w:rsid w:val="75D67789"/>
    <w:rsid w:val="78F959F9"/>
    <w:rsid w:val="792702FB"/>
    <w:rsid w:val="7931048B"/>
    <w:rsid w:val="7970616D"/>
    <w:rsid w:val="798450B6"/>
    <w:rsid w:val="79D940A8"/>
    <w:rsid w:val="79E368A6"/>
    <w:rsid w:val="79F50870"/>
    <w:rsid w:val="7B9342B7"/>
    <w:rsid w:val="7CF1021D"/>
    <w:rsid w:val="7EB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4">
    <w:name w:val="annotation subject"/>
    <w:basedOn w:val="5"/>
    <w:next w:val="5"/>
    <w:link w:val="16"/>
    <w:qFormat/>
    <w:uiPriority w:val="0"/>
    <w:rPr>
      <w:b/>
      <w:bCs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Plain Text"/>
    <w:basedOn w:val="1"/>
    <w:next w:val="3"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文字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4"/>
    <w:qFormat/>
    <w:uiPriority w:val="0"/>
    <w:rPr>
      <w:b/>
      <w:bCs/>
      <w:kern w:val="2"/>
      <w:sz w:val="21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FFAD2-4426-4A1E-A55D-30604C523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广西环科院</Company>
  <Pages>2</Pages>
  <Words>1751</Words>
  <Characters>1788</Characters>
  <Lines>60</Lines>
  <Paragraphs>17</Paragraphs>
  <TotalTime>119</TotalTime>
  <ScaleCrop>false</ScaleCrop>
  <LinksUpToDate>false</LinksUpToDate>
  <CharactersWithSpaces>1805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2024-09-20T08:45:00Z</dcterms:created>
  <dc:creator>李夏</dc:creator>
  <cp:lastModifiedBy>TRC</cp:lastModifiedBy>
  <dcterms:modified xsi:type="dcterms:W3CDTF">2024-10-08T02:36:15Z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A68997FD1A4C4007876BB19851779011_12</vt:lpwstr>
  </property>
</Properties>
</file>