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567"/>
        </w:tabs>
        <w:snapToGrid w:val="0"/>
        <w:spacing w:line="60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评分细则</w:t>
      </w:r>
    </w:p>
    <w:p>
      <w:pPr>
        <w:tabs>
          <w:tab w:val="left" w:pos="567"/>
        </w:tabs>
        <w:snapToGrid w:val="0"/>
        <w:spacing w:line="600" w:lineRule="exac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1.评审办法（包含初步评审、详细评审）</w:t>
      </w:r>
    </w:p>
    <w:p>
      <w:pPr>
        <w:snapToGrid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</w:t>
      </w:r>
      <w:r>
        <w:rPr>
          <w:rFonts w:ascii="仿宋" w:hAnsi="仿宋" w:eastAsia="仿宋" w:cs="宋体"/>
          <w:b/>
          <w:bCs/>
          <w:sz w:val="32"/>
          <w:szCs w:val="32"/>
        </w:rPr>
        <w:t>.1初步评审办法：</w:t>
      </w:r>
    </w:p>
    <w:p>
      <w:pPr>
        <w:snapToGrid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供应商须提供以下资料进行初步评审：</w:t>
      </w:r>
      <w:bookmarkStart w:id="0" w:name="_GoBack"/>
      <w:bookmarkEnd w:id="0"/>
    </w:p>
    <w:p>
      <w:pPr>
        <w:pStyle w:val="7"/>
        <w:widowControl/>
        <w:spacing w:before="120" w:beforeAutospacing="0" w:after="120" w:afterAutospacing="0" w:line="420" w:lineRule="atLeast"/>
        <w:ind w:firstLine="420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（一）有效的营业执照或事业单位法人证书复印件（须盖公章）；</w:t>
      </w:r>
    </w:p>
    <w:p>
      <w:pPr>
        <w:tabs>
          <w:tab w:val="left" w:pos="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（二）有效的法定代表人授权委托书原件和被授权人身份证正反面复印件（委托代理时必须提供，须盖公章）。</w:t>
      </w:r>
    </w:p>
    <w:p>
      <w:pPr>
        <w:tabs>
          <w:tab w:val="left" w:pos="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eastAsia="仿宋"/>
          <w:sz w:val="32"/>
          <w:szCs w:val="32"/>
        </w:rPr>
        <w:t>在“信用中国”网站(www.creditchina.gov.cn)</w:t>
      </w:r>
      <w:r>
        <w:rPr>
          <w:rFonts w:hint="eastAsia" w:eastAsia="仿宋"/>
          <w:sz w:val="32"/>
          <w:szCs w:val="32"/>
        </w:rPr>
        <w:t>没有被</w:t>
      </w:r>
      <w:r>
        <w:rPr>
          <w:rFonts w:eastAsia="仿宋"/>
          <w:sz w:val="32"/>
          <w:szCs w:val="32"/>
        </w:rPr>
        <w:t>列入失信被执行人、企业经营异常名录和重大税收违法案件</w:t>
      </w:r>
      <w:r>
        <w:rPr>
          <w:rFonts w:hint="eastAsia" w:eastAsia="仿宋"/>
          <w:sz w:val="32"/>
          <w:szCs w:val="32"/>
        </w:rPr>
        <w:t>的证明</w:t>
      </w: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附查询结果截图</w:t>
      </w:r>
      <w:r>
        <w:rPr>
          <w:rFonts w:eastAsia="仿宋"/>
          <w:sz w:val="32"/>
          <w:szCs w:val="32"/>
        </w:rPr>
        <w:t>须盖公章）</w:t>
      </w:r>
      <w:r>
        <w:rPr>
          <w:rFonts w:hint="eastAsia" w:eastAsia="仿宋"/>
          <w:sz w:val="32"/>
          <w:szCs w:val="32"/>
        </w:rPr>
        <w:t>；</w:t>
      </w:r>
    </w:p>
    <w:p>
      <w:pPr>
        <w:numPr>
          <w:ilvl w:val="255"/>
          <w:numId w:val="0"/>
        </w:numPr>
        <w:tabs>
          <w:tab w:val="left" w:pos="0"/>
        </w:tabs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ascii="仿宋" w:hAnsi="仿宋" w:eastAsia="仿宋" w:cs="仿宋"/>
          <w:sz w:val="32"/>
          <w:szCs w:val="32"/>
        </w:rPr>
        <w:t>近3年内在经营活动中没有重大违法记录的书面声明</w:t>
      </w:r>
      <w:r>
        <w:rPr>
          <w:rFonts w:hint="eastAsia" w:ascii="仿宋" w:hAnsi="仿宋" w:eastAsia="仿宋" w:cs="仿宋"/>
          <w:sz w:val="32"/>
          <w:szCs w:val="32"/>
        </w:rPr>
        <w:t>（格式自拟，须盖公章），如注册未满3年，已营业执照注册时间起算，有行贿犯罪记录的不得参与本次采购活动</w:t>
      </w:r>
      <w:r>
        <w:rPr>
          <w:rFonts w:ascii="仿宋" w:hAnsi="仿宋" w:eastAsia="仿宋" w:cs="仿宋"/>
          <w:sz w:val="32"/>
          <w:szCs w:val="32"/>
        </w:rPr>
        <w:t>；</w:t>
      </w:r>
    </w:p>
    <w:p>
      <w:pPr>
        <w:pStyle w:val="7"/>
        <w:widowControl/>
        <w:spacing w:before="120" w:beforeAutospacing="0" w:after="120" w:afterAutospacing="0" w:line="420" w:lineRule="atLeast"/>
        <w:ind w:firstLine="420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（五）关于本项目的报价文件、出版方案及服务承诺（须盖公章）；</w:t>
      </w:r>
    </w:p>
    <w:p>
      <w:pPr>
        <w:pStyle w:val="7"/>
        <w:widowControl/>
        <w:spacing w:before="120" w:beforeAutospacing="0" w:after="120" w:afterAutospacing="0" w:line="420" w:lineRule="atLeast"/>
        <w:ind w:firstLine="420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（六）联系人姓名及联系方式；</w:t>
      </w:r>
    </w:p>
    <w:p>
      <w:pPr>
        <w:pStyle w:val="7"/>
        <w:widowControl/>
        <w:spacing w:before="120" w:beforeAutospacing="0" w:after="120" w:afterAutospacing="0" w:line="420" w:lineRule="atLeast"/>
        <w:ind w:firstLine="420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（七）供应商认为需要提供的其他说明和资料（如有请提供）。</w:t>
      </w:r>
    </w:p>
    <w:p>
      <w:pPr>
        <w:snapToGrid w:val="0"/>
        <w:spacing w:line="600" w:lineRule="exac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注意：以上资料有一项或以上不通过者，视为初步评审不合格，不得进入详细评审阶段。</w:t>
      </w:r>
    </w:p>
    <w:p>
      <w:pPr>
        <w:snapToGrid w:val="0"/>
        <w:spacing w:line="600" w:lineRule="exac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</w:t>
      </w:r>
      <w:r>
        <w:rPr>
          <w:rFonts w:ascii="仿宋" w:hAnsi="仿宋" w:eastAsia="仿宋" w:cs="宋体"/>
          <w:b/>
          <w:bCs/>
          <w:sz w:val="32"/>
          <w:szCs w:val="32"/>
        </w:rPr>
        <w:t xml:space="preserve">.2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详细评审办法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总分</w:t>
      </w:r>
      <w:r>
        <w:rPr>
          <w:rFonts w:ascii="仿宋" w:hAnsi="仿宋" w:eastAsia="仿宋" w:cs="宋体"/>
          <w:sz w:val="32"/>
          <w:szCs w:val="32"/>
        </w:rPr>
        <w:t>100分</w:t>
      </w:r>
      <w:r>
        <w:rPr>
          <w:rFonts w:hint="eastAsia" w:ascii="仿宋" w:hAnsi="仿宋" w:eastAsia="仿宋" w:cs="宋体"/>
          <w:sz w:val="32"/>
          <w:szCs w:val="32"/>
        </w:rPr>
        <w:t>（按四舍五入取至小数点后两位），</w:t>
      </w:r>
      <w:r>
        <w:rPr>
          <w:rFonts w:ascii="仿宋" w:hAnsi="仿宋" w:eastAsia="仿宋" w:cs="宋体"/>
          <w:sz w:val="32"/>
          <w:szCs w:val="32"/>
        </w:rPr>
        <w:t>总分＝价格分+技术分</w:t>
      </w:r>
      <w:r>
        <w:rPr>
          <w:rFonts w:hint="eastAsia" w:ascii="仿宋" w:hAnsi="仿宋" w:eastAsia="仿宋" w:cs="宋体"/>
          <w:sz w:val="32"/>
          <w:szCs w:val="32"/>
        </w:rPr>
        <w:t>+</w:t>
      </w:r>
      <w:r>
        <w:rPr>
          <w:rFonts w:ascii="仿宋" w:hAnsi="仿宋" w:eastAsia="仿宋" w:cs="宋体"/>
          <w:sz w:val="32"/>
          <w:szCs w:val="32"/>
        </w:rPr>
        <w:t>商务分</w:t>
      </w:r>
    </w:p>
    <w:p>
      <w:pPr>
        <w:snapToGrid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</w:t>
      </w:r>
      <w:r>
        <w:rPr>
          <w:rFonts w:ascii="仿宋" w:hAnsi="仿宋" w:eastAsia="仿宋" w:cs="宋体"/>
          <w:b/>
          <w:bCs/>
          <w:sz w:val="32"/>
          <w:szCs w:val="32"/>
        </w:rPr>
        <w:t>.2.1价格分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30</w:t>
      </w:r>
      <w:r>
        <w:rPr>
          <w:rFonts w:ascii="仿宋" w:hAnsi="仿宋" w:eastAsia="仿宋" w:cs="宋体"/>
          <w:b/>
          <w:bCs/>
          <w:sz w:val="32"/>
          <w:szCs w:val="32"/>
        </w:rPr>
        <w:t>分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供应商询价后的最终报价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>不得超过采购预算价</w:t>
      </w:r>
      <w:r>
        <w:rPr>
          <w:rFonts w:hint="eastAsia" w:ascii="仿宋" w:hAnsi="仿宋" w:eastAsia="仿宋" w:cs="宋体"/>
          <w:sz w:val="32"/>
          <w:szCs w:val="32"/>
          <w:u w:val="single"/>
        </w:rPr>
        <w:t>，</w:t>
      </w:r>
      <w:r>
        <w:rPr>
          <w:rFonts w:hint="eastAsia" w:ascii="仿宋" w:hAnsi="仿宋" w:eastAsia="仿宋" w:cs="宋体"/>
          <w:b/>
          <w:bCs/>
          <w:sz w:val="32"/>
          <w:szCs w:val="32"/>
          <w:u w:val="single"/>
        </w:rPr>
        <w:t>否则报价无效</w:t>
      </w:r>
      <w:r>
        <w:rPr>
          <w:rFonts w:hint="eastAsia" w:ascii="仿宋" w:hAnsi="仿宋" w:eastAsia="仿宋" w:cs="宋体"/>
          <w:sz w:val="32"/>
          <w:szCs w:val="32"/>
        </w:rPr>
        <w:t>，无效报价不予计分。</w:t>
      </w:r>
    </w:p>
    <w:p>
      <w:pPr>
        <w:numPr>
          <w:ilvl w:val="255"/>
          <w:numId w:val="0"/>
        </w:num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（1）评标价为满足询价文件要求且最终报价最低的供应商报价。最终成交人的成交金额＝询价后的最终报价。</w:t>
      </w:r>
    </w:p>
    <w:p>
      <w:pPr>
        <w:numPr>
          <w:ilvl w:val="255"/>
          <w:numId w:val="0"/>
        </w:num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（2）价格评分：供应商价格分统一按照下列公式计算：</w:t>
      </w:r>
    </w:p>
    <w:p>
      <w:pPr>
        <w:pStyle w:val="3"/>
        <w:spacing w:line="360" w:lineRule="exact"/>
        <w:ind w:firstLine="404" w:firstLineChars="20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 xml:space="preserve">               </w:t>
      </w:r>
      <w:r>
        <w:rPr>
          <w:rFonts w:hint="eastAsia" w:ascii="仿宋" w:hAnsi="仿宋" w:eastAsia="仿宋"/>
          <w:sz w:val="21"/>
          <w:szCs w:val="21"/>
        </w:rPr>
        <w:t>　　</w:t>
      </w:r>
      <w:r>
        <w:rPr>
          <w:rFonts w:ascii="仿宋" w:hAnsi="仿宋" w:eastAsia="仿宋"/>
          <w:sz w:val="21"/>
          <w:szCs w:val="21"/>
        </w:rPr>
        <w:t xml:space="preserve">                  </w:t>
      </w:r>
      <w:r>
        <w:rPr>
          <w:rFonts w:hint="eastAsia" w:ascii="仿宋" w:hAnsi="仿宋" w:eastAsia="仿宋"/>
          <w:sz w:val="21"/>
          <w:szCs w:val="21"/>
        </w:rPr>
        <w:t>评标价</w:t>
      </w:r>
    </w:p>
    <w:p>
      <w:pPr>
        <w:pStyle w:val="3"/>
        <w:spacing w:line="360" w:lineRule="exact"/>
        <w:ind w:firstLine="404" w:firstLineChars="20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60960</wp:posOffset>
                </wp:positionV>
                <wp:extent cx="1214120" cy="9525"/>
                <wp:effectExtent l="0" t="0" r="2413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4pt;margin-top:4.8pt;height:0.75pt;width:95.6pt;z-index:251659264;mso-width-relative:page;mso-height-relative:page;" filled="f" stroked="t" coordsize="21600,21600" o:gfxdata="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9aVheNYAAAAIAQAADwAAAAAAAAABACAAAAAi&#10;AAAAZHJzL2Rvd25yZXYueG1sUEsBAhQAFAAAAAgAh07iQAc7a7TTAQAAm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1"/>
          <w:szCs w:val="21"/>
        </w:rPr>
        <w:t>某供应商询价最终报价得分</w:t>
      </w:r>
      <w:r>
        <w:rPr>
          <w:rFonts w:ascii="仿宋" w:hAnsi="仿宋" w:eastAsia="仿宋"/>
          <w:sz w:val="21"/>
          <w:szCs w:val="21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>＝</w:t>
      </w:r>
      <w:r>
        <w:rPr>
          <w:rFonts w:ascii="仿宋" w:hAnsi="仿宋" w:eastAsia="仿宋"/>
          <w:sz w:val="21"/>
          <w:szCs w:val="21"/>
        </w:rPr>
        <w:t xml:space="preserve">                      </w:t>
      </w:r>
      <w:r>
        <w:rPr>
          <w:rFonts w:hint="eastAsia" w:ascii="仿宋" w:hAnsi="仿宋" w:eastAsia="仿宋"/>
          <w:sz w:val="21"/>
          <w:szCs w:val="21"/>
        </w:rPr>
        <w:t>×3</w:t>
      </w:r>
      <w:r>
        <w:rPr>
          <w:rFonts w:ascii="仿宋" w:hAnsi="仿宋" w:eastAsia="仿宋"/>
          <w:sz w:val="21"/>
          <w:szCs w:val="21"/>
        </w:rPr>
        <w:t>0</w:t>
      </w:r>
      <w:r>
        <w:rPr>
          <w:rFonts w:hint="eastAsia" w:ascii="仿宋" w:hAnsi="仿宋" w:eastAsia="仿宋"/>
          <w:sz w:val="21"/>
          <w:szCs w:val="21"/>
        </w:rPr>
        <w:t>分</w:t>
      </w:r>
    </w:p>
    <w:p>
      <w:pPr>
        <w:spacing w:line="440" w:lineRule="exact"/>
        <w:ind w:firstLine="42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 w:cs="宋体"/>
          <w:szCs w:val="21"/>
        </w:rPr>
        <w:t xml:space="preserve">                   　          </w:t>
      </w:r>
      <w:r>
        <w:rPr>
          <w:rFonts w:hint="eastAsia" w:ascii="仿宋" w:hAnsi="仿宋" w:eastAsia="仿宋" w:cs="宋体"/>
          <w:szCs w:val="21"/>
        </w:rPr>
        <w:t>某供应商评标价</w:t>
      </w:r>
    </w:p>
    <w:p>
      <w:pPr>
        <w:snapToGrid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</w:t>
      </w:r>
      <w:r>
        <w:rPr>
          <w:rFonts w:ascii="仿宋" w:hAnsi="仿宋" w:eastAsia="仿宋" w:cs="宋体"/>
          <w:b/>
          <w:bCs/>
          <w:sz w:val="32"/>
          <w:szCs w:val="32"/>
        </w:rPr>
        <w:t>.2.2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出版方案</w:t>
      </w:r>
      <w:r>
        <w:rPr>
          <w:rFonts w:ascii="仿宋" w:hAnsi="仿宋" w:eastAsia="仿宋" w:cs="宋体"/>
          <w:b/>
          <w:bCs/>
          <w:sz w:val="32"/>
          <w:szCs w:val="32"/>
        </w:rPr>
        <w:t>分50分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（1）</w:t>
      </w:r>
      <w:r>
        <w:rPr>
          <w:rFonts w:hint="eastAsia" w:ascii="仿宋" w:hAnsi="仿宋" w:eastAsia="仿宋" w:cs="宋体"/>
          <w:sz w:val="32"/>
          <w:szCs w:val="32"/>
        </w:rPr>
        <w:t>出版保障</w:t>
      </w:r>
      <w:r>
        <w:rPr>
          <w:rFonts w:ascii="仿宋" w:hAnsi="仿宋" w:eastAsia="仿宋" w:cs="宋体"/>
          <w:sz w:val="32"/>
          <w:szCs w:val="32"/>
        </w:rPr>
        <w:t>分（满分10分）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一般(</w:t>
      </w:r>
      <w:r>
        <w:rPr>
          <w:rFonts w:ascii="仿宋" w:hAnsi="仿宋" w:eastAsia="仿宋" w:cs="宋体"/>
          <w:sz w:val="32"/>
          <w:szCs w:val="32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分):方案定位简单，方案进度和工作计划粗略。服务组织机构和人员配备一般。。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良好(8分):方案定位较明确，方案进度和工作计划合理比较紧凑，服务组织机构和人员配备良好。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优秀(10分)，熟悉项目情况，方案定位明确，方案进度和工作计划合理紧凑，服务组织机构和人员配备优秀。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（2）配送</w:t>
      </w:r>
      <w:r>
        <w:rPr>
          <w:rFonts w:hint="eastAsia" w:ascii="仿宋" w:hAnsi="仿宋" w:eastAsia="仿宋" w:cs="宋体"/>
          <w:sz w:val="32"/>
          <w:szCs w:val="32"/>
        </w:rPr>
        <w:t>保障</w:t>
      </w:r>
      <w:r>
        <w:rPr>
          <w:rFonts w:ascii="仿宋" w:hAnsi="仿宋" w:eastAsia="仿宋" w:cs="宋体"/>
          <w:sz w:val="32"/>
          <w:szCs w:val="32"/>
        </w:rPr>
        <w:t>分（满分5分）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一般(3分)：询价供应商的包装、装运、配送设备、人员、实施质量保障能力一般。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良好(</w:t>
      </w:r>
      <w:r>
        <w:rPr>
          <w:rFonts w:ascii="仿宋" w:hAnsi="仿宋" w:eastAsia="仿宋" w:cs="宋体"/>
          <w:sz w:val="32"/>
          <w:szCs w:val="32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分)：询价供应商的包装、装运、配送设备、人员、实施质量保障能力良好。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优秀(</w:t>
      </w:r>
      <w:r>
        <w:rPr>
          <w:rFonts w:ascii="仿宋" w:hAnsi="仿宋" w:eastAsia="仿宋" w:cs="宋体"/>
          <w:sz w:val="32"/>
          <w:szCs w:val="32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分)：询价供应商的包装、装运、配送设备、人员、实施质量保障能力优秀。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（3）服务</w:t>
      </w:r>
      <w:r>
        <w:rPr>
          <w:rFonts w:hint="eastAsia" w:ascii="仿宋" w:hAnsi="仿宋" w:eastAsia="仿宋" w:cs="宋体"/>
          <w:sz w:val="32"/>
          <w:szCs w:val="32"/>
        </w:rPr>
        <w:t>保障</w:t>
      </w:r>
      <w:r>
        <w:rPr>
          <w:rFonts w:ascii="仿宋" w:hAnsi="仿宋" w:eastAsia="仿宋" w:cs="宋体"/>
          <w:sz w:val="32"/>
          <w:szCs w:val="32"/>
        </w:rPr>
        <w:t>分（满分14分）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一般(</w:t>
      </w:r>
      <w:r>
        <w:rPr>
          <w:rFonts w:ascii="仿宋" w:hAnsi="仿宋" w:eastAsia="仿宋" w:cs="宋体"/>
          <w:sz w:val="32"/>
          <w:szCs w:val="32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分)：从整体服务承诺、组织实施、本地化服务、更换有质量问题印制品的时间、设计、排版时间及交付等方面，综合评定为一般。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良好(12分)：从整体服务承诺、组织实施、本地化服务、更换有质量问题印制品的时间、设计、排版时间及交付等方面，综合评定为良好。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优秀(1</w:t>
      </w:r>
      <w:r>
        <w:rPr>
          <w:rFonts w:ascii="仿宋" w:hAnsi="仿宋" w:eastAsia="仿宋" w:cs="宋体"/>
          <w:sz w:val="32"/>
          <w:szCs w:val="32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分)：从整体服务承诺、组织实施、本地化服务、更换有质量问题印制品的时间、设计、排版时间及交付等方面，综合评定为优秀。</w:t>
      </w:r>
    </w:p>
    <w:p>
      <w:pPr>
        <w:snapToGrid w:val="0"/>
        <w:spacing w:line="600" w:lineRule="exact"/>
        <w:ind w:firstLine="480" w:firstLineChars="15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（4）投入的技术力量分（满分11分）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拟投入的项目实施人员具备出版系列副高级或高级职称的每1人得3分，具有出版系列中级职称的每1人得</w:t>
      </w: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>分，</w:t>
      </w:r>
      <w:r>
        <w:rPr>
          <w:rFonts w:hint="eastAsia" w:ascii="仿宋" w:hAnsi="仿宋" w:eastAsia="仿宋" w:cs="宋体"/>
          <w:sz w:val="32"/>
          <w:szCs w:val="32"/>
        </w:rPr>
        <w:t>获得相关编校大赛奖项的编辑，每1人得2分，</w:t>
      </w:r>
      <w:r>
        <w:rPr>
          <w:rFonts w:ascii="仿宋" w:hAnsi="仿宋" w:eastAsia="仿宋" w:cs="宋体"/>
          <w:sz w:val="32"/>
          <w:szCs w:val="32"/>
        </w:rPr>
        <w:t>最多加11分。（项目实施人员须为供应商本单位人员）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napToGrid w:val="0"/>
        <w:spacing w:line="600" w:lineRule="exact"/>
        <w:ind w:firstLine="480" w:firstLineChars="15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（5）</w:t>
      </w:r>
      <w:r>
        <w:rPr>
          <w:rFonts w:hint="eastAsia" w:ascii="仿宋" w:hAnsi="仿宋" w:eastAsia="仿宋" w:cs="宋体"/>
          <w:sz w:val="32"/>
          <w:szCs w:val="32"/>
        </w:rPr>
        <w:t>荣誉证书</w:t>
      </w:r>
      <w:r>
        <w:rPr>
          <w:rFonts w:ascii="仿宋" w:hAnsi="仿宋" w:eastAsia="仿宋" w:cs="宋体"/>
          <w:sz w:val="32"/>
          <w:szCs w:val="32"/>
        </w:rPr>
        <w:t>分（满分10分）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一般(</w:t>
      </w:r>
      <w:r>
        <w:rPr>
          <w:rFonts w:ascii="仿宋" w:hAnsi="仿宋" w:eastAsia="仿宋" w:cs="宋体"/>
          <w:sz w:val="32"/>
          <w:szCs w:val="32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分)：非百家出版社。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优秀(1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分)：百家出版社。</w:t>
      </w:r>
    </w:p>
    <w:p>
      <w:pPr>
        <w:snapToGrid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</w:t>
      </w:r>
      <w:r>
        <w:rPr>
          <w:rFonts w:ascii="仿宋" w:hAnsi="仿宋" w:eastAsia="仿宋" w:cs="宋体"/>
          <w:b/>
          <w:bCs/>
          <w:sz w:val="32"/>
          <w:szCs w:val="32"/>
        </w:rPr>
        <w:t>.2.3商务分20分</w:t>
      </w:r>
    </w:p>
    <w:p>
      <w:pPr>
        <w:snapToGrid w:val="0"/>
        <w:spacing w:line="600" w:lineRule="exact"/>
        <w:ind w:firstLine="320" w:firstLineChars="1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（1）信誉分（ 满分10分）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1）供应商出版的图书选题获得国家级奖项的，每有一项得3分；省级奖项的得2分；本项内容最多加6分。2）供应商策划的图书选题入选国家“十四五”规划的，每有一项得2分，本项内容最多加4分。</w:t>
      </w:r>
    </w:p>
    <w:p>
      <w:pPr>
        <w:snapToGrid w:val="0"/>
        <w:spacing w:line="600" w:lineRule="exact"/>
        <w:ind w:firstLine="320" w:firstLineChars="1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（2）业绩分（ 满分10分）</w:t>
      </w:r>
    </w:p>
    <w:p>
      <w:pPr>
        <w:snapToGrid w:val="0"/>
        <w:spacing w:line="600" w:lineRule="exact"/>
        <w:ind w:firstLine="480" w:firstLineChars="15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供应商自2021年9月1日以来完成</w:t>
      </w:r>
      <w:r>
        <w:rPr>
          <w:rFonts w:hint="eastAsia" w:ascii="仿宋" w:hAnsi="仿宋" w:eastAsia="仿宋" w:cs="宋体"/>
          <w:sz w:val="32"/>
          <w:szCs w:val="32"/>
        </w:rPr>
        <w:t>与本次出版内容类</w:t>
      </w:r>
      <w:r>
        <w:rPr>
          <w:rFonts w:ascii="仿宋" w:hAnsi="仿宋" w:eastAsia="仿宋" w:cs="宋体"/>
          <w:sz w:val="32"/>
          <w:szCs w:val="32"/>
        </w:rPr>
        <w:t>似</w:t>
      </w:r>
      <w:r>
        <w:rPr>
          <w:rFonts w:hint="eastAsia" w:ascii="仿宋" w:hAnsi="仿宋" w:eastAsia="仿宋" w:cs="宋体"/>
          <w:sz w:val="32"/>
          <w:szCs w:val="32"/>
        </w:rPr>
        <w:t>的海洋类</w:t>
      </w:r>
      <w:r>
        <w:rPr>
          <w:rFonts w:ascii="仿宋" w:hAnsi="仿宋" w:eastAsia="仿宋" w:cs="宋体"/>
          <w:sz w:val="32"/>
          <w:szCs w:val="32"/>
        </w:rPr>
        <w:t>出版项目，每项得2分，满分</w:t>
      </w:r>
      <w:r>
        <w:rPr>
          <w:rFonts w:hint="eastAsia" w:ascii="仿宋" w:hAnsi="仿宋" w:eastAsia="仿宋" w:cs="宋体"/>
          <w:sz w:val="32"/>
          <w:szCs w:val="32"/>
        </w:rPr>
        <w:t>10</w:t>
      </w:r>
      <w:r>
        <w:rPr>
          <w:rFonts w:ascii="仿宋" w:hAnsi="仿宋" w:eastAsia="仿宋" w:cs="宋体"/>
          <w:sz w:val="32"/>
          <w:szCs w:val="32"/>
        </w:rPr>
        <w:t>分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napToGrid w:val="0"/>
        <w:spacing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C3"/>
    <w:rsid w:val="00031499"/>
    <w:rsid w:val="00077524"/>
    <w:rsid w:val="000F30A6"/>
    <w:rsid w:val="00120110"/>
    <w:rsid w:val="00132EF9"/>
    <w:rsid w:val="00191190"/>
    <w:rsid w:val="001B7FD2"/>
    <w:rsid w:val="001D7BE6"/>
    <w:rsid w:val="002062D5"/>
    <w:rsid w:val="002569A4"/>
    <w:rsid w:val="0027656E"/>
    <w:rsid w:val="00287F7B"/>
    <w:rsid w:val="00290D20"/>
    <w:rsid w:val="00360672"/>
    <w:rsid w:val="00370F34"/>
    <w:rsid w:val="00395F1D"/>
    <w:rsid w:val="00505FDF"/>
    <w:rsid w:val="00534CB2"/>
    <w:rsid w:val="005E41B0"/>
    <w:rsid w:val="005E54EF"/>
    <w:rsid w:val="005E6DC3"/>
    <w:rsid w:val="005E6FA6"/>
    <w:rsid w:val="00656381"/>
    <w:rsid w:val="00675AA9"/>
    <w:rsid w:val="00715B43"/>
    <w:rsid w:val="00734F30"/>
    <w:rsid w:val="00754462"/>
    <w:rsid w:val="00795758"/>
    <w:rsid w:val="007B4A2B"/>
    <w:rsid w:val="007F4E3D"/>
    <w:rsid w:val="00816425"/>
    <w:rsid w:val="0084213D"/>
    <w:rsid w:val="00871ACA"/>
    <w:rsid w:val="00A4387E"/>
    <w:rsid w:val="00A61B3E"/>
    <w:rsid w:val="00A978EB"/>
    <w:rsid w:val="00AA4AF6"/>
    <w:rsid w:val="00AD2FA9"/>
    <w:rsid w:val="00B202CF"/>
    <w:rsid w:val="00B27B64"/>
    <w:rsid w:val="00B41386"/>
    <w:rsid w:val="00B7130E"/>
    <w:rsid w:val="00BD5AA2"/>
    <w:rsid w:val="00CB63B8"/>
    <w:rsid w:val="00CB7398"/>
    <w:rsid w:val="00CD2C46"/>
    <w:rsid w:val="00CD4890"/>
    <w:rsid w:val="00CD6AF1"/>
    <w:rsid w:val="00D21B49"/>
    <w:rsid w:val="00D336A9"/>
    <w:rsid w:val="00ED384C"/>
    <w:rsid w:val="00EF01A9"/>
    <w:rsid w:val="00F35AD5"/>
    <w:rsid w:val="00F4091B"/>
    <w:rsid w:val="00FA6D9C"/>
    <w:rsid w:val="352A47D0"/>
    <w:rsid w:val="5468145A"/>
    <w:rsid w:val="6E844EE8"/>
    <w:rsid w:val="79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10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customStyle="1" w:styleId="10">
    <w:name w:val="正文文本缩进 字符"/>
    <w:basedOn w:val="8"/>
    <w:link w:val="3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1">
    <w:name w:val="页脚 字符"/>
    <w:basedOn w:val="8"/>
    <w:link w:val="5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修订1"/>
    <w:hidden/>
    <w:semiHidden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233</Words>
  <Characters>1330</Characters>
  <Lines>11</Lines>
  <Paragraphs>3</Paragraphs>
  <TotalTime>3</TotalTime>
  <ScaleCrop>false</ScaleCrop>
  <LinksUpToDate>false</LinksUpToDate>
  <CharactersWithSpaces>1560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2023-11-17T01:47:00Z</dcterms:created>
  <dc:creator>lenovo</dc:creator>
  <cp:lastModifiedBy>韦细姣</cp:lastModifiedBy>
  <dcterms:modified xsi:type="dcterms:W3CDTF">2024-10-18T08:23:34Z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A813D21B9B5F44EB82A243484A4AC909</vt:lpwstr>
  </property>
</Properties>
</file>