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BC1E8">
      <w:pPr>
        <w:spacing w:line="400" w:lineRule="exact"/>
        <w:outlineLvl w:val="1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 w14:paraId="3D1D0C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广西壮族自治区环境保护科学研究院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single"/>
          <w:lang w:val="en-US" w:eastAsia="zh-CN"/>
        </w:rPr>
        <w:t>重点河流环境应急“一河一策一图”项目环境应急虚拟现实技术拍摄与计算机建模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采购</w:t>
      </w:r>
      <w:r>
        <w:rPr>
          <w:rFonts w:hint="eastAsia" w:ascii="方正小标宋_GBK" w:hAnsi="仿宋" w:eastAsia="方正小标宋_GBK" w:cs="仿宋"/>
          <w:sz w:val="44"/>
          <w:szCs w:val="44"/>
        </w:rPr>
        <w:t>需求响应表</w:t>
      </w:r>
    </w:p>
    <w:p w14:paraId="5F00822E">
      <w:pPr>
        <w:spacing w:line="400" w:lineRule="exact"/>
        <w:ind w:right="600"/>
        <w:jc w:val="right"/>
        <w:rPr>
          <w:rFonts w:hint="eastAsia" w:eastAsia="仿宋"/>
          <w:color w:val="000000"/>
          <w:sz w:val="30"/>
          <w:szCs w:val="30"/>
        </w:rPr>
      </w:pPr>
    </w:p>
    <w:p w14:paraId="51EC9389">
      <w:pPr>
        <w:spacing w:line="400" w:lineRule="exact"/>
        <w:ind w:right="600"/>
        <w:jc w:val="right"/>
        <w:rPr>
          <w:rFonts w:eastAsia="仿宋"/>
          <w:color w:val="000000"/>
          <w:sz w:val="30"/>
          <w:szCs w:val="30"/>
        </w:rPr>
      </w:pPr>
      <w:r>
        <w:rPr>
          <w:rFonts w:hint="eastAsia" w:eastAsia="仿宋"/>
          <w:color w:val="000000"/>
          <w:sz w:val="30"/>
          <w:szCs w:val="30"/>
        </w:rPr>
        <w:t>时间：</w:t>
      </w:r>
      <w:r>
        <w:rPr>
          <w:rFonts w:eastAsia="仿宋"/>
          <w:color w:val="000000"/>
          <w:sz w:val="30"/>
          <w:szCs w:val="30"/>
        </w:rPr>
        <w:t xml:space="preserve">   </w:t>
      </w:r>
      <w:r>
        <w:rPr>
          <w:rFonts w:hint="eastAsia" w:eastAsia="仿宋"/>
          <w:color w:val="000000"/>
          <w:sz w:val="30"/>
          <w:szCs w:val="30"/>
        </w:rPr>
        <w:t>年</w:t>
      </w:r>
      <w:r>
        <w:rPr>
          <w:rFonts w:eastAsia="仿宋"/>
          <w:color w:val="000000"/>
          <w:sz w:val="30"/>
          <w:szCs w:val="30"/>
        </w:rPr>
        <w:t xml:space="preserve">   </w:t>
      </w:r>
      <w:r>
        <w:rPr>
          <w:rFonts w:hint="eastAsia" w:eastAsia="仿宋"/>
          <w:color w:val="000000"/>
          <w:sz w:val="30"/>
          <w:szCs w:val="30"/>
        </w:rPr>
        <w:t>月</w:t>
      </w:r>
      <w:r>
        <w:rPr>
          <w:rFonts w:eastAsia="仿宋"/>
          <w:color w:val="000000"/>
          <w:sz w:val="30"/>
          <w:szCs w:val="30"/>
        </w:rPr>
        <w:t xml:space="preserve">   </w:t>
      </w:r>
      <w:r>
        <w:rPr>
          <w:rFonts w:hint="eastAsia" w:eastAsia="仿宋"/>
          <w:color w:val="000000"/>
          <w:sz w:val="30"/>
          <w:szCs w:val="30"/>
        </w:rPr>
        <w:t>日</w:t>
      </w:r>
    </w:p>
    <w:tbl>
      <w:tblPr>
        <w:tblStyle w:val="5"/>
        <w:tblW w:w="14922" w:type="dxa"/>
        <w:tblInd w:w="-5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705"/>
        <w:gridCol w:w="6752"/>
        <w:gridCol w:w="945"/>
        <w:gridCol w:w="1365"/>
        <w:gridCol w:w="2236"/>
        <w:gridCol w:w="1058"/>
      </w:tblGrid>
      <w:tr w14:paraId="1CD05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318" w:type="dxa"/>
            <w:gridSpan w:val="3"/>
          </w:tcPr>
          <w:p w14:paraId="5AA4B44E">
            <w:pPr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服务要求</w:t>
            </w:r>
          </w:p>
        </w:tc>
        <w:tc>
          <w:tcPr>
            <w:tcW w:w="4546" w:type="dxa"/>
            <w:gridSpan w:val="3"/>
          </w:tcPr>
          <w:p w14:paraId="705481B0">
            <w:pPr>
              <w:snapToGrid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需求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  <w:t>响应</w:t>
            </w:r>
          </w:p>
        </w:tc>
        <w:tc>
          <w:tcPr>
            <w:tcW w:w="1058" w:type="dxa"/>
            <w:vMerge w:val="restart"/>
          </w:tcPr>
          <w:p w14:paraId="254328D8">
            <w:pPr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偏离情况</w:t>
            </w:r>
          </w:p>
        </w:tc>
      </w:tr>
      <w:tr w14:paraId="05148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tblHeader/>
        </w:trPr>
        <w:tc>
          <w:tcPr>
            <w:tcW w:w="861" w:type="dxa"/>
          </w:tcPr>
          <w:p w14:paraId="228EE94C">
            <w:pPr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05" w:type="dxa"/>
          </w:tcPr>
          <w:p w14:paraId="05D5FA03">
            <w:pPr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752" w:type="dxa"/>
          </w:tcPr>
          <w:p w14:paraId="3DADD5C9">
            <w:pPr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要求</w:t>
            </w:r>
          </w:p>
        </w:tc>
        <w:tc>
          <w:tcPr>
            <w:tcW w:w="945" w:type="dxa"/>
          </w:tcPr>
          <w:p w14:paraId="475BDDAD">
            <w:pPr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65" w:type="dxa"/>
          </w:tcPr>
          <w:p w14:paraId="4E8EF4A6">
            <w:pPr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236" w:type="dxa"/>
          </w:tcPr>
          <w:p w14:paraId="242E196C">
            <w:pPr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要求</w:t>
            </w:r>
          </w:p>
        </w:tc>
        <w:tc>
          <w:tcPr>
            <w:tcW w:w="1058" w:type="dxa"/>
            <w:vMerge w:val="continue"/>
          </w:tcPr>
          <w:p w14:paraId="2EF85C40">
            <w:pPr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 w14:paraId="74A23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861" w:type="dxa"/>
          </w:tcPr>
          <w:p w14:paraId="123518E1">
            <w:pPr>
              <w:widowControl w:val="0"/>
              <w:spacing w:line="400" w:lineRule="exact"/>
              <w:jc w:val="center"/>
              <w:outlineLvl w:val="1"/>
              <w:rPr>
                <w:rFonts w:ascii="Times New Roman" w:hAnsi="Times New Roman" w:eastAsia="方正黑体_GBK"/>
                <w:color w:val="000000"/>
                <w:sz w:val="32"/>
                <w:szCs w:val="32"/>
              </w:rPr>
            </w:pPr>
          </w:p>
          <w:p w14:paraId="06DF315A">
            <w:pPr>
              <w:widowControl w:val="0"/>
              <w:spacing w:line="400" w:lineRule="exact"/>
              <w:jc w:val="center"/>
              <w:outlineLvl w:val="1"/>
              <w:rPr>
                <w:rFonts w:ascii="Times New Roman" w:hAnsi="Times New Roman" w:eastAsia="方正黑体_GBK"/>
                <w:color w:val="000000"/>
                <w:sz w:val="32"/>
                <w:szCs w:val="32"/>
              </w:rPr>
            </w:pPr>
            <w:bookmarkStart w:id="0" w:name="_Toc21945"/>
            <w:r>
              <w:rPr>
                <w:rFonts w:ascii="Times New Roman" w:hAnsi="Times New Roman" w:eastAsia="方正黑体_GBK"/>
                <w:color w:val="000000"/>
                <w:sz w:val="32"/>
                <w:szCs w:val="32"/>
              </w:rPr>
              <w:t>1</w:t>
            </w:r>
            <w:bookmarkEnd w:id="0"/>
          </w:p>
        </w:tc>
        <w:tc>
          <w:tcPr>
            <w:tcW w:w="1705" w:type="dxa"/>
            <w:vAlign w:val="center"/>
          </w:tcPr>
          <w:p w14:paraId="4862BAF9">
            <w:pPr>
              <w:widowControl w:val="0"/>
              <w:spacing w:line="400" w:lineRule="exact"/>
              <w:jc w:val="center"/>
              <w:outlineLvl w:val="1"/>
              <w:rPr>
                <w:rFonts w:hint="eastAsia" w:ascii="Times New Roman" w:hAnsi="Times New Roman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  <w:lang w:val="en-US" w:eastAsia="zh-CN"/>
              </w:rPr>
              <w:t>重点河流环境应急“一河一策一图”项目环境应急虚拟现实技术拍摄与计算机建模技术服务</w:t>
            </w:r>
          </w:p>
        </w:tc>
        <w:tc>
          <w:tcPr>
            <w:tcW w:w="6752" w:type="dxa"/>
          </w:tcPr>
          <w:p w14:paraId="64352852">
            <w:pPr>
              <w:widowControl w:val="0"/>
              <w:spacing w:line="300" w:lineRule="exact"/>
              <w:ind w:firstLine="480" w:firstLineChars="200"/>
              <w:jc w:val="left"/>
              <w:outlineLvl w:val="1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（一）服务内容：钦州市皇马工业园区（含钦州高端医药精细化工产业园）和北部湾林木产业园区域共占地面积约20平方公里，本次外协服务需以园区环境应急空间与设施为重点进行无人机航拍，利用计算机技术合成园区全景图（覆盖园区全部范围），并在全景图上标注环境应急空间与设施的点、线、面矢量数据，实现互动式查看园区场景效果，最后将园区突发水污染事件“一园一策一图”应急指挥图、园区VR全景图的统一资源定位系统（URL）访问地址等录入生态环境部环境应急管理平台。</w:t>
            </w:r>
          </w:p>
          <w:p w14:paraId="6F808776">
            <w:pPr>
              <w:widowControl w:val="0"/>
              <w:spacing w:line="300" w:lineRule="exact"/>
              <w:ind w:firstLine="480" w:firstLineChars="200"/>
              <w:jc w:val="left"/>
              <w:outlineLvl w:val="1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（二）技术要求：本次服务围绕钦州市皇马工业园区和北部湾林木产业园区开展“一园一策一图”无人机拍摄或三维建模，需具备一定化工知识，在利用无人机拍摄或三维建模的基础上，根据资料及调查情况，识别园区可用于应急的空间设施，标注园区环境应急空间与设施等4项清单中的相关信息（名称、可用容量等），构建覆盖整个园区的全景图。</w:t>
            </w:r>
          </w:p>
          <w:p w14:paraId="0F6F3581">
            <w:pPr>
              <w:widowControl w:val="0"/>
              <w:spacing w:line="300" w:lineRule="exact"/>
              <w:ind w:firstLine="480" w:firstLineChars="200"/>
              <w:jc w:val="left"/>
              <w:outlineLvl w:val="1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（1）园区VR全景图必须覆盖整个园区。</w:t>
            </w:r>
          </w:p>
          <w:p w14:paraId="2DF5F5E3">
            <w:pPr>
              <w:widowControl w:val="0"/>
              <w:spacing w:line="300" w:lineRule="exact"/>
              <w:ind w:firstLine="480" w:firstLineChars="200"/>
              <w:jc w:val="left"/>
              <w:outlineLvl w:val="1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（2）无人机拍摄全景图精度需达到0.1米以上。</w:t>
            </w:r>
          </w:p>
          <w:p w14:paraId="437636C5">
            <w:pPr>
              <w:widowControl w:val="0"/>
              <w:spacing w:line="300" w:lineRule="exact"/>
              <w:ind w:firstLine="480" w:firstLineChars="200"/>
              <w:jc w:val="left"/>
              <w:outlineLvl w:val="1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（3）园区VR全景图上综合采用点、线、面形式标注环境应急空间与设施、环境风险源、水环境敏感目标、河流水系等信息。其中，采用点标注的信息有应急池、雨水排口及闸阀、污水排口及闸阀、废水处理设施、环境应急物资库、闸坝、临时筑坝点、桥梁、水环境敏感目标等；采用线标注的信息有括重点企业边界、园区边界、雨水管网、污水管网、转输体系、危化品运输路线（含道路、管廊、航线）等；采用面标注的信息有括园区河道、沟渠、坑塘、湖泊等。</w:t>
            </w:r>
            <w:bookmarkStart w:id="3" w:name="_GoBack"/>
            <w:bookmarkEnd w:id="3"/>
          </w:p>
          <w:p w14:paraId="23E23041">
            <w:pPr>
              <w:widowControl w:val="0"/>
              <w:spacing w:line="300" w:lineRule="exact"/>
              <w:ind w:firstLine="480" w:firstLineChars="200"/>
              <w:jc w:val="left"/>
              <w:outlineLvl w:val="1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（三）时间要求：项目工作在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签订合同后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内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完成。</w:t>
            </w:r>
          </w:p>
        </w:tc>
        <w:tc>
          <w:tcPr>
            <w:tcW w:w="945" w:type="dxa"/>
          </w:tcPr>
          <w:p w14:paraId="30D4A31C">
            <w:pPr>
              <w:widowControl w:val="0"/>
              <w:spacing w:line="400" w:lineRule="exact"/>
              <w:jc w:val="center"/>
              <w:outlineLvl w:val="1"/>
              <w:rPr>
                <w:rFonts w:ascii="Times New Roman" w:hAnsi="Times New Roman" w:eastAsia="方正黑体_GBK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</w:tcPr>
          <w:p w14:paraId="3121342D">
            <w:pPr>
              <w:widowControl w:val="0"/>
              <w:spacing w:line="400" w:lineRule="exact"/>
              <w:jc w:val="center"/>
              <w:outlineLvl w:val="1"/>
              <w:rPr>
                <w:rFonts w:ascii="Times New Roman" w:hAnsi="Times New Roman" w:eastAsia="方正黑体_GBK"/>
                <w:color w:val="000000"/>
                <w:sz w:val="32"/>
                <w:szCs w:val="32"/>
              </w:rPr>
            </w:pPr>
          </w:p>
        </w:tc>
        <w:tc>
          <w:tcPr>
            <w:tcW w:w="2236" w:type="dxa"/>
          </w:tcPr>
          <w:p w14:paraId="32AC2622">
            <w:pPr>
              <w:widowControl w:val="0"/>
              <w:spacing w:line="400" w:lineRule="exact"/>
              <w:jc w:val="center"/>
              <w:outlineLvl w:val="1"/>
              <w:rPr>
                <w:rFonts w:ascii="Times New Roman" w:hAnsi="Times New Roman" w:eastAsia="方正黑体_GBK"/>
                <w:color w:val="000000"/>
                <w:sz w:val="32"/>
                <w:szCs w:val="32"/>
              </w:rPr>
            </w:pPr>
          </w:p>
        </w:tc>
        <w:tc>
          <w:tcPr>
            <w:tcW w:w="1058" w:type="dxa"/>
          </w:tcPr>
          <w:p w14:paraId="2091543E">
            <w:pPr>
              <w:widowControl w:val="0"/>
              <w:spacing w:line="400" w:lineRule="exact"/>
              <w:jc w:val="center"/>
              <w:outlineLvl w:val="1"/>
              <w:rPr>
                <w:rFonts w:ascii="Times New Roman" w:hAnsi="Times New Roman" w:eastAsia="方正黑体_GBK"/>
                <w:color w:val="000000"/>
                <w:sz w:val="32"/>
                <w:szCs w:val="32"/>
              </w:rPr>
            </w:pPr>
          </w:p>
        </w:tc>
      </w:tr>
    </w:tbl>
    <w:p w14:paraId="2BB3C1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jc w:val="left"/>
        <w:textAlignment w:val="auto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bookmarkStart w:id="1" w:name="_Toc5015"/>
      <w:r>
        <w:rPr>
          <w:rFonts w:hint="eastAsia" w:ascii="Times New Roman" w:hAnsi="Times New Roman" w:eastAsia="方正仿宋_GBK"/>
          <w:color w:val="000000"/>
          <w:sz w:val="28"/>
          <w:szCs w:val="28"/>
        </w:rPr>
        <w:t>报价单位（盖章）：</w:t>
      </w:r>
      <w:r>
        <w:rPr>
          <w:rFonts w:ascii="Times New Roman" w:hAnsi="Times New Roman" w:eastAsia="方正仿宋_GBK"/>
          <w:color w:val="000000"/>
          <w:sz w:val="28"/>
          <w:szCs w:val="28"/>
          <w:u w:val="single"/>
        </w:rPr>
        <w:t xml:space="preserve">                               </w:t>
      </w:r>
      <w:r>
        <w:rPr>
          <w:rFonts w:ascii="Times New Roman" w:hAnsi="Times New Roman" w:eastAsia="方正仿宋_GBK"/>
          <w:color w:val="000000"/>
          <w:sz w:val="28"/>
          <w:szCs w:val="28"/>
        </w:rPr>
        <w:t xml:space="preserve">      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单位地址：</w:t>
      </w:r>
      <w:r>
        <w:rPr>
          <w:rFonts w:ascii="Times New Roman" w:hAnsi="Times New Roman" w:eastAsia="方正仿宋_GBK"/>
          <w:color w:val="000000"/>
          <w:sz w:val="28"/>
          <w:szCs w:val="28"/>
          <w:u w:val="single"/>
        </w:rPr>
        <w:t xml:space="preserve">                               </w:t>
      </w:r>
      <w:r>
        <w:rPr>
          <w:rFonts w:ascii="Times New Roman" w:hAnsi="Times New Roman" w:eastAsia="方正仿宋_GBK"/>
          <w:color w:val="000000"/>
          <w:sz w:val="28"/>
          <w:szCs w:val="28"/>
        </w:rPr>
        <w:t xml:space="preserve">   </w:t>
      </w:r>
    </w:p>
    <w:p w14:paraId="575FF72F">
      <w:pPr>
        <w:spacing w:line="400" w:lineRule="exact"/>
        <w:jc w:val="left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</w:rPr>
        <w:t>联系人（签字）：</w:t>
      </w:r>
      <w:r>
        <w:rPr>
          <w:rFonts w:ascii="Times New Roman" w:hAnsi="Times New Roman" w:eastAsia="方正仿宋_GBK"/>
          <w:color w:val="000000"/>
          <w:sz w:val="28"/>
          <w:szCs w:val="28"/>
          <w:u w:val="single"/>
        </w:rPr>
        <w:t xml:space="preserve">                   </w:t>
      </w:r>
      <w:r>
        <w:rPr>
          <w:rFonts w:ascii="Times New Roman" w:hAnsi="Times New Roman" w:eastAsia="方正仿宋_GBK"/>
          <w:color w:val="000000"/>
          <w:sz w:val="28"/>
          <w:szCs w:val="28"/>
        </w:rPr>
        <w:t xml:space="preserve">     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联系方式：</w:t>
      </w:r>
      <w:r>
        <w:rPr>
          <w:rFonts w:ascii="Times New Roman" w:hAnsi="Times New Roman" w:eastAsia="方正仿宋_GBK"/>
          <w:color w:val="000000"/>
          <w:sz w:val="28"/>
          <w:szCs w:val="28"/>
          <w:u w:val="single"/>
        </w:rPr>
        <w:t xml:space="preserve">                   </w:t>
      </w:r>
      <w:r>
        <w:rPr>
          <w:rFonts w:ascii="Times New Roman" w:hAnsi="Times New Roman" w:eastAsia="方正仿宋_GBK"/>
          <w:color w:val="000000"/>
          <w:sz w:val="28"/>
          <w:szCs w:val="28"/>
        </w:rPr>
        <w:t xml:space="preserve">   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报价日期：</w:t>
      </w:r>
      <w:bookmarkEnd w:id="1"/>
      <w:r>
        <w:rPr>
          <w:rFonts w:ascii="Times New Roman" w:hAnsi="Times New Roman" w:eastAsia="方正仿宋_GBK"/>
          <w:color w:val="000000"/>
          <w:sz w:val="28"/>
          <w:szCs w:val="28"/>
          <w:u w:val="single"/>
        </w:rPr>
        <w:t xml:space="preserve">                   </w:t>
      </w:r>
    </w:p>
    <w:p w14:paraId="2ABE7A95">
      <w:pPr>
        <w:spacing w:line="400" w:lineRule="exact"/>
        <w:ind w:left="-359" w:leftChars="-171"/>
        <w:jc w:val="left"/>
        <w:outlineLvl w:val="1"/>
      </w:pPr>
      <w:r>
        <w:rPr>
          <w:rFonts w:ascii="Times New Roman" w:hAnsi="Times New Roman" w:eastAsia="方正仿宋_GBK"/>
          <w:color w:val="000000"/>
          <w:sz w:val="28"/>
          <w:szCs w:val="28"/>
        </w:rPr>
        <w:t xml:space="preserve"> </w:t>
      </w:r>
      <w:bookmarkStart w:id="2" w:name="_Toc31049"/>
      <w:r>
        <w:rPr>
          <w:rFonts w:hint="eastAsia" w:ascii="Times New Roman" w:hAnsi="Times New Roman" w:eastAsia="方正仿宋_GBK"/>
          <w:color w:val="000000"/>
          <w:sz w:val="24"/>
        </w:rPr>
        <w:t>注：报价单位应根据询价函和服务需求响应表的要求逐条响应并在“偏离情况”栏注明“正偏离”、“负偏离”或“无偏离”，特别对有具体参数要求的指标，报价单位必须提供所供服务的具体参数值</w:t>
      </w:r>
      <w:bookmarkEnd w:id="2"/>
      <w:r>
        <w:rPr>
          <w:rFonts w:hint="eastAsia" w:ascii="Times New Roman" w:hAnsi="Times New Roman" w:eastAsia="方正仿宋_GBK"/>
          <w:color w:val="000000"/>
          <w:sz w:val="24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A644E6-1154-4E43-BCDF-D0E8029AF4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7D65D32-A2BE-448A-A32D-62E296A0380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38F6E0B-748B-46AB-911D-8234F9AE9CE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7401E544-A579-461A-BE19-DAA1FB2C739D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5" w:fontKey="{2EE8F280-E582-4048-AA4C-ECE57FB74D8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9C2AE304-BF3D-4466-85E5-FFA45E939F9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GY0ZTViYWQyN2I0ZGJhNDk0OThkMjNkNmQ2MDYifQ=="/>
  </w:docVars>
  <w:rsids>
    <w:rsidRoot w:val="00000000"/>
    <w:rsid w:val="196D1903"/>
    <w:rsid w:val="1CAF1B22"/>
    <w:rsid w:val="23D22633"/>
    <w:rsid w:val="26A73FA1"/>
    <w:rsid w:val="3C8A3A8E"/>
    <w:rsid w:val="40E73B81"/>
    <w:rsid w:val="420B55E6"/>
    <w:rsid w:val="43B94874"/>
    <w:rsid w:val="48ED3D28"/>
    <w:rsid w:val="53A365BD"/>
    <w:rsid w:val="53F338AA"/>
    <w:rsid w:val="5A475E9A"/>
    <w:rsid w:val="7F5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semiHidden/>
    <w:unhideWhenUsed/>
    <w:qFormat/>
    <w:uiPriority w:val="0"/>
    <w:pPr>
      <w:spacing w:before="100" w:beforeLines="100" w:after="100" w:afterLines="100" w:line="600" w:lineRule="exact"/>
      <w:ind w:left="0" w:firstLine="0"/>
      <w:outlineLvl w:val="1"/>
    </w:pPr>
    <w:rPr>
      <w:rFonts w:ascii="Times New Roman" w:hAnsi="Times New Roman" w:eastAsia="仿宋" w:cs="Calibri"/>
      <w:b/>
      <w:bCs/>
      <w:sz w:val="28"/>
      <w:szCs w:val="28"/>
      <w:lang w:eastAsia="en-US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812</Words>
  <Characters>825</Characters>
  <Lines>0</Lines>
  <Paragraphs>0</Paragraphs>
  <TotalTime>1</TotalTime>
  <ScaleCrop>false</ScaleCrop>
  <LinksUpToDate>false</LinksUpToDate>
  <CharactersWithSpaces>971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chnh</cp:lastModifiedBy>
  <cp:lastPrinted>2024-10-16T09:01:00Z</cp:lastPrinted>
  <dcterms:modified xsi:type="dcterms:W3CDTF">2024-10-30T00:58:41Z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3A39766B183A4CE09868970ACED8E8EC_12</vt:lpwstr>
  </property>
</Properties>
</file>