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</w:t>
      </w:r>
    </w:p>
    <w:p>
      <w:pPr>
        <w:autoSpaceDE w:val="0"/>
        <w:spacing w:line="600" w:lineRule="exact"/>
        <w:jc w:val="center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_GBK"/>
          <w:color w:val="000000"/>
          <w:sz w:val="44"/>
          <w:szCs w:val="44"/>
        </w:rPr>
        <w:t>报价表</w:t>
      </w:r>
    </w:p>
    <w:p>
      <w:pPr>
        <w:overflowPunct w:val="0"/>
        <w:spacing w:line="600" w:lineRule="exact"/>
        <w:ind w:firstLine="480" w:firstLineChars="200"/>
        <w:rPr>
          <w:rFonts w:ascii="Times New Roman" w:hAnsi="Times New Roman" w:eastAsia="仿宋" w:cs="仿宋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4"/>
          <w:lang w:bidi="ar"/>
        </w:rPr>
        <w:t>项目名称：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800"/>
        <w:gridCol w:w="882"/>
        <w:gridCol w:w="709"/>
        <w:gridCol w:w="818"/>
        <w:gridCol w:w="1315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具体（详细）规格参数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计量单位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合计金额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合计金额</w:t>
            </w:r>
          </w:p>
        </w:tc>
        <w:tc>
          <w:tcPr>
            <w:tcW w:w="5007" w:type="dxa"/>
            <w:gridSpan w:val="5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overflowPunct w:val="0"/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 w:cs="仿宋_GB2312"/>
                <w:color w:val="000000"/>
                <w:kern w:val="0"/>
                <w:sz w:val="24"/>
                <w:lang w:bidi="ar"/>
              </w:rPr>
              <w:t>商务响应：（供货时间、质保期等）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 w:cs="仿宋_GB2312"/>
          <w:b/>
          <w:bCs/>
          <w:color w:val="000000"/>
          <w:kern w:val="0"/>
          <w:sz w:val="28"/>
          <w:szCs w:val="28"/>
          <w:lang w:bidi="ar"/>
        </w:rPr>
        <w:t>报价</w:t>
      </w:r>
      <w:r>
        <w:rPr>
          <w:rFonts w:ascii="Times New Roman" w:hAnsi="Times New Roman" w:eastAsia="仿宋" w:cs="仿宋_GB2312"/>
          <w:b/>
          <w:bCs/>
          <w:color w:val="000000"/>
          <w:kern w:val="0"/>
          <w:sz w:val="28"/>
          <w:szCs w:val="28"/>
          <w:lang w:bidi="ar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1．报价含运输、拆卸、安装、搬运、清理现场、废旧处理、维修人工费、税发票等所有费用。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2．报价超过本项目</w:t>
      </w:r>
      <w:r>
        <w:rPr>
          <w:rFonts w:hint="eastAsia"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预算的</w:t>
      </w:r>
      <w:r>
        <w:rPr>
          <w:rFonts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作无效投标处理。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3</w:t>
      </w:r>
      <w:r>
        <w:rPr>
          <w:rFonts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．成交供应商须按采购人的要求供货，否则采购人有权拒收。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4</w:t>
      </w:r>
      <w:r>
        <w:rPr>
          <w:rFonts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．供应商应按清单中的</w:t>
      </w:r>
      <w:r>
        <w:rPr>
          <w:rFonts w:hint="eastAsia" w:ascii="Times New Roman" w:hAnsi="Times New Roman" w:eastAsia="仿宋" w:cs="仿宋_GB2312"/>
          <w:color w:val="000000"/>
          <w:kern w:val="0"/>
          <w:sz w:val="28"/>
          <w:szCs w:val="28"/>
          <w:lang w:val="en-US" w:eastAsia="zh-CN" w:bidi="ar"/>
        </w:rPr>
        <w:t>服务</w:t>
      </w:r>
      <w:r>
        <w:rPr>
          <w:rFonts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项目自行备货，根据</w:t>
      </w:r>
      <w:r>
        <w:rPr>
          <w:rFonts w:hint="eastAsia" w:ascii="Times New Roman" w:hAnsi="Times New Roman" w:eastAsia="仿宋" w:cs="仿宋_GB2312"/>
          <w:color w:val="000000"/>
          <w:kern w:val="0"/>
          <w:sz w:val="28"/>
          <w:szCs w:val="28"/>
          <w:lang w:val="en-US" w:eastAsia="zh-CN" w:bidi="ar"/>
        </w:rPr>
        <w:t>采购人</w:t>
      </w:r>
      <w:r>
        <w:rPr>
          <w:rFonts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的实际使用需求进行</w:t>
      </w:r>
      <w:r>
        <w:rPr>
          <w:rFonts w:hint="eastAsia" w:ascii="Times New Roman" w:hAnsi="Times New Roman" w:eastAsia="仿宋" w:cs="仿宋_GB2312"/>
          <w:color w:val="000000"/>
          <w:kern w:val="0"/>
          <w:sz w:val="28"/>
          <w:szCs w:val="28"/>
          <w:lang w:val="en-US" w:eastAsia="zh-CN" w:bidi="ar"/>
        </w:rPr>
        <w:t>服务</w:t>
      </w:r>
      <w:r>
        <w:rPr>
          <w:rFonts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，确保正常使用。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报价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单位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（盖公章）：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报价时间： 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年 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   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F044E"/>
    <w:rsid w:val="18DF6024"/>
    <w:rsid w:val="37D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2024-10-12T02:11:00Z</dcterms:created>
  <dc:creator>Lenovo</dc:creator>
  <cp:lastModifiedBy>Lenovo</cp:lastModifiedBy>
  <dcterms:modified xsi:type="dcterms:W3CDTF">2024-11-01T07:51:43Z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