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B7" w:rsidRDefault="00A11E49">
      <w:pPr>
        <w:widowControl w:val="0"/>
        <w:tabs>
          <w:tab w:val="left" w:pos="0"/>
        </w:tabs>
        <w:spacing w:afterLines="50" w:after="156" w:line="300" w:lineRule="exact"/>
        <w:jc w:val="left"/>
        <w:rPr>
          <w:rFonts w:ascii="宋体" w:hAnsi="宋体" w:cs="宋体"/>
          <w:bCs/>
          <w:sz w:val="30"/>
          <w:szCs w:val="30"/>
        </w:rPr>
      </w:pPr>
      <w:r>
        <w:rPr>
          <w:rFonts w:ascii="宋体" w:hAnsi="宋体" w:cs="宋体" w:hint="eastAsia"/>
          <w:bCs/>
          <w:sz w:val="30"/>
          <w:szCs w:val="30"/>
        </w:rPr>
        <w:t>附件1</w:t>
      </w:r>
    </w:p>
    <w:p w:rsidR="004013B7" w:rsidRDefault="00A11E49">
      <w:pPr>
        <w:widowControl w:val="0"/>
        <w:tabs>
          <w:tab w:val="left" w:pos="0"/>
        </w:tabs>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广西壮族自治区柳州生态环境监测中心</w:t>
      </w:r>
    </w:p>
    <w:p w:rsidR="004013B7" w:rsidRDefault="00A11E49">
      <w:pPr>
        <w:widowControl w:val="0"/>
        <w:tabs>
          <w:tab w:val="left" w:pos="0"/>
        </w:tabs>
        <w:snapToGrid w:val="0"/>
        <w:spacing w:afterLines="50" w:after="156"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2024-2025年</w:t>
      </w:r>
      <w:r>
        <w:rPr>
          <w:rFonts w:ascii="方正小标宋_GBK" w:eastAsia="方正小标宋_GBK" w:hAnsi="方正小标宋_GBK" w:cs="方正小标宋_GBK"/>
          <w:sz w:val="44"/>
          <w:szCs w:val="44"/>
        </w:rPr>
        <w:t>公务用</w:t>
      </w:r>
      <w:r>
        <w:rPr>
          <w:rFonts w:ascii="方正小标宋_GBK" w:eastAsia="方正小标宋_GBK" w:hAnsi="方正小标宋_GBK" w:cs="方正小标宋_GBK" w:hint="eastAsia"/>
          <w:sz w:val="44"/>
          <w:szCs w:val="44"/>
        </w:rPr>
        <w:t>车</w:t>
      </w:r>
      <w:r>
        <w:rPr>
          <w:rFonts w:ascii="方正小标宋_GBK" w:eastAsia="方正小标宋_GBK" w:hAnsi="方正小标宋_GBK" w:cs="方正小标宋_GBK"/>
          <w:sz w:val="44"/>
          <w:szCs w:val="44"/>
        </w:rPr>
        <w:t>租赁服务</w:t>
      </w:r>
      <w:r>
        <w:rPr>
          <w:rFonts w:ascii="方正小标宋_GBK" w:eastAsia="方正小标宋_GBK" w:hAnsi="方正小标宋_GBK" w:cs="方正小标宋_GBK" w:hint="eastAsia"/>
          <w:sz w:val="44"/>
          <w:szCs w:val="44"/>
        </w:rPr>
        <w:t>采购需求</w:t>
      </w:r>
    </w:p>
    <w:p w:rsidR="004013B7" w:rsidRDefault="004013B7">
      <w:pPr>
        <w:pStyle w:val="a1"/>
      </w:pPr>
    </w:p>
    <w:p w:rsidR="004013B7" w:rsidRDefault="004013B7">
      <w:pPr>
        <w:pStyle w:val="a"/>
        <w:numPr>
          <w:ilvl w:val="0"/>
          <w:numId w:val="0"/>
        </w:numPr>
      </w:pPr>
    </w:p>
    <w:p w:rsidR="004013B7" w:rsidRDefault="004013B7">
      <w:pPr>
        <w:pStyle w:val="a"/>
        <w:numPr>
          <w:ilvl w:val="0"/>
          <w:numId w:val="0"/>
        </w:num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811"/>
        <w:gridCol w:w="5966"/>
      </w:tblGrid>
      <w:tr w:rsidR="004013B7">
        <w:trPr>
          <w:jc w:val="center"/>
        </w:trPr>
        <w:tc>
          <w:tcPr>
            <w:tcW w:w="8676" w:type="dxa"/>
            <w:gridSpan w:val="3"/>
            <w:noWrap/>
            <w:vAlign w:val="center"/>
          </w:tcPr>
          <w:p w:rsidR="004013B7" w:rsidRDefault="00A11E49">
            <w:pPr>
              <w:spacing w:line="360" w:lineRule="auto"/>
              <w:rPr>
                <w:szCs w:val="21"/>
              </w:rPr>
            </w:pPr>
            <w:r>
              <w:rPr>
                <w:rFonts w:hint="eastAsia"/>
                <w:b/>
                <w:bCs/>
                <w:szCs w:val="21"/>
              </w:rPr>
              <w:t>一、项目要求</w:t>
            </w:r>
          </w:p>
        </w:tc>
      </w:tr>
      <w:tr w:rsidR="004013B7">
        <w:trPr>
          <w:jc w:val="center"/>
        </w:trPr>
        <w:tc>
          <w:tcPr>
            <w:tcW w:w="899" w:type="dxa"/>
            <w:noWrap/>
            <w:vAlign w:val="center"/>
          </w:tcPr>
          <w:p w:rsidR="004013B7" w:rsidRDefault="00A11E49">
            <w:pPr>
              <w:spacing w:line="360" w:lineRule="auto"/>
              <w:jc w:val="center"/>
              <w:rPr>
                <w:szCs w:val="21"/>
              </w:rPr>
            </w:pPr>
            <w:r>
              <w:rPr>
                <w:rFonts w:hint="eastAsia"/>
                <w:b/>
                <w:szCs w:val="21"/>
              </w:rPr>
              <w:t>名称</w:t>
            </w:r>
          </w:p>
        </w:tc>
        <w:tc>
          <w:tcPr>
            <w:tcW w:w="1811" w:type="dxa"/>
            <w:noWrap/>
            <w:vAlign w:val="center"/>
          </w:tcPr>
          <w:p w:rsidR="004013B7" w:rsidRDefault="00A11E49">
            <w:pPr>
              <w:spacing w:line="360" w:lineRule="auto"/>
              <w:jc w:val="center"/>
              <w:rPr>
                <w:szCs w:val="21"/>
              </w:rPr>
            </w:pPr>
            <w:r>
              <w:rPr>
                <w:rFonts w:hint="eastAsia"/>
                <w:b/>
                <w:szCs w:val="21"/>
              </w:rPr>
              <w:t>预算金额</w:t>
            </w:r>
          </w:p>
        </w:tc>
        <w:tc>
          <w:tcPr>
            <w:tcW w:w="5966" w:type="dxa"/>
            <w:noWrap/>
            <w:vAlign w:val="center"/>
          </w:tcPr>
          <w:p w:rsidR="004013B7" w:rsidRDefault="00A11E49">
            <w:pPr>
              <w:spacing w:line="360" w:lineRule="auto"/>
              <w:jc w:val="center"/>
              <w:rPr>
                <w:szCs w:val="21"/>
              </w:rPr>
            </w:pPr>
            <w:r>
              <w:rPr>
                <w:rFonts w:hint="eastAsia"/>
                <w:b/>
                <w:bCs/>
                <w:szCs w:val="21"/>
              </w:rPr>
              <w:t>需求内容</w:t>
            </w:r>
          </w:p>
        </w:tc>
      </w:tr>
      <w:tr w:rsidR="004013B7">
        <w:trPr>
          <w:trHeight w:val="771"/>
          <w:jc w:val="center"/>
        </w:trPr>
        <w:tc>
          <w:tcPr>
            <w:tcW w:w="899" w:type="dxa"/>
            <w:noWrap/>
            <w:vAlign w:val="center"/>
          </w:tcPr>
          <w:p w:rsidR="004013B7" w:rsidRDefault="00A11E49">
            <w:r>
              <w:rPr>
                <w:rFonts w:hint="eastAsia"/>
              </w:rPr>
              <w:t>租赁车辆服务</w:t>
            </w:r>
          </w:p>
        </w:tc>
        <w:tc>
          <w:tcPr>
            <w:tcW w:w="1811" w:type="dxa"/>
            <w:noWrap/>
            <w:vAlign w:val="center"/>
          </w:tcPr>
          <w:p w:rsidR="004013B7" w:rsidRDefault="00A11E49">
            <w:pPr>
              <w:jc w:val="center"/>
            </w:pPr>
            <w:r>
              <w:rPr>
                <w:rFonts w:hint="eastAsia"/>
                <w:szCs w:val="21"/>
              </w:rPr>
              <w:t>预算</w:t>
            </w:r>
            <w:r>
              <w:rPr>
                <w:rFonts w:hint="eastAsia"/>
                <w:szCs w:val="21"/>
              </w:rPr>
              <w:t>18</w:t>
            </w:r>
            <w:r>
              <w:rPr>
                <w:rFonts w:hint="eastAsia"/>
                <w:szCs w:val="21"/>
              </w:rPr>
              <w:t>万元</w:t>
            </w:r>
            <w:r>
              <w:rPr>
                <w:rFonts w:hint="eastAsia"/>
                <w:szCs w:val="21"/>
              </w:rPr>
              <w:t>/</w:t>
            </w:r>
            <w:r>
              <w:rPr>
                <w:rFonts w:hint="eastAsia"/>
                <w:szCs w:val="21"/>
              </w:rPr>
              <w:t>年。（按实际使用结算费用）</w:t>
            </w:r>
          </w:p>
        </w:tc>
        <w:tc>
          <w:tcPr>
            <w:tcW w:w="5966" w:type="dxa"/>
            <w:noWrap/>
            <w:vAlign w:val="center"/>
          </w:tcPr>
          <w:p w:rsidR="004013B7" w:rsidRDefault="00A11E49">
            <w:pPr>
              <w:rPr>
                <w:b/>
                <w:bCs/>
                <w:szCs w:val="21"/>
              </w:rPr>
            </w:pPr>
            <w:r>
              <w:rPr>
                <w:rFonts w:hint="eastAsia"/>
                <w:szCs w:val="21"/>
              </w:rPr>
              <w:t>根据采购方要求，中标方负责组织和提供运力，满足采购方的租赁需求，并对租赁过程中的相关安全和服务质量负责。具体租赁车辆的车型、数量、时间以采购方通知为准。</w:t>
            </w:r>
          </w:p>
        </w:tc>
      </w:tr>
      <w:tr w:rsidR="004013B7">
        <w:trPr>
          <w:jc w:val="center"/>
        </w:trPr>
        <w:tc>
          <w:tcPr>
            <w:tcW w:w="8676" w:type="dxa"/>
            <w:gridSpan w:val="3"/>
            <w:noWrap/>
            <w:vAlign w:val="center"/>
          </w:tcPr>
          <w:p w:rsidR="004013B7" w:rsidRDefault="00A11E49">
            <w:pPr>
              <w:spacing w:line="360" w:lineRule="auto"/>
              <w:rPr>
                <w:b/>
                <w:szCs w:val="21"/>
              </w:rPr>
            </w:pPr>
            <w:r>
              <w:rPr>
                <w:rFonts w:hint="eastAsia"/>
                <w:b/>
                <w:bCs/>
                <w:szCs w:val="21"/>
              </w:rPr>
              <w:t>二、商务要求</w:t>
            </w:r>
          </w:p>
        </w:tc>
      </w:tr>
      <w:tr w:rsidR="004013B7">
        <w:trPr>
          <w:jc w:val="center"/>
        </w:trPr>
        <w:tc>
          <w:tcPr>
            <w:tcW w:w="8676" w:type="dxa"/>
            <w:gridSpan w:val="3"/>
            <w:noWrap/>
            <w:vAlign w:val="center"/>
          </w:tcPr>
          <w:p w:rsidR="004013B7" w:rsidRDefault="00A11E49">
            <w:pPr>
              <w:adjustRightInd w:val="0"/>
              <w:snapToGrid w:val="0"/>
              <w:ind w:firstLineChars="200" w:firstLine="420"/>
            </w:pPr>
            <w:r>
              <w:rPr>
                <w:rFonts w:hint="eastAsia"/>
              </w:rPr>
              <w:t>1</w:t>
            </w:r>
            <w:r>
              <w:rPr>
                <w:rFonts w:hint="eastAsia"/>
              </w:rPr>
              <w:t>．报价要求</w:t>
            </w:r>
          </w:p>
          <w:p w:rsidR="004013B7" w:rsidRDefault="00A11E49">
            <w:pPr>
              <w:adjustRightInd w:val="0"/>
              <w:snapToGrid w:val="0"/>
              <w:ind w:firstLineChars="200" w:firstLine="396"/>
            </w:pPr>
            <w:r>
              <w:rPr>
                <w:rFonts w:hint="eastAsia"/>
                <w:spacing w:val="-6"/>
                <w:szCs w:val="21"/>
              </w:rPr>
              <w:t>投标人按附表对应车型进行报价，</w:t>
            </w:r>
            <w:r>
              <w:rPr>
                <w:rFonts w:hint="eastAsia"/>
              </w:rPr>
              <w:t>价格包含</w:t>
            </w:r>
            <w:r>
              <w:rPr>
                <w:rFonts w:ascii="宋体" w:hAnsi="宋体" w:hint="eastAsia"/>
                <w:kern w:val="0"/>
              </w:rPr>
              <w:t>车辆租赁费（包含但不限于车辆租赁费、日常保养维修费及清洁费、年审费、保险相关税金等费用）及驾驶员服务费（包含但不限于劳务费、餐费、过夜住宿费等，</w:t>
            </w:r>
            <w:proofErr w:type="gramStart"/>
            <w:r>
              <w:rPr>
                <w:rFonts w:ascii="宋体" w:hAnsi="宋体" w:hint="eastAsia"/>
                <w:kern w:val="0"/>
              </w:rPr>
              <w:t>分需住宿</w:t>
            </w:r>
            <w:proofErr w:type="gramEnd"/>
            <w:r>
              <w:rPr>
                <w:rFonts w:ascii="宋体" w:hAnsi="宋体" w:hint="eastAsia"/>
                <w:kern w:val="0"/>
              </w:rPr>
              <w:t>和不需住宿两类费用报价），燃油费、过路过桥费按实际结算。</w:t>
            </w:r>
            <w:r>
              <w:rPr>
                <w:rFonts w:hint="eastAsia"/>
              </w:rPr>
              <w:t>如使用其他车型双方可根据正常市场价格协商确定。</w:t>
            </w:r>
          </w:p>
          <w:p w:rsidR="004013B7" w:rsidRDefault="00A11E49">
            <w:pPr>
              <w:adjustRightInd w:val="0"/>
              <w:snapToGrid w:val="0"/>
              <w:ind w:firstLineChars="200" w:firstLine="420"/>
            </w:pPr>
            <w:r>
              <w:rPr>
                <w:rFonts w:hint="eastAsia"/>
              </w:rPr>
              <w:t>2</w:t>
            </w:r>
            <w:r>
              <w:rPr>
                <w:rFonts w:hint="eastAsia"/>
              </w:rPr>
              <w:t>．项目服务时间及服务地点</w:t>
            </w:r>
          </w:p>
          <w:p w:rsidR="004013B7" w:rsidRDefault="00A11E49">
            <w:pPr>
              <w:adjustRightInd w:val="0"/>
              <w:snapToGrid w:val="0"/>
              <w:ind w:firstLineChars="200" w:firstLine="420"/>
            </w:pPr>
            <w:r>
              <w:rPr>
                <w:rFonts w:hint="eastAsia"/>
              </w:rPr>
              <w:t>（</w:t>
            </w:r>
            <w:r>
              <w:rPr>
                <w:rFonts w:hint="eastAsia"/>
              </w:rPr>
              <w:t>1</w:t>
            </w:r>
            <w:r>
              <w:rPr>
                <w:rFonts w:hint="eastAsia"/>
              </w:rPr>
              <w:t>）服务期限：一般为一年，以双方签订的合同为准。</w:t>
            </w:r>
          </w:p>
          <w:p w:rsidR="004013B7" w:rsidRDefault="00A11E49">
            <w:pPr>
              <w:adjustRightInd w:val="0"/>
              <w:snapToGrid w:val="0"/>
              <w:ind w:firstLineChars="200" w:firstLine="420"/>
            </w:pPr>
            <w:r>
              <w:rPr>
                <w:rFonts w:hint="eastAsia"/>
              </w:rPr>
              <w:t>（</w:t>
            </w:r>
            <w:r>
              <w:rPr>
                <w:rFonts w:hint="eastAsia"/>
              </w:rPr>
              <w:t>2</w:t>
            </w:r>
            <w:r>
              <w:rPr>
                <w:rFonts w:hint="eastAsia"/>
              </w:rPr>
              <w:t>）服务地点：每次租车服务以采购方的具体通知为准。</w:t>
            </w:r>
          </w:p>
          <w:p w:rsidR="004013B7" w:rsidRDefault="00A11E49">
            <w:pPr>
              <w:adjustRightInd w:val="0"/>
              <w:snapToGrid w:val="0"/>
              <w:ind w:firstLineChars="200" w:firstLine="420"/>
            </w:pPr>
            <w:r>
              <w:rPr>
                <w:rFonts w:hint="eastAsia"/>
              </w:rPr>
              <w:t>3</w:t>
            </w:r>
            <w:r>
              <w:rPr>
                <w:rFonts w:hint="eastAsia"/>
              </w:rPr>
              <w:t>．服务交付时间及交付地点</w:t>
            </w:r>
          </w:p>
          <w:p w:rsidR="004013B7" w:rsidRDefault="00A11E49">
            <w:pPr>
              <w:adjustRightInd w:val="0"/>
              <w:snapToGrid w:val="0"/>
              <w:ind w:firstLineChars="200" w:firstLine="420"/>
            </w:pPr>
            <w:r>
              <w:rPr>
                <w:rFonts w:hint="eastAsia"/>
              </w:rPr>
              <w:t>（</w:t>
            </w:r>
            <w:r>
              <w:rPr>
                <w:rFonts w:hint="eastAsia"/>
              </w:rPr>
              <w:t>1</w:t>
            </w:r>
            <w:r>
              <w:rPr>
                <w:rFonts w:hint="eastAsia"/>
              </w:rPr>
              <w:t>）交付时间：合同签订后立即实施。</w:t>
            </w:r>
          </w:p>
          <w:p w:rsidR="004013B7" w:rsidRDefault="00A11E49">
            <w:pPr>
              <w:adjustRightInd w:val="0"/>
              <w:snapToGrid w:val="0"/>
              <w:ind w:firstLineChars="200" w:firstLine="420"/>
            </w:pPr>
            <w:r>
              <w:rPr>
                <w:rFonts w:hint="eastAsia"/>
              </w:rPr>
              <w:t>（</w:t>
            </w:r>
            <w:r>
              <w:rPr>
                <w:rFonts w:hint="eastAsia"/>
              </w:rPr>
              <w:t>2</w:t>
            </w:r>
            <w:r>
              <w:rPr>
                <w:rFonts w:hint="eastAsia"/>
              </w:rPr>
              <w:t>）交付地点：每次租车服务以采购方的具体通知为准。</w:t>
            </w:r>
          </w:p>
          <w:p w:rsidR="004013B7" w:rsidRDefault="00A11E49">
            <w:pPr>
              <w:adjustRightInd w:val="0"/>
              <w:snapToGrid w:val="0"/>
              <w:ind w:firstLineChars="200" w:firstLine="420"/>
            </w:pPr>
            <w:r>
              <w:rPr>
                <w:rFonts w:hint="eastAsia"/>
              </w:rPr>
              <w:t>4</w:t>
            </w:r>
            <w:r>
              <w:rPr>
                <w:rFonts w:hint="eastAsia"/>
              </w:rPr>
              <w:t>．付款条件</w:t>
            </w:r>
          </w:p>
          <w:p w:rsidR="004013B7" w:rsidRDefault="00A11E49">
            <w:pPr>
              <w:adjustRightInd w:val="0"/>
              <w:snapToGrid w:val="0"/>
              <w:ind w:firstLineChars="200" w:firstLine="420"/>
            </w:pPr>
            <w:r>
              <w:rPr>
                <w:rFonts w:hint="eastAsia"/>
              </w:rPr>
              <w:t>按实际使用结算，结算价格按合同规定进行计算。每次租车服务完成后，经双方核对无误后，一般情况下一个月结算一次，如有特殊情况由双方协商确定支付时间。由中标方开具发票，采购方在收到发票后</w:t>
            </w:r>
            <w:r>
              <w:rPr>
                <w:rFonts w:hint="eastAsia"/>
              </w:rPr>
              <w:t>15</w:t>
            </w:r>
            <w:r>
              <w:rPr>
                <w:rFonts w:hint="eastAsia"/>
              </w:rPr>
              <w:t>个工作日内进行转款支付。中标方必须提供真实、有效、合法的正式发票，如提供假发票的，中标方除须向</w:t>
            </w:r>
            <w:proofErr w:type="gramStart"/>
            <w:r>
              <w:rPr>
                <w:rFonts w:hint="eastAsia"/>
              </w:rPr>
              <w:t>采购方补开合</w:t>
            </w:r>
            <w:proofErr w:type="gramEnd"/>
            <w:r>
              <w:rPr>
                <w:rFonts w:hint="eastAsia"/>
              </w:rPr>
              <w:t>法发票外，并须赔偿采购方发票票面金额一倍的违约金，由此产生的一切损失均由中标方承担。</w:t>
            </w:r>
          </w:p>
          <w:p w:rsidR="004013B7" w:rsidRDefault="00A11E49">
            <w:pPr>
              <w:numPr>
                <w:ilvl w:val="0"/>
                <w:numId w:val="2"/>
              </w:numPr>
              <w:adjustRightInd w:val="0"/>
              <w:snapToGrid w:val="0"/>
              <w:ind w:firstLineChars="200" w:firstLine="420"/>
            </w:pPr>
            <w:r>
              <w:rPr>
                <w:rFonts w:hint="eastAsia"/>
              </w:rPr>
              <w:t>其他要求：</w:t>
            </w:r>
          </w:p>
          <w:p w:rsidR="004013B7" w:rsidRDefault="00A11E49">
            <w:pPr>
              <w:pStyle w:val="a1"/>
              <w:adjustRightInd w:val="0"/>
              <w:rPr>
                <w:sz w:val="21"/>
                <w:szCs w:val="21"/>
              </w:rPr>
            </w:pPr>
            <w:r>
              <w:rPr>
                <w:rFonts w:hint="eastAsia"/>
              </w:rPr>
              <w:t xml:space="preserve">   </w:t>
            </w:r>
            <w:r>
              <w:rPr>
                <w:rFonts w:hint="eastAsia"/>
                <w:sz w:val="21"/>
                <w:szCs w:val="21"/>
              </w:rPr>
              <w:t xml:space="preserve">  </w:t>
            </w:r>
            <w:r>
              <w:rPr>
                <w:rFonts w:hint="eastAsia"/>
                <w:sz w:val="21"/>
                <w:szCs w:val="21"/>
              </w:rPr>
              <w:t>（</w:t>
            </w:r>
            <w:r>
              <w:rPr>
                <w:rFonts w:hint="eastAsia"/>
                <w:sz w:val="21"/>
                <w:szCs w:val="21"/>
              </w:rPr>
              <w:t>1</w:t>
            </w:r>
            <w:r>
              <w:rPr>
                <w:rFonts w:hint="eastAsia"/>
                <w:sz w:val="21"/>
                <w:szCs w:val="21"/>
              </w:rPr>
              <w:t>）投标时</w:t>
            </w:r>
            <w:r>
              <w:rPr>
                <w:rFonts w:ascii="宋体" w:hAnsi="宋体" w:cs="Arial" w:hint="eastAsia"/>
                <w:bCs/>
                <w:color w:val="000000"/>
                <w:kern w:val="0"/>
                <w:sz w:val="21"/>
                <w:szCs w:val="21"/>
              </w:rPr>
              <w:t>必须提供具有相关服务经营范围的营业执照复印件并加盖公章。</w:t>
            </w:r>
          </w:p>
          <w:p w:rsidR="004013B7" w:rsidRDefault="00A11E49">
            <w:pPr>
              <w:adjustRightInd w:val="0"/>
              <w:snapToGrid w:val="0"/>
              <w:ind w:firstLineChars="200" w:firstLine="420"/>
            </w:pPr>
            <w:r>
              <w:rPr>
                <w:rFonts w:hint="eastAsia"/>
              </w:rPr>
              <w:t>（</w:t>
            </w:r>
            <w:r>
              <w:rPr>
                <w:rFonts w:hint="eastAsia"/>
              </w:rPr>
              <w:t>2</w:t>
            </w:r>
            <w:r>
              <w:rPr>
                <w:rFonts w:hint="eastAsia"/>
              </w:rPr>
              <w:t>）中标方保证提供拥有全部合法手续且各项技术性能完好的车辆为采购方服务。车辆应在规定的年检期内，车辆技术状况良好、证件有效齐全，车辆冷、</w:t>
            </w:r>
            <w:proofErr w:type="gramStart"/>
            <w:r>
              <w:rPr>
                <w:rFonts w:hint="eastAsia"/>
              </w:rPr>
              <w:t>暖设备</w:t>
            </w:r>
            <w:proofErr w:type="gramEnd"/>
            <w:r>
              <w:rPr>
                <w:rFonts w:hint="eastAsia"/>
              </w:rPr>
              <w:t>完好且能正常使用，车辆安排应按承诺车型来提供。</w:t>
            </w:r>
          </w:p>
          <w:p w:rsidR="004013B7" w:rsidRDefault="00A11E49">
            <w:pPr>
              <w:adjustRightInd w:val="0"/>
              <w:snapToGrid w:val="0"/>
              <w:ind w:firstLineChars="200" w:firstLine="420"/>
            </w:pPr>
            <w:r>
              <w:rPr>
                <w:rFonts w:hint="eastAsia"/>
              </w:rPr>
              <w:t>（</w:t>
            </w:r>
            <w:r>
              <w:rPr>
                <w:rFonts w:hint="eastAsia"/>
              </w:rPr>
              <w:t>3</w:t>
            </w:r>
            <w:r>
              <w:rPr>
                <w:rFonts w:hint="eastAsia"/>
              </w:rPr>
              <w:t>）中标方驾驶人员必须具有相应驾驶资格证，年龄</w:t>
            </w:r>
            <w:r>
              <w:rPr>
                <w:rFonts w:hint="eastAsia"/>
              </w:rPr>
              <w:t>3</w:t>
            </w:r>
            <w:r>
              <w:t>0</w:t>
            </w:r>
            <w:r>
              <w:rPr>
                <w:rFonts w:hint="eastAsia"/>
              </w:rPr>
              <w:t>-</w:t>
            </w:r>
            <w:r>
              <w:t>5</w:t>
            </w:r>
            <w:r>
              <w:rPr>
                <w:rFonts w:hint="eastAsia"/>
              </w:rPr>
              <w:t>5</w:t>
            </w:r>
            <w:r>
              <w:t>岁之间</w:t>
            </w:r>
            <w:r>
              <w:rPr>
                <w:rFonts w:hint="eastAsia"/>
              </w:rPr>
              <w:t>，驾龄</w:t>
            </w:r>
            <w:r>
              <w:rPr>
                <w:rFonts w:hint="eastAsia"/>
              </w:rPr>
              <w:t>3</w:t>
            </w:r>
            <w:r>
              <w:rPr>
                <w:rFonts w:hint="eastAsia"/>
              </w:rPr>
              <w:t>年以上，应树立“安全第一、热情耐心”的服务理念，做到文明驾驶，安全行车，每次发车前，应做好安全告知工作，提醒乘坐人员系好安全带、文明乘车。</w:t>
            </w:r>
          </w:p>
          <w:p w:rsidR="004013B7" w:rsidRDefault="00A11E49">
            <w:pPr>
              <w:adjustRightInd w:val="0"/>
              <w:snapToGrid w:val="0"/>
              <w:ind w:firstLineChars="200" w:firstLine="420"/>
            </w:pPr>
            <w:r>
              <w:rPr>
                <w:rFonts w:hint="eastAsia"/>
              </w:rPr>
              <w:t>（</w:t>
            </w:r>
            <w:r>
              <w:rPr>
                <w:rFonts w:hint="eastAsia"/>
              </w:rPr>
              <w:t>4</w:t>
            </w:r>
            <w:r>
              <w:rPr>
                <w:rFonts w:hint="eastAsia"/>
              </w:rPr>
              <w:t>）中标方应承诺提供的车辆和驾驶员相对固定，除按时进行必要的检修或保养外，不随意更换车辆，并提供行驶证、营运证等一切营运合法手续以及有效保险单证的复印件、驾驶员的驾驶证和道路客运从业资格证等相关证件复印件给采购方备案。</w:t>
            </w:r>
          </w:p>
          <w:p w:rsidR="004013B7" w:rsidRDefault="00A11E49">
            <w:pPr>
              <w:adjustRightInd w:val="0"/>
              <w:snapToGrid w:val="0"/>
              <w:ind w:firstLineChars="200" w:firstLine="420"/>
            </w:pPr>
            <w:r>
              <w:rPr>
                <w:rFonts w:hint="eastAsia"/>
              </w:rPr>
              <w:t>（</w:t>
            </w:r>
            <w:r>
              <w:rPr>
                <w:rFonts w:hint="eastAsia"/>
              </w:rPr>
              <w:t>5</w:t>
            </w:r>
            <w:r>
              <w:rPr>
                <w:rFonts w:hint="eastAsia"/>
              </w:rPr>
              <w:t>）中标方根据国家道路交通安全法以及广西道路运输管理部门的有关规定，提供给采购方的车辆必须购买</w:t>
            </w:r>
            <w:proofErr w:type="gramStart"/>
            <w:r>
              <w:rPr>
                <w:rFonts w:ascii="宋体" w:hAnsi="宋体" w:hint="eastAsia"/>
                <w:kern w:val="0"/>
              </w:rPr>
              <w:t>交强险</w:t>
            </w:r>
            <w:proofErr w:type="gramEnd"/>
            <w:r>
              <w:rPr>
                <w:rFonts w:ascii="宋体" w:hAnsi="宋体" w:hint="eastAsia"/>
                <w:kern w:val="0"/>
              </w:rPr>
              <w:t>、第三者责任险、座位险等险种</w:t>
            </w:r>
            <w:r>
              <w:rPr>
                <w:rFonts w:hint="eastAsia"/>
              </w:rPr>
              <w:t>。</w:t>
            </w:r>
          </w:p>
          <w:p w:rsidR="004013B7" w:rsidRDefault="00A11E49">
            <w:pPr>
              <w:adjustRightInd w:val="0"/>
              <w:snapToGrid w:val="0"/>
              <w:ind w:firstLineChars="200" w:firstLine="420"/>
            </w:pPr>
            <w:r>
              <w:rPr>
                <w:rFonts w:hint="eastAsia"/>
              </w:rPr>
              <w:lastRenderedPageBreak/>
              <w:t>（</w:t>
            </w:r>
            <w:r>
              <w:rPr>
                <w:rFonts w:hint="eastAsia"/>
              </w:rPr>
              <w:t>6</w:t>
            </w:r>
            <w:r>
              <w:rPr>
                <w:rFonts w:hint="eastAsia"/>
              </w:rPr>
              <w:t>）日常用车（采购方提前</w:t>
            </w:r>
            <w:r>
              <w:rPr>
                <w:rFonts w:hint="eastAsia"/>
              </w:rPr>
              <w:t>3</w:t>
            </w:r>
            <w:r>
              <w:rPr>
                <w:rFonts w:hint="eastAsia"/>
              </w:rPr>
              <w:t>个小时通知），中标方须在指定用车时间点前提前</w:t>
            </w:r>
            <w:r>
              <w:rPr>
                <w:rFonts w:hint="eastAsia"/>
              </w:rPr>
              <w:t>1</w:t>
            </w:r>
            <w:r>
              <w:t>5</w:t>
            </w:r>
            <w:r>
              <w:t>分钟到达指定地点</w:t>
            </w:r>
            <w:r>
              <w:rPr>
                <w:rFonts w:hint="eastAsia"/>
              </w:rPr>
              <w:t>。每次租车前，中标方应对相关车辆进行安全检查（如检查油、水、电、轮胎、刹车等）并提供检查记录，确保车辆符合安全运输标准，车辆外观、内部干净整洁。</w:t>
            </w:r>
          </w:p>
          <w:p w:rsidR="004013B7" w:rsidRDefault="00A11E49">
            <w:pPr>
              <w:adjustRightInd w:val="0"/>
              <w:snapToGrid w:val="0"/>
              <w:ind w:firstLineChars="200" w:firstLine="420"/>
            </w:pPr>
            <w:r>
              <w:rPr>
                <w:rFonts w:hint="eastAsia"/>
              </w:rPr>
              <w:t>（</w:t>
            </w:r>
            <w:r>
              <w:rPr>
                <w:rFonts w:hint="eastAsia"/>
              </w:rPr>
              <w:t>7</w:t>
            </w:r>
            <w:r>
              <w:rPr>
                <w:rFonts w:hint="eastAsia"/>
              </w:rPr>
              <w:t>）中标方对所组织和提供的车辆在承担采购方租车服务过程中发生的安全事故和服务质量问题负责，并全权负责处理一切在服务过程中发生的安全事故和服务质量问题。如在运行途中由于中标</w:t>
            </w:r>
            <w:proofErr w:type="gramStart"/>
            <w:r>
              <w:rPr>
                <w:rFonts w:hint="eastAsia"/>
              </w:rPr>
              <w:t>方车辆</w:t>
            </w:r>
            <w:proofErr w:type="gramEnd"/>
            <w:r>
              <w:rPr>
                <w:rFonts w:hint="eastAsia"/>
              </w:rPr>
              <w:t>发生故障或其他意外，中标方应立即调度同等档次的车辆进行替换运行并及时报告采购方，更换车辆的费用由中标方负责。在租车服务过程中发生交通事故或其他意外事故的，其责任及后果由中标方全权承担，如系采购方原因造成的，则按事故相应裁定责任进行区分承担。</w:t>
            </w:r>
            <w:bookmarkStart w:id="0" w:name="_GoBack"/>
            <w:bookmarkEnd w:id="0"/>
          </w:p>
          <w:p w:rsidR="004013B7" w:rsidRDefault="00A11E49">
            <w:pPr>
              <w:adjustRightInd w:val="0"/>
              <w:snapToGrid w:val="0"/>
              <w:ind w:firstLineChars="200" w:firstLine="420"/>
            </w:pPr>
            <w:r>
              <w:rPr>
                <w:rFonts w:hint="eastAsia"/>
              </w:rPr>
              <w:t>（</w:t>
            </w:r>
            <w:r>
              <w:rPr>
                <w:rFonts w:hint="eastAsia"/>
              </w:rPr>
              <w:t>8</w:t>
            </w:r>
            <w:r>
              <w:rPr>
                <w:rFonts w:hint="eastAsia"/>
              </w:rPr>
              <w:t>）中标方应保证提供所有承诺的安全和服务质量，如因中标方原因出现以下情况等等不仅限于所列的安全或服务质量问题，采购方有权利进行相应扣款或终止合同：</w:t>
            </w:r>
            <w:r>
              <w:rPr>
                <w:rFonts w:hint="eastAsia"/>
              </w:rPr>
              <w:t>1</w:t>
            </w:r>
            <w:r>
              <w:rPr>
                <w:rFonts w:hint="eastAsia"/>
              </w:rPr>
              <w:t>、造成晚点发车</w:t>
            </w:r>
            <w:r>
              <w:rPr>
                <w:rFonts w:hint="eastAsia"/>
              </w:rPr>
              <w:t>15</w:t>
            </w:r>
            <w:r>
              <w:rPr>
                <w:rFonts w:hint="eastAsia"/>
              </w:rPr>
              <w:t>分钟以上；</w:t>
            </w:r>
            <w:r>
              <w:rPr>
                <w:rFonts w:hint="eastAsia"/>
              </w:rPr>
              <w:t>2</w:t>
            </w:r>
            <w:r>
              <w:rPr>
                <w:rFonts w:hint="eastAsia"/>
              </w:rPr>
              <w:t>、拒不出车；</w:t>
            </w:r>
            <w:r>
              <w:rPr>
                <w:rFonts w:hint="eastAsia"/>
              </w:rPr>
              <w:t>3</w:t>
            </w:r>
            <w:r>
              <w:rPr>
                <w:rFonts w:hint="eastAsia"/>
              </w:rPr>
              <w:t>、提供的车辆车型与承诺的不符；</w:t>
            </w:r>
            <w:r>
              <w:rPr>
                <w:rFonts w:hint="eastAsia"/>
              </w:rPr>
              <w:t>4</w:t>
            </w:r>
            <w:r>
              <w:rPr>
                <w:rFonts w:hint="eastAsia"/>
              </w:rPr>
              <w:t>、在不违反交通道路规定的前提下，行驶线路不按采购</w:t>
            </w:r>
            <w:proofErr w:type="gramStart"/>
            <w:r>
              <w:rPr>
                <w:rFonts w:hint="eastAsia"/>
              </w:rPr>
              <w:t>方需求</w:t>
            </w:r>
            <w:proofErr w:type="gramEnd"/>
            <w:r>
              <w:rPr>
                <w:rFonts w:hint="eastAsia"/>
              </w:rPr>
              <w:t>执行；</w:t>
            </w:r>
            <w:r>
              <w:rPr>
                <w:rFonts w:hint="eastAsia"/>
              </w:rPr>
              <w:t>5</w:t>
            </w:r>
            <w:r>
              <w:rPr>
                <w:rFonts w:hint="eastAsia"/>
              </w:rPr>
              <w:t>、服务态度恶劣；</w:t>
            </w:r>
            <w:r>
              <w:rPr>
                <w:rFonts w:hint="eastAsia"/>
              </w:rPr>
              <w:t>6</w:t>
            </w:r>
            <w:r>
              <w:rPr>
                <w:rFonts w:hint="eastAsia"/>
              </w:rPr>
              <w:t>、驾驶过程中随意接听手机；</w:t>
            </w:r>
            <w:r>
              <w:rPr>
                <w:rFonts w:hint="eastAsia"/>
              </w:rPr>
              <w:t>7</w:t>
            </w:r>
            <w:r>
              <w:rPr>
                <w:rFonts w:hint="eastAsia"/>
              </w:rPr>
              <w:t>、驾驶过程中有吸烟、吃东西等现象；</w:t>
            </w:r>
            <w:r>
              <w:rPr>
                <w:rFonts w:hint="eastAsia"/>
              </w:rPr>
              <w:t>8</w:t>
            </w:r>
            <w:r>
              <w:rPr>
                <w:rFonts w:hint="eastAsia"/>
              </w:rPr>
              <w:t>、疲劳、酒后驾驶；</w:t>
            </w:r>
            <w:r>
              <w:rPr>
                <w:rFonts w:hint="eastAsia"/>
              </w:rPr>
              <w:t>9</w:t>
            </w:r>
            <w:r>
              <w:rPr>
                <w:rFonts w:hint="eastAsia"/>
              </w:rPr>
              <w:t>、超速、超载行驶；</w:t>
            </w:r>
            <w:r>
              <w:rPr>
                <w:rFonts w:hint="eastAsia"/>
              </w:rPr>
              <w:t>10</w:t>
            </w:r>
            <w:r>
              <w:rPr>
                <w:rFonts w:hint="eastAsia"/>
              </w:rPr>
              <w:t>、违章、违规开车；</w:t>
            </w:r>
            <w:r>
              <w:rPr>
                <w:rFonts w:hint="eastAsia"/>
              </w:rPr>
              <w:t>11</w:t>
            </w:r>
            <w:r>
              <w:rPr>
                <w:rFonts w:hint="eastAsia"/>
              </w:rPr>
              <w:t>、所派驾驶员未能履行安全乘车提醒义务和安全行车监督责任</w:t>
            </w:r>
            <w:r>
              <w:rPr>
                <w:rFonts w:hint="eastAsia"/>
              </w:rPr>
              <w:t>,</w:t>
            </w:r>
            <w:r>
              <w:rPr>
                <w:rFonts w:hint="eastAsia"/>
              </w:rPr>
              <w:t>造成所乘人员未按要求乘坐车辆或超员超载被交警处罚；</w:t>
            </w:r>
            <w:r>
              <w:rPr>
                <w:rFonts w:hint="eastAsia"/>
              </w:rPr>
              <w:t>12</w:t>
            </w:r>
            <w:r>
              <w:rPr>
                <w:rFonts w:hint="eastAsia"/>
              </w:rPr>
              <w:t>、发生交通事故或意外；</w:t>
            </w:r>
            <w:r>
              <w:rPr>
                <w:rFonts w:hint="eastAsia"/>
              </w:rPr>
              <w:t>13</w:t>
            </w:r>
            <w:r>
              <w:rPr>
                <w:rFonts w:hint="eastAsia"/>
              </w:rPr>
              <w:t>、将租车业务转租给其它公司；</w:t>
            </w:r>
            <w:r>
              <w:rPr>
                <w:rFonts w:hint="eastAsia"/>
              </w:rPr>
              <w:t>14</w:t>
            </w:r>
            <w:r>
              <w:rPr>
                <w:rFonts w:hint="eastAsia"/>
              </w:rPr>
              <w:t>、因供应商原因造成采购方车内财物损失的。</w:t>
            </w:r>
          </w:p>
        </w:tc>
      </w:tr>
    </w:tbl>
    <w:p w:rsidR="004013B7" w:rsidRDefault="004013B7">
      <w:pPr>
        <w:pStyle w:val="a"/>
        <w:numPr>
          <w:ilvl w:val="0"/>
          <w:numId w:val="0"/>
        </w:numPr>
      </w:pPr>
    </w:p>
    <w:p w:rsidR="004013B7" w:rsidRDefault="004013B7">
      <w:pPr>
        <w:pStyle w:val="a"/>
        <w:numPr>
          <w:ilvl w:val="0"/>
          <w:numId w:val="0"/>
        </w:numPr>
      </w:pPr>
    </w:p>
    <w:p w:rsidR="004013B7" w:rsidRDefault="00A11E49">
      <w:pPr>
        <w:pStyle w:val="a1"/>
        <w:rPr>
          <w:sz w:val="28"/>
          <w:szCs w:val="28"/>
        </w:rPr>
      </w:pPr>
      <w:r>
        <w:rPr>
          <w:rFonts w:hint="eastAsia"/>
          <w:sz w:val="28"/>
          <w:szCs w:val="28"/>
        </w:rPr>
        <w:t>附表：</w:t>
      </w:r>
    </w:p>
    <w:p w:rsidR="004013B7" w:rsidRDefault="00A11E49">
      <w:pPr>
        <w:pStyle w:val="a1"/>
        <w:jc w:val="center"/>
        <w:rPr>
          <w:sz w:val="32"/>
          <w:szCs w:val="32"/>
        </w:rPr>
      </w:pPr>
      <w:r>
        <w:rPr>
          <w:rFonts w:hint="eastAsia"/>
          <w:spacing w:val="-6"/>
          <w:sz w:val="32"/>
          <w:szCs w:val="32"/>
        </w:rPr>
        <w:t>主要使用车型用车报价表（模板）</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824"/>
        <w:gridCol w:w="1083"/>
        <w:gridCol w:w="1053"/>
        <w:gridCol w:w="975"/>
        <w:gridCol w:w="914"/>
        <w:gridCol w:w="775"/>
        <w:gridCol w:w="839"/>
      </w:tblGrid>
      <w:tr w:rsidR="004013B7">
        <w:tc>
          <w:tcPr>
            <w:tcW w:w="5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类别</w:t>
            </w: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出行计费方式</w:t>
            </w:r>
          </w:p>
        </w:tc>
        <w:tc>
          <w:tcPr>
            <w:tcW w:w="653" w:type="pct"/>
            <w:vAlign w:val="center"/>
          </w:tcPr>
          <w:p w:rsidR="004013B7" w:rsidRDefault="00A11E49">
            <w:pPr>
              <w:adjustRightInd w:val="0"/>
              <w:snapToGrid w:val="0"/>
              <w:jc w:val="center"/>
              <w:rPr>
                <w:rFonts w:ascii="宋体" w:hAnsi="宋体" w:cs="宋体"/>
                <w:spacing w:val="-6"/>
                <w:szCs w:val="21"/>
              </w:rPr>
            </w:pPr>
            <w:r>
              <w:rPr>
                <w:rFonts w:ascii="宋体" w:hAnsi="宋体" w:hint="eastAsia"/>
                <w:kern w:val="0"/>
                <w:szCs w:val="21"/>
              </w:rPr>
              <w:t>5座车（10万以下）</w:t>
            </w:r>
          </w:p>
        </w:tc>
        <w:tc>
          <w:tcPr>
            <w:tcW w:w="635"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5座越野车</w:t>
            </w:r>
            <w:r>
              <w:rPr>
                <w:rFonts w:ascii="宋体" w:hAnsi="宋体" w:hint="eastAsia"/>
                <w:kern w:val="0"/>
                <w:szCs w:val="21"/>
              </w:rPr>
              <w:t>（10万以上</w:t>
            </w:r>
            <w:r>
              <w:rPr>
                <w:rFonts w:ascii="宋体" w:hAnsi="宋体" w:cs="宋体" w:hint="eastAsia"/>
                <w:spacing w:val="-6"/>
                <w:szCs w:val="21"/>
              </w:rPr>
              <w:t>）</w:t>
            </w:r>
          </w:p>
        </w:tc>
        <w:tc>
          <w:tcPr>
            <w:tcW w:w="588"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7座车（10万以下）</w:t>
            </w:r>
          </w:p>
        </w:tc>
        <w:tc>
          <w:tcPr>
            <w:tcW w:w="551"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11-13座中型客车</w:t>
            </w:r>
          </w:p>
        </w:tc>
        <w:tc>
          <w:tcPr>
            <w:tcW w:w="467"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17-21座中巴车</w:t>
            </w:r>
          </w:p>
        </w:tc>
        <w:tc>
          <w:tcPr>
            <w:tcW w:w="504"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21座以上大巴车</w:t>
            </w:r>
          </w:p>
        </w:tc>
      </w:tr>
      <w:tr w:rsidR="004013B7">
        <w:trPr>
          <w:trHeight w:val="922"/>
        </w:trPr>
        <w:tc>
          <w:tcPr>
            <w:tcW w:w="500" w:type="pct"/>
            <w:vMerge w:val="restar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车辆租</w:t>
            </w:r>
          </w:p>
          <w:p w:rsidR="004013B7" w:rsidRDefault="00A11E49">
            <w:pPr>
              <w:adjustRightInd w:val="0"/>
              <w:snapToGrid w:val="0"/>
              <w:jc w:val="center"/>
              <w:rPr>
                <w:rFonts w:ascii="宋体" w:hAnsi="宋体" w:cs="宋体"/>
                <w:spacing w:val="-6"/>
                <w:szCs w:val="21"/>
              </w:rPr>
            </w:pPr>
            <w:proofErr w:type="gramStart"/>
            <w:r>
              <w:rPr>
                <w:rFonts w:ascii="宋体" w:hAnsi="宋体" w:cs="宋体" w:hint="eastAsia"/>
                <w:spacing w:val="-6"/>
                <w:szCs w:val="21"/>
              </w:rPr>
              <w:t>赁</w:t>
            </w:r>
            <w:proofErr w:type="gramEnd"/>
            <w:r>
              <w:rPr>
                <w:rFonts w:ascii="宋体" w:hAnsi="宋体" w:cs="宋体" w:hint="eastAsia"/>
                <w:spacing w:val="-6"/>
                <w:szCs w:val="21"/>
              </w:rPr>
              <w:t>费</w:t>
            </w: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日租半天（元/辆/半天，5小时内用车）</w:t>
            </w:r>
          </w:p>
        </w:tc>
        <w:tc>
          <w:tcPr>
            <w:tcW w:w="653" w:type="pct"/>
            <w:vAlign w:val="center"/>
          </w:tcPr>
          <w:p w:rsidR="004013B7" w:rsidRDefault="004013B7">
            <w:pPr>
              <w:adjustRightInd w:val="0"/>
              <w:snapToGrid w:val="0"/>
              <w:jc w:val="center"/>
              <w:rPr>
                <w:rFonts w:ascii="宋体" w:hAnsi="宋体" w:cs="宋体"/>
                <w:spacing w:val="-6"/>
                <w:szCs w:val="21"/>
              </w:rPr>
            </w:pPr>
          </w:p>
        </w:tc>
        <w:tc>
          <w:tcPr>
            <w:tcW w:w="635"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588"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551"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467" w:type="pct"/>
            <w:vAlign w:val="center"/>
          </w:tcPr>
          <w:p w:rsidR="004013B7" w:rsidRDefault="004013B7">
            <w:pPr>
              <w:adjustRightInd w:val="0"/>
              <w:snapToGrid w:val="0"/>
              <w:jc w:val="center"/>
              <w:rPr>
                <w:rFonts w:ascii="宋体" w:hAnsi="宋体" w:cs="宋体"/>
                <w:spacing w:val="-6"/>
                <w:szCs w:val="21"/>
              </w:rPr>
            </w:pPr>
          </w:p>
        </w:tc>
        <w:tc>
          <w:tcPr>
            <w:tcW w:w="504" w:type="pct"/>
            <w:vAlign w:val="center"/>
          </w:tcPr>
          <w:p w:rsidR="004013B7" w:rsidRDefault="004013B7">
            <w:pPr>
              <w:adjustRightInd w:val="0"/>
              <w:snapToGrid w:val="0"/>
              <w:jc w:val="center"/>
              <w:rPr>
                <w:rFonts w:ascii="宋体" w:hAnsi="宋体" w:cs="宋体"/>
                <w:spacing w:val="-6"/>
                <w:szCs w:val="21"/>
              </w:rPr>
            </w:pPr>
          </w:p>
        </w:tc>
      </w:tr>
      <w:tr w:rsidR="004013B7">
        <w:trPr>
          <w:trHeight w:val="855"/>
        </w:trPr>
        <w:tc>
          <w:tcPr>
            <w:tcW w:w="500" w:type="pct"/>
            <w:vMerge/>
          </w:tcPr>
          <w:p w:rsidR="004013B7" w:rsidRDefault="004013B7">
            <w:pPr>
              <w:pStyle w:val="a1"/>
              <w:adjustRightInd w:val="0"/>
              <w:jc w:val="center"/>
              <w:rPr>
                <w:rFonts w:ascii="宋体" w:hAnsi="宋体" w:cs="宋体"/>
                <w:spacing w:val="-6"/>
                <w:sz w:val="21"/>
                <w:szCs w:val="21"/>
              </w:rPr>
            </w:pP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日租全天（元/辆/天，24小时内用车）</w:t>
            </w:r>
          </w:p>
        </w:tc>
        <w:tc>
          <w:tcPr>
            <w:tcW w:w="653" w:type="pct"/>
            <w:vAlign w:val="center"/>
          </w:tcPr>
          <w:p w:rsidR="004013B7" w:rsidRDefault="004013B7">
            <w:pPr>
              <w:adjustRightInd w:val="0"/>
              <w:snapToGrid w:val="0"/>
              <w:jc w:val="center"/>
              <w:rPr>
                <w:rFonts w:ascii="宋体" w:hAnsi="宋体" w:cs="宋体"/>
                <w:spacing w:val="-6"/>
                <w:szCs w:val="21"/>
              </w:rPr>
            </w:pPr>
          </w:p>
        </w:tc>
        <w:tc>
          <w:tcPr>
            <w:tcW w:w="635"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588"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551"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 xml:space="preserve">　</w:t>
            </w:r>
          </w:p>
        </w:tc>
        <w:tc>
          <w:tcPr>
            <w:tcW w:w="467" w:type="pct"/>
            <w:vAlign w:val="center"/>
          </w:tcPr>
          <w:p w:rsidR="004013B7" w:rsidRDefault="004013B7">
            <w:pPr>
              <w:adjustRightInd w:val="0"/>
              <w:snapToGrid w:val="0"/>
              <w:jc w:val="center"/>
              <w:rPr>
                <w:rFonts w:ascii="宋体" w:hAnsi="宋体" w:cs="宋体"/>
                <w:spacing w:val="-6"/>
                <w:szCs w:val="21"/>
              </w:rPr>
            </w:pPr>
          </w:p>
        </w:tc>
        <w:tc>
          <w:tcPr>
            <w:tcW w:w="504" w:type="pct"/>
            <w:vAlign w:val="center"/>
          </w:tcPr>
          <w:p w:rsidR="004013B7" w:rsidRDefault="004013B7">
            <w:pPr>
              <w:adjustRightInd w:val="0"/>
              <w:snapToGrid w:val="0"/>
              <w:jc w:val="center"/>
              <w:rPr>
                <w:rFonts w:ascii="宋体" w:hAnsi="宋体" w:cs="宋体"/>
                <w:spacing w:val="-6"/>
                <w:szCs w:val="21"/>
              </w:rPr>
            </w:pPr>
          </w:p>
        </w:tc>
      </w:tr>
      <w:tr w:rsidR="004013B7">
        <w:trPr>
          <w:trHeight w:val="716"/>
        </w:trPr>
        <w:tc>
          <w:tcPr>
            <w:tcW w:w="500" w:type="pct"/>
            <w:vMerge w:val="restart"/>
            <w:vAlign w:val="center"/>
          </w:tcPr>
          <w:p w:rsidR="004013B7" w:rsidRDefault="00A11E49">
            <w:pPr>
              <w:pStyle w:val="a1"/>
              <w:adjustRightInd w:val="0"/>
              <w:jc w:val="center"/>
              <w:rPr>
                <w:rFonts w:ascii="宋体" w:hAnsi="宋体" w:cs="宋体"/>
                <w:spacing w:val="-6"/>
                <w:sz w:val="21"/>
                <w:szCs w:val="21"/>
              </w:rPr>
            </w:pPr>
            <w:r>
              <w:rPr>
                <w:rFonts w:ascii="宋体" w:hAnsi="宋体" w:cs="宋体" w:hint="eastAsia"/>
                <w:spacing w:val="-6"/>
                <w:sz w:val="21"/>
                <w:szCs w:val="21"/>
              </w:rPr>
              <w:t>驾驶员</w:t>
            </w:r>
          </w:p>
          <w:p w:rsidR="004013B7" w:rsidRDefault="00A11E49">
            <w:pPr>
              <w:pStyle w:val="a1"/>
              <w:adjustRightInd w:val="0"/>
              <w:jc w:val="center"/>
              <w:rPr>
                <w:rFonts w:ascii="宋体" w:hAnsi="宋体" w:cs="宋体"/>
                <w:spacing w:val="-6"/>
                <w:sz w:val="21"/>
                <w:szCs w:val="21"/>
              </w:rPr>
            </w:pPr>
            <w:r>
              <w:rPr>
                <w:rFonts w:ascii="宋体" w:hAnsi="宋体" w:cs="宋体" w:hint="eastAsia"/>
                <w:spacing w:val="-6"/>
                <w:sz w:val="21"/>
                <w:szCs w:val="21"/>
              </w:rPr>
              <w:t>服务费</w:t>
            </w: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需住宿（元/人/天）</w:t>
            </w:r>
          </w:p>
        </w:tc>
        <w:tc>
          <w:tcPr>
            <w:tcW w:w="1876" w:type="pct"/>
            <w:gridSpan w:val="3"/>
            <w:vAlign w:val="center"/>
          </w:tcPr>
          <w:p w:rsidR="004013B7" w:rsidRDefault="004013B7">
            <w:pPr>
              <w:adjustRightInd w:val="0"/>
              <w:snapToGrid w:val="0"/>
              <w:jc w:val="center"/>
              <w:rPr>
                <w:rFonts w:ascii="宋体" w:hAnsi="宋体" w:cs="宋体"/>
                <w:spacing w:val="-6"/>
                <w:szCs w:val="21"/>
              </w:rPr>
            </w:pPr>
          </w:p>
        </w:tc>
        <w:tc>
          <w:tcPr>
            <w:tcW w:w="551" w:type="pct"/>
            <w:vAlign w:val="center"/>
          </w:tcPr>
          <w:p w:rsidR="004013B7" w:rsidRDefault="004013B7">
            <w:pPr>
              <w:adjustRightInd w:val="0"/>
              <w:snapToGrid w:val="0"/>
              <w:jc w:val="center"/>
              <w:rPr>
                <w:rFonts w:ascii="宋体" w:hAnsi="宋体" w:cs="宋体"/>
                <w:spacing w:val="-6"/>
                <w:szCs w:val="21"/>
              </w:rPr>
            </w:pPr>
          </w:p>
        </w:tc>
        <w:tc>
          <w:tcPr>
            <w:tcW w:w="467" w:type="pct"/>
            <w:vAlign w:val="center"/>
          </w:tcPr>
          <w:p w:rsidR="004013B7" w:rsidRDefault="004013B7">
            <w:pPr>
              <w:adjustRightInd w:val="0"/>
              <w:snapToGrid w:val="0"/>
              <w:jc w:val="center"/>
              <w:rPr>
                <w:rFonts w:ascii="宋体" w:hAnsi="宋体" w:cs="宋体"/>
                <w:spacing w:val="-6"/>
                <w:szCs w:val="21"/>
              </w:rPr>
            </w:pPr>
          </w:p>
        </w:tc>
        <w:tc>
          <w:tcPr>
            <w:tcW w:w="504" w:type="pct"/>
            <w:vAlign w:val="center"/>
          </w:tcPr>
          <w:p w:rsidR="004013B7" w:rsidRDefault="004013B7">
            <w:pPr>
              <w:adjustRightInd w:val="0"/>
              <w:snapToGrid w:val="0"/>
              <w:jc w:val="center"/>
              <w:rPr>
                <w:rFonts w:ascii="宋体" w:hAnsi="宋体" w:cs="宋体"/>
                <w:spacing w:val="-6"/>
                <w:szCs w:val="21"/>
              </w:rPr>
            </w:pPr>
          </w:p>
        </w:tc>
      </w:tr>
      <w:tr w:rsidR="004013B7">
        <w:trPr>
          <w:trHeight w:val="795"/>
        </w:trPr>
        <w:tc>
          <w:tcPr>
            <w:tcW w:w="500" w:type="pct"/>
            <w:vMerge/>
          </w:tcPr>
          <w:p w:rsidR="004013B7" w:rsidRDefault="004013B7">
            <w:pPr>
              <w:pStyle w:val="a1"/>
              <w:adjustRightInd w:val="0"/>
              <w:jc w:val="center"/>
              <w:rPr>
                <w:rFonts w:ascii="宋体" w:hAnsi="宋体" w:cs="宋体"/>
                <w:spacing w:val="-6"/>
                <w:sz w:val="21"/>
                <w:szCs w:val="21"/>
              </w:rPr>
            </w:pP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不需住宿（元/人/天）</w:t>
            </w:r>
          </w:p>
        </w:tc>
        <w:tc>
          <w:tcPr>
            <w:tcW w:w="1876" w:type="pct"/>
            <w:gridSpan w:val="3"/>
            <w:vAlign w:val="center"/>
          </w:tcPr>
          <w:p w:rsidR="004013B7" w:rsidRDefault="004013B7">
            <w:pPr>
              <w:adjustRightInd w:val="0"/>
              <w:snapToGrid w:val="0"/>
              <w:jc w:val="center"/>
              <w:rPr>
                <w:rFonts w:ascii="宋体" w:hAnsi="宋体" w:cs="宋体"/>
                <w:spacing w:val="-6"/>
                <w:szCs w:val="21"/>
              </w:rPr>
            </w:pPr>
          </w:p>
        </w:tc>
        <w:tc>
          <w:tcPr>
            <w:tcW w:w="551" w:type="pct"/>
            <w:vAlign w:val="center"/>
          </w:tcPr>
          <w:p w:rsidR="004013B7" w:rsidRDefault="004013B7">
            <w:pPr>
              <w:adjustRightInd w:val="0"/>
              <w:snapToGrid w:val="0"/>
              <w:jc w:val="center"/>
              <w:rPr>
                <w:rFonts w:ascii="宋体" w:hAnsi="宋体" w:cs="宋体"/>
                <w:spacing w:val="-6"/>
                <w:szCs w:val="21"/>
              </w:rPr>
            </w:pPr>
          </w:p>
        </w:tc>
        <w:tc>
          <w:tcPr>
            <w:tcW w:w="467" w:type="pct"/>
            <w:vAlign w:val="center"/>
          </w:tcPr>
          <w:p w:rsidR="004013B7" w:rsidRDefault="004013B7">
            <w:pPr>
              <w:adjustRightInd w:val="0"/>
              <w:snapToGrid w:val="0"/>
              <w:jc w:val="center"/>
              <w:rPr>
                <w:rFonts w:ascii="宋体" w:hAnsi="宋体" w:cs="宋体"/>
                <w:spacing w:val="-6"/>
                <w:szCs w:val="21"/>
              </w:rPr>
            </w:pPr>
          </w:p>
        </w:tc>
        <w:tc>
          <w:tcPr>
            <w:tcW w:w="504" w:type="pct"/>
            <w:vAlign w:val="center"/>
          </w:tcPr>
          <w:p w:rsidR="004013B7" w:rsidRDefault="004013B7">
            <w:pPr>
              <w:adjustRightInd w:val="0"/>
              <w:snapToGrid w:val="0"/>
              <w:jc w:val="center"/>
              <w:rPr>
                <w:rFonts w:ascii="宋体" w:hAnsi="宋体" w:cs="宋体"/>
                <w:spacing w:val="-6"/>
                <w:szCs w:val="21"/>
              </w:rPr>
            </w:pPr>
          </w:p>
        </w:tc>
      </w:tr>
      <w:tr w:rsidR="004013B7">
        <w:trPr>
          <w:trHeight w:val="910"/>
        </w:trPr>
        <w:tc>
          <w:tcPr>
            <w:tcW w:w="500" w:type="pct"/>
            <w:vMerge/>
          </w:tcPr>
          <w:p w:rsidR="004013B7" w:rsidRDefault="004013B7">
            <w:pPr>
              <w:pStyle w:val="a1"/>
              <w:adjustRightInd w:val="0"/>
              <w:jc w:val="center"/>
              <w:rPr>
                <w:rFonts w:ascii="宋体" w:hAnsi="宋体" w:cs="宋体"/>
                <w:spacing w:val="-6"/>
                <w:sz w:val="21"/>
                <w:szCs w:val="21"/>
              </w:rPr>
            </w:pPr>
          </w:p>
        </w:tc>
        <w:tc>
          <w:tcPr>
            <w:tcW w:w="1100" w:type="pct"/>
            <w:vAlign w:val="center"/>
          </w:tcPr>
          <w:p w:rsidR="004013B7" w:rsidRDefault="00A11E49">
            <w:pPr>
              <w:adjustRightInd w:val="0"/>
              <w:snapToGrid w:val="0"/>
              <w:jc w:val="center"/>
              <w:rPr>
                <w:rFonts w:ascii="宋体" w:hAnsi="宋体" w:cs="宋体"/>
                <w:spacing w:val="-6"/>
                <w:szCs w:val="21"/>
              </w:rPr>
            </w:pPr>
            <w:r>
              <w:rPr>
                <w:rFonts w:ascii="宋体" w:hAnsi="宋体" w:cs="宋体" w:hint="eastAsia"/>
                <w:spacing w:val="-6"/>
                <w:szCs w:val="21"/>
              </w:rPr>
              <w:t>半天（元/人/半天，5小时内用车）</w:t>
            </w:r>
          </w:p>
        </w:tc>
        <w:tc>
          <w:tcPr>
            <w:tcW w:w="1876" w:type="pct"/>
            <w:gridSpan w:val="3"/>
            <w:vAlign w:val="center"/>
          </w:tcPr>
          <w:p w:rsidR="004013B7" w:rsidRDefault="004013B7">
            <w:pPr>
              <w:adjustRightInd w:val="0"/>
              <w:snapToGrid w:val="0"/>
              <w:jc w:val="center"/>
              <w:rPr>
                <w:rFonts w:ascii="宋体" w:hAnsi="宋体" w:cs="宋体"/>
                <w:spacing w:val="-6"/>
                <w:szCs w:val="21"/>
              </w:rPr>
            </w:pPr>
          </w:p>
        </w:tc>
        <w:tc>
          <w:tcPr>
            <w:tcW w:w="551" w:type="pct"/>
            <w:vAlign w:val="center"/>
          </w:tcPr>
          <w:p w:rsidR="004013B7" w:rsidRDefault="004013B7">
            <w:pPr>
              <w:adjustRightInd w:val="0"/>
              <w:snapToGrid w:val="0"/>
              <w:jc w:val="center"/>
              <w:rPr>
                <w:rFonts w:ascii="宋体" w:hAnsi="宋体" w:cs="宋体"/>
                <w:spacing w:val="-6"/>
                <w:szCs w:val="21"/>
              </w:rPr>
            </w:pPr>
          </w:p>
        </w:tc>
        <w:tc>
          <w:tcPr>
            <w:tcW w:w="467" w:type="pct"/>
            <w:vAlign w:val="center"/>
          </w:tcPr>
          <w:p w:rsidR="004013B7" w:rsidRDefault="004013B7">
            <w:pPr>
              <w:adjustRightInd w:val="0"/>
              <w:snapToGrid w:val="0"/>
              <w:jc w:val="center"/>
              <w:rPr>
                <w:rFonts w:ascii="宋体" w:hAnsi="宋体" w:cs="宋体"/>
                <w:spacing w:val="-6"/>
                <w:szCs w:val="21"/>
              </w:rPr>
            </w:pPr>
          </w:p>
        </w:tc>
        <w:tc>
          <w:tcPr>
            <w:tcW w:w="504" w:type="pct"/>
            <w:vAlign w:val="center"/>
          </w:tcPr>
          <w:p w:rsidR="004013B7" w:rsidRDefault="004013B7">
            <w:pPr>
              <w:adjustRightInd w:val="0"/>
              <w:snapToGrid w:val="0"/>
              <w:jc w:val="center"/>
              <w:rPr>
                <w:rFonts w:ascii="宋体" w:hAnsi="宋体" w:cs="宋体"/>
                <w:spacing w:val="-6"/>
                <w:szCs w:val="21"/>
              </w:rPr>
            </w:pPr>
          </w:p>
        </w:tc>
      </w:tr>
      <w:tr w:rsidR="004013B7">
        <w:trPr>
          <w:trHeight w:val="903"/>
        </w:trPr>
        <w:tc>
          <w:tcPr>
            <w:tcW w:w="5000" w:type="pct"/>
            <w:gridSpan w:val="8"/>
          </w:tcPr>
          <w:p w:rsidR="004013B7" w:rsidRDefault="00A11E49">
            <w:pPr>
              <w:adjustRightInd w:val="0"/>
              <w:snapToGrid w:val="0"/>
              <w:ind w:firstLineChars="200" w:firstLine="396"/>
              <w:jc w:val="left"/>
              <w:rPr>
                <w:rFonts w:ascii="宋体" w:hAnsi="宋体" w:cs="宋体"/>
                <w:spacing w:val="-6"/>
                <w:szCs w:val="21"/>
              </w:rPr>
            </w:pPr>
            <w:r>
              <w:rPr>
                <w:rFonts w:ascii="宋体" w:hAnsi="宋体" w:cs="宋体" w:hint="eastAsia"/>
                <w:spacing w:val="-6"/>
                <w:szCs w:val="21"/>
              </w:rPr>
              <w:t>备注：</w:t>
            </w:r>
          </w:p>
          <w:p w:rsidR="004013B7" w:rsidRDefault="00A11E49">
            <w:pPr>
              <w:adjustRightInd w:val="0"/>
              <w:snapToGrid w:val="0"/>
              <w:ind w:firstLineChars="200" w:firstLine="396"/>
              <w:jc w:val="left"/>
              <w:rPr>
                <w:rFonts w:ascii="宋体" w:hAnsi="宋体"/>
                <w:szCs w:val="21"/>
              </w:rPr>
            </w:pPr>
            <w:r>
              <w:rPr>
                <w:rFonts w:ascii="宋体" w:hAnsi="宋体" w:cs="宋体" w:hint="eastAsia"/>
                <w:spacing w:val="-6"/>
                <w:szCs w:val="21"/>
              </w:rPr>
              <w:t>1.以上价格包含</w:t>
            </w:r>
            <w:r>
              <w:rPr>
                <w:rFonts w:ascii="宋体" w:hAnsi="宋体" w:hint="eastAsia"/>
                <w:kern w:val="0"/>
              </w:rPr>
              <w:t>车辆租赁费（包含但不限于车辆租赁费、日常保养维修费及清洁费、年审费、保险相关税金等费用）及驾驶员服务费（包含但不限于劳务费、餐费、过夜住宿费等，</w:t>
            </w:r>
            <w:proofErr w:type="gramStart"/>
            <w:r>
              <w:rPr>
                <w:rFonts w:ascii="宋体" w:hAnsi="宋体" w:hint="eastAsia"/>
                <w:kern w:val="0"/>
              </w:rPr>
              <w:t>分需住宿</w:t>
            </w:r>
            <w:proofErr w:type="gramEnd"/>
            <w:r>
              <w:rPr>
                <w:rFonts w:ascii="宋体" w:hAnsi="宋体" w:hint="eastAsia"/>
                <w:kern w:val="0"/>
              </w:rPr>
              <w:t>和不需住宿两类费用报价），燃油费、过路过桥费按实际结算。</w:t>
            </w:r>
            <w:r>
              <w:rPr>
                <w:rFonts w:ascii="宋体" w:hAnsi="宋体" w:hint="eastAsia"/>
                <w:szCs w:val="21"/>
              </w:rPr>
              <w:t xml:space="preserve"> </w:t>
            </w:r>
          </w:p>
          <w:p w:rsidR="004013B7" w:rsidRDefault="00A11E49">
            <w:pPr>
              <w:adjustRightInd w:val="0"/>
              <w:snapToGrid w:val="0"/>
              <w:ind w:firstLineChars="200" w:firstLine="396"/>
              <w:jc w:val="left"/>
              <w:rPr>
                <w:rFonts w:ascii="宋体" w:hAnsi="宋体" w:cs="宋体"/>
                <w:spacing w:val="-6"/>
                <w:szCs w:val="21"/>
              </w:rPr>
            </w:pPr>
            <w:r>
              <w:rPr>
                <w:rFonts w:ascii="宋体" w:hAnsi="宋体" w:cs="宋体" w:hint="eastAsia"/>
                <w:spacing w:val="-6"/>
                <w:szCs w:val="21"/>
              </w:rPr>
              <w:t>2.如遇行程特殊，经双方提前协议沟通价格可适当合理浮动。</w:t>
            </w:r>
          </w:p>
        </w:tc>
      </w:tr>
    </w:tbl>
    <w:p w:rsidR="004013B7" w:rsidRDefault="004013B7">
      <w:pPr>
        <w:pStyle w:val="a"/>
        <w:numPr>
          <w:ilvl w:val="0"/>
          <w:numId w:val="0"/>
        </w:numPr>
      </w:pPr>
    </w:p>
    <w:sectPr w:rsidR="004013B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FD847"/>
    <w:multiLevelType w:val="singleLevel"/>
    <w:tmpl w:val="284FD847"/>
    <w:lvl w:ilvl="0">
      <w:start w:val="1"/>
      <w:numFmt w:val="decimal"/>
      <w:pStyle w:val="a"/>
      <w:lvlText w:val="%1."/>
      <w:lvlJc w:val="left"/>
      <w:pPr>
        <w:tabs>
          <w:tab w:val="left" w:pos="360"/>
        </w:tabs>
        <w:ind w:left="360" w:hanging="360"/>
      </w:pPr>
    </w:lvl>
  </w:abstractNum>
  <w:abstractNum w:abstractNumId="1" w15:restartNumberingAfterBreak="0">
    <w:nsid w:val="38BBA164"/>
    <w:multiLevelType w:val="singleLevel"/>
    <w:tmpl w:val="38BBA164"/>
    <w:lvl w:ilvl="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ZDk3YWY0YTAxN2Y5ZmFkMjc5Mzk2NGIwYTljNGIifQ=="/>
  </w:docVars>
  <w:rsids>
    <w:rsidRoot w:val="49451D89"/>
    <w:rsid w:val="00014697"/>
    <w:rsid w:val="0006587F"/>
    <w:rsid w:val="000D0C4A"/>
    <w:rsid w:val="000E135C"/>
    <w:rsid w:val="00127642"/>
    <w:rsid w:val="001431A4"/>
    <w:rsid w:val="0015007B"/>
    <w:rsid w:val="001A364B"/>
    <w:rsid w:val="001B4B1C"/>
    <w:rsid w:val="001C258D"/>
    <w:rsid w:val="00290F0A"/>
    <w:rsid w:val="00311327"/>
    <w:rsid w:val="003338A1"/>
    <w:rsid w:val="00361234"/>
    <w:rsid w:val="00364EA7"/>
    <w:rsid w:val="00383C89"/>
    <w:rsid w:val="00391D70"/>
    <w:rsid w:val="003C024B"/>
    <w:rsid w:val="003C3119"/>
    <w:rsid w:val="003F043F"/>
    <w:rsid w:val="003F4D5E"/>
    <w:rsid w:val="004013B7"/>
    <w:rsid w:val="00441351"/>
    <w:rsid w:val="00456140"/>
    <w:rsid w:val="004A50F7"/>
    <w:rsid w:val="004F1D4C"/>
    <w:rsid w:val="005308A7"/>
    <w:rsid w:val="00542722"/>
    <w:rsid w:val="00585C97"/>
    <w:rsid w:val="005A03F9"/>
    <w:rsid w:val="005B6A72"/>
    <w:rsid w:val="00616B97"/>
    <w:rsid w:val="006335CC"/>
    <w:rsid w:val="006C3E1E"/>
    <w:rsid w:val="006D3C64"/>
    <w:rsid w:val="0070305D"/>
    <w:rsid w:val="00706717"/>
    <w:rsid w:val="007119CA"/>
    <w:rsid w:val="00712B0F"/>
    <w:rsid w:val="00713F8F"/>
    <w:rsid w:val="007309BF"/>
    <w:rsid w:val="0076224B"/>
    <w:rsid w:val="007B307D"/>
    <w:rsid w:val="007C39DF"/>
    <w:rsid w:val="007F58C2"/>
    <w:rsid w:val="008B4CA3"/>
    <w:rsid w:val="009374C6"/>
    <w:rsid w:val="0099149B"/>
    <w:rsid w:val="009A3691"/>
    <w:rsid w:val="009B178A"/>
    <w:rsid w:val="009E005C"/>
    <w:rsid w:val="009E6B7A"/>
    <w:rsid w:val="00A11E49"/>
    <w:rsid w:val="00A21259"/>
    <w:rsid w:val="00A466E0"/>
    <w:rsid w:val="00A61E92"/>
    <w:rsid w:val="00A71449"/>
    <w:rsid w:val="00A9147D"/>
    <w:rsid w:val="00AC1DC9"/>
    <w:rsid w:val="00AF2E91"/>
    <w:rsid w:val="00B155AD"/>
    <w:rsid w:val="00B81465"/>
    <w:rsid w:val="00BF7038"/>
    <w:rsid w:val="00C348B8"/>
    <w:rsid w:val="00C5273A"/>
    <w:rsid w:val="00C564F8"/>
    <w:rsid w:val="00C77DD2"/>
    <w:rsid w:val="00CA3072"/>
    <w:rsid w:val="00CA4839"/>
    <w:rsid w:val="00CB54DF"/>
    <w:rsid w:val="00D40352"/>
    <w:rsid w:val="00E46D0B"/>
    <w:rsid w:val="00E6599C"/>
    <w:rsid w:val="00E67AAE"/>
    <w:rsid w:val="00E8326E"/>
    <w:rsid w:val="00ED0A94"/>
    <w:rsid w:val="00EF4E63"/>
    <w:rsid w:val="00F31712"/>
    <w:rsid w:val="00F33FE7"/>
    <w:rsid w:val="00F46A3D"/>
    <w:rsid w:val="00F55EAF"/>
    <w:rsid w:val="00F90965"/>
    <w:rsid w:val="00FF1501"/>
    <w:rsid w:val="01063326"/>
    <w:rsid w:val="014E74F2"/>
    <w:rsid w:val="026A690F"/>
    <w:rsid w:val="04EA0A2E"/>
    <w:rsid w:val="05161D55"/>
    <w:rsid w:val="06D05E5C"/>
    <w:rsid w:val="073218E4"/>
    <w:rsid w:val="077D4C64"/>
    <w:rsid w:val="08FF1EC1"/>
    <w:rsid w:val="0A461694"/>
    <w:rsid w:val="0A9A46C1"/>
    <w:rsid w:val="0B721FF9"/>
    <w:rsid w:val="151756C4"/>
    <w:rsid w:val="15AF1449"/>
    <w:rsid w:val="16034AD1"/>
    <w:rsid w:val="18CE3B31"/>
    <w:rsid w:val="19EF1097"/>
    <w:rsid w:val="1AD779FF"/>
    <w:rsid w:val="1CAB7E31"/>
    <w:rsid w:val="1ED91EE7"/>
    <w:rsid w:val="20A127EF"/>
    <w:rsid w:val="22F72134"/>
    <w:rsid w:val="24FD5F0F"/>
    <w:rsid w:val="256047D2"/>
    <w:rsid w:val="27235C8B"/>
    <w:rsid w:val="2A0D518D"/>
    <w:rsid w:val="3026520B"/>
    <w:rsid w:val="32036508"/>
    <w:rsid w:val="32670C59"/>
    <w:rsid w:val="34DA6E90"/>
    <w:rsid w:val="372C25BA"/>
    <w:rsid w:val="386B6B9C"/>
    <w:rsid w:val="39994DA4"/>
    <w:rsid w:val="3A440CC3"/>
    <w:rsid w:val="3B4C591F"/>
    <w:rsid w:val="3C473714"/>
    <w:rsid w:val="3D44550C"/>
    <w:rsid w:val="3D6D6927"/>
    <w:rsid w:val="409D3DE2"/>
    <w:rsid w:val="41272D20"/>
    <w:rsid w:val="418F339D"/>
    <w:rsid w:val="458413DA"/>
    <w:rsid w:val="46020B05"/>
    <w:rsid w:val="4699087C"/>
    <w:rsid w:val="4768022F"/>
    <w:rsid w:val="48A25B65"/>
    <w:rsid w:val="49451D89"/>
    <w:rsid w:val="4A27372B"/>
    <w:rsid w:val="4A7F49CA"/>
    <w:rsid w:val="4A953B78"/>
    <w:rsid w:val="4BDB3563"/>
    <w:rsid w:val="51D96D67"/>
    <w:rsid w:val="553339D0"/>
    <w:rsid w:val="56663D4D"/>
    <w:rsid w:val="58475215"/>
    <w:rsid w:val="59A452C3"/>
    <w:rsid w:val="5A2C3884"/>
    <w:rsid w:val="5A494555"/>
    <w:rsid w:val="5ACB4A5C"/>
    <w:rsid w:val="5C381248"/>
    <w:rsid w:val="5CC60AB3"/>
    <w:rsid w:val="5D7D12EA"/>
    <w:rsid w:val="5E23673A"/>
    <w:rsid w:val="5F3F6F4A"/>
    <w:rsid w:val="61706794"/>
    <w:rsid w:val="636571DC"/>
    <w:rsid w:val="63B32C9C"/>
    <w:rsid w:val="66955A9A"/>
    <w:rsid w:val="67B95E20"/>
    <w:rsid w:val="67EB18CA"/>
    <w:rsid w:val="68290C4D"/>
    <w:rsid w:val="69002625"/>
    <w:rsid w:val="69A33A64"/>
    <w:rsid w:val="6D542605"/>
    <w:rsid w:val="74C2487D"/>
    <w:rsid w:val="76393AE0"/>
    <w:rsid w:val="77054254"/>
    <w:rsid w:val="7C311233"/>
    <w:rsid w:val="7C4D3064"/>
    <w:rsid w:val="7D3D341C"/>
    <w:rsid w:val="7F1F6D2E"/>
    <w:rsid w:val="7FEC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13ACEE-9E85-46CB-9888-467D34C3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jc w:val="both"/>
    </w:pPr>
    <w:rPr>
      <w:rFonts w:ascii="Calibri" w:hAnsi="Calibri"/>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link w:val="Char"/>
    <w:qFormat/>
    <w:pPr>
      <w:tabs>
        <w:tab w:val="center" w:pos="4153"/>
        <w:tab w:val="right" w:pos="8306"/>
      </w:tabs>
      <w:snapToGrid w:val="0"/>
      <w:jc w:val="left"/>
    </w:pPr>
    <w:rPr>
      <w:sz w:val="18"/>
      <w:szCs w:val="18"/>
    </w:rPr>
  </w:style>
  <w:style w:type="paragraph" w:styleId="a">
    <w:name w:val="List Number"/>
    <w:basedOn w:val="a0"/>
    <w:qFormat/>
    <w:pPr>
      <w:numPr>
        <w:numId w:val="1"/>
      </w:numPr>
    </w:pPr>
  </w:style>
  <w:style w:type="paragraph" w:styleId="a5">
    <w:name w:val="annotation text"/>
    <w:basedOn w:val="a0"/>
    <w:link w:val="Char0"/>
    <w:qFormat/>
    <w:pPr>
      <w:jc w:val="left"/>
    </w:pPr>
  </w:style>
  <w:style w:type="paragraph" w:styleId="a6">
    <w:name w:val="Balloon Text"/>
    <w:basedOn w:val="a0"/>
    <w:link w:val="Char1"/>
    <w:qFormat/>
    <w:rPr>
      <w:sz w:val="18"/>
      <w:szCs w:val="18"/>
    </w:rPr>
  </w:style>
  <w:style w:type="paragraph" w:styleId="a7">
    <w:name w:val="header"/>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5"/>
    <w:next w:val="a5"/>
    <w:link w:val="Char3"/>
    <w:qFormat/>
    <w:rPr>
      <w:b/>
      <w:bCs/>
    </w:rPr>
  </w:style>
  <w:style w:type="table" w:styleId="a9">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2"/>
    <w:qFormat/>
    <w:rPr>
      <w:sz w:val="21"/>
      <w:szCs w:val="21"/>
    </w:rPr>
  </w:style>
  <w:style w:type="character" w:customStyle="1" w:styleId="Char">
    <w:name w:val="页脚 Char"/>
    <w:basedOn w:val="a2"/>
    <w:link w:val="a1"/>
    <w:qFormat/>
    <w:rPr>
      <w:rFonts w:ascii="Calibri" w:eastAsia="宋体" w:hAnsi="Calibri" w:cs="Times New Roman"/>
      <w:kern w:val="2"/>
      <w:sz w:val="18"/>
      <w:szCs w:val="18"/>
    </w:rPr>
  </w:style>
  <w:style w:type="character" w:customStyle="1" w:styleId="Char0">
    <w:name w:val="批注文字 Char"/>
    <w:basedOn w:val="a2"/>
    <w:link w:val="a5"/>
    <w:qFormat/>
    <w:rPr>
      <w:rFonts w:ascii="Calibri" w:eastAsia="宋体" w:hAnsi="Calibri" w:cs="Times New Roman"/>
      <w:kern w:val="2"/>
      <w:sz w:val="21"/>
    </w:rPr>
  </w:style>
  <w:style w:type="character" w:customStyle="1" w:styleId="Char1">
    <w:name w:val="批注框文本 Char"/>
    <w:basedOn w:val="a2"/>
    <w:link w:val="a6"/>
    <w:qFormat/>
    <w:rPr>
      <w:rFonts w:ascii="Calibri" w:eastAsia="宋体" w:hAnsi="Calibri" w:cs="Times New Roman"/>
      <w:kern w:val="2"/>
      <w:sz w:val="18"/>
      <w:szCs w:val="18"/>
    </w:rPr>
  </w:style>
  <w:style w:type="character" w:customStyle="1" w:styleId="Char2">
    <w:name w:val="页眉 Char"/>
    <w:basedOn w:val="a2"/>
    <w:link w:val="a7"/>
    <w:uiPriority w:val="99"/>
    <w:qFormat/>
    <w:rPr>
      <w:rFonts w:ascii="Calibri" w:eastAsia="宋体" w:hAnsi="Calibri" w:cs="Times New Roman"/>
      <w:kern w:val="2"/>
      <w:sz w:val="18"/>
      <w:szCs w:val="18"/>
    </w:rPr>
  </w:style>
  <w:style w:type="character" w:customStyle="1" w:styleId="Char3">
    <w:name w:val="批注主题 Char"/>
    <w:basedOn w:val="Char0"/>
    <w:link w:val="a8"/>
    <w:qFormat/>
    <w:rPr>
      <w:rFonts w:ascii="Calibri" w:eastAsia="宋体" w:hAnsi="Calibri" w:cs="Times New Roman"/>
      <w:b/>
      <w:bCs/>
      <w:kern w:val="2"/>
      <w:sz w:val="21"/>
    </w:rPr>
  </w:style>
  <w:style w:type="paragraph" w:styleId="ab">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1803</Characters>
  <Application>Microsoft Office Word</Application>
  <DocSecurity>0</DocSecurity>
  <Lines>15</Lines>
  <Paragraphs>4</Paragraphs>
  <ScaleCrop>false</ScaleCrop>
  <Company>HP Inc.</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a12</cp:lastModifiedBy>
  <cp:revision>3</cp:revision>
  <cp:lastPrinted>2022-05-18T07:26:00Z</cp:lastPrinted>
  <dcterms:created xsi:type="dcterms:W3CDTF">2024-11-11T00:22:00Z</dcterms:created>
  <dcterms:modified xsi:type="dcterms:W3CDTF">2024-11-11T01:04:00Z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0A4A30C7FA7C4E1FBEA1C2B6790E7EF1</vt:lpwstr>
  </property>
</Properties>
</file>