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0"/>
        </w:tabs>
        <w:spacing w:line="600" w:lineRule="exact"/>
        <w:rPr>
          <w:rFonts w:ascii="宋体" w:hAnsi="宋体" w:cs="宋体"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Cs/>
          <w:sz w:val="30"/>
          <w:szCs w:val="30"/>
        </w:rPr>
        <w:t>附件2</w:t>
      </w:r>
    </w:p>
    <w:p>
      <w:pPr>
        <w:pStyle w:val="3"/>
        <w:numPr>
          <w:ilvl w:val="0"/>
          <w:numId w:val="0"/>
        </w:numPr>
        <w:ind w:left="360"/>
      </w:pPr>
    </w:p>
    <w:p>
      <w:pPr>
        <w:widowControl w:val="0"/>
        <w:tabs>
          <w:tab w:val="left" w:pos="0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广西壮族自治区柳州生态环境监测中心</w:t>
      </w:r>
    </w:p>
    <w:p>
      <w:pPr>
        <w:widowControl w:val="0"/>
        <w:tabs>
          <w:tab w:val="left" w:pos="0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2024-2025年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公务用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车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租赁服务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评分办法</w:t>
      </w:r>
    </w:p>
    <w:p>
      <w:pPr>
        <w:spacing w:line="580" w:lineRule="exact"/>
        <w:ind w:firstLine="646" w:firstLineChars="202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80" w:lineRule="exact"/>
        <w:ind w:firstLine="646" w:firstLineChars="202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一、评审原则</w:t>
      </w:r>
    </w:p>
    <w:p>
      <w:pPr>
        <w:spacing w:line="580" w:lineRule="exact"/>
        <w:ind w:firstLine="320" w:firstLineChars="100"/>
        <w:rPr>
          <w:rFonts w:ascii="宋体" w:hAnsi="宋体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（一）</w:t>
      </w:r>
      <w:r>
        <w:rPr>
          <w:rFonts w:hint="eastAsia" w:ascii="宋体" w:hAnsi="宋体"/>
          <w:bCs/>
          <w:sz w:val="32"/>
          <w:szCs w:val="32"/>
        </w:rPr>
        <w:t>评审小组构成：本项目的评审小组由采购单位组建，成员从中心专家库中抽取，成员人数为三人以上（含三人）单数。</w:t>
      </w:r>
    </w:p>
    <w:p>
      <w:pPr>
        <w:spacing w:line="580" w:lineRule="exact"/>
        <w:ind w:firstLine="320" w:firstLineChars="1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（二）评审依据：本评审办法和供应商提交的响应文件。</w:t>
      </w:r>
    </w:p>
    <w:p>
      <w:pPr>
        <w:spacing w:line="580" w:lineRule="exact"/>
        <w:ind w:firstLine="320" w:firstLineChars="1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（三）评审方法：综合评分法。</w:t>
      </w:r>
    </w:p>
    <w:p>
      <w:pPr>
        <w:spacing w:line="580" w:lineRule="exact"/>
        <w:ind w:firstLine="646" w:firstLineChars="202"/>
        <w:rPr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二、评审方法</w:t>
      </w:r>
    </w:p>
    <w:p>
      <w:pPr>
        <w:spacing w:line="30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（一）价格分………………………………………………… 满分40分</w:t>
      </w:r>
    </w:p>
    <w:p>
      <w:pPr>
        <w:spacing w:line="300" w:lineRule="auto"/>
        <w:jc w:val="center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主要使用车型用车报价表（评分占比权重）</w:t>
      </w:r>
    </w:p>
    <w:p>
      <w:pPr>
        <w:pStyle w:val="2"/>
        <w:rPr>
          <w:spacing w:val="-6"/>
          <w:szCs w:val="21"/>
        </w:rPr>
      </w:pP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637"/>
        <w:gridCol w:w="929"/>
        <w:gridCol w:w="980"/>
        <w:gridCol w:w="1028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类别</w:t>
            </w:r>
          </w:p>
        </w:tc>
        <w:tc>
          <w:tcPr>
            <w:tcW w:w="15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出行计费方式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5座车（10万以下）</w:t>
            </w:r>
          </w:p>
        </w:tc>
        <w:tc>
          <w:tcPr>
            <w:tcW w:w="5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5座越野车</w:t>
            </w:r>
            <w:r>
              <w:rPr>
                <w:rFonts w:hint="eastAsia" w:ascii="宋体" w:hAnsi="宋体"/>
                <w:kern w:val="0"/>
                <w:szCs w:val="21"/>
              </w:rPr>
              <w:t>（10万以上）</w:t>
            </w:r>
          </w:p>
        </w:tc>
        <w:tc>
          <w:tcPr>
            <w:tcW w:w="6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7座车（10万以下）</w:t>
            </w:r>
          </w:p>
        </w:tc>
        <w:tc>
          <w:tcPr>
            <w:tcW w:w="8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11-13座中型客车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6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车辆租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赁费</w:t>
            </w:r>
          </w:p>
        </w:tc>
        <w:tc>
          <w:tcPr>
            <w:tcW w:w="15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日租半天（元/辆/半天，5小时内用车）</w:t>
            </w:r>
          </w:p>
        </w:tc>
        <w:tc>
          <w:tcPr>
            <w:tcW w:w="545" w:type="pct"/>
            <w:vAlign w:val="center"/>
          </w:tcPr>
          <w:p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575" w:type="pct"/>
            <w:vAlign w:val="center"/>
          </w:tcPr>
          <w:p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4%</w:t>
            </w: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5%</w:t>
            </w:r>
          </w:p>
        </w:tc>
        <w:tc>
          <w:tcPr>
            <w:tcW w:w="85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69" w:type="pct"/>
            <w:vMerge w:val="continue"/>
          </w:tcPr>
          <w:p>
            <w:pPr>
              <w:pStyle w:val="2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</w:tc>
        <w:tc>
          <w:tcPr>
            <w:tcW w:w="15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日租全天（元/辆/天，24小时内用车）</w:t>
            </w:r>
          </w:p>
        </w:tc>
        <w:tc>
          <w:tcPr>
            <w:tcW w:w="545" w:type="pct"/>
            <w:vAlign w:val="center"/>
          </w:tcPr>
          <w:p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20%</w:t>
            </w:r>
          </w:p>
        </w:tc>
        <w:tc>
          <w:tcPr>
            <w:tcW w:w="575" w:type="pct"/>
            <w:vAlign w:val="center"/>
          </w:tcPr>
          <w:p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6%</w:t>
            </w: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85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9" w:type="pct"/>
            <w:vMerge w:val="restart"/>
            <w:vAlign w:val="center"/>
          </w:tcPr>
          <w:p>
            <w:pPr>
              <w:pStyle w:val="2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>驾驶员</w:t>
            </w:r>
          </w:p>
          <w:p>
            <w:pPr>
              <w:pStyle w:val="2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>服务费</w:t>
            </w:r>
          </w:p>
        </w:tc>
        <w:tc>
          <w:tcPr>
            <w:tcW w:w="15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需住宿（元/人/天）</w:t>
            </w:r>
          </w:p>
        </w:tc>
        <w:tc>
          <w:tcPr>
            <w:tcW w:w="172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85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9" w:type="pct"/>
            <w:vMerge w:val="continue"/>
          </w:tcPr>
          <w:p>
            <w:pPr>
              <w:pStyle w:val="2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</w:tc>
        <w:tc>
          <w:tcPr>
            <w:tcW w:w="15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不需住宿（元/人/天）</w:t>
            </w:r>
          </w:p>
        </w:tc>
        <w:tc>
          <w:tcPr>
            <w:tcW w:w="172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85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9" w:type="pct"/>
            <w:vMerge w:val="continue"/>
          </w:tcPr>
          <w:p>
            <w:pPr>
              <w:pStyle w:val="2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</w:tc>
        <w:tc>
          <w:tcPr>
            <w:tcW w:w="15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半天（元/人/半天，5小时内用车）</w:t>
            </w:r>
          </w:p>
        </w:tc>
        <w:tc>
          <w:tcPr>
            <w:tcW w:w="172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859" w:type="pct"/>
            <w:vAlign w:val="center"/>
          </w:tcPr>
          <w:p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</w:tbl>
    <w:p>
      <w:pPr>
        <w:spacing w:line="300" w:lineRule="auto"/>
        <w:ind w:firstLine="396" w:firstLineChars="20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评分标准：</w:t>
      </w:r>
    </w:p>
    <w:p>
      <w:pPr>
        <w:spacing w:line="300" w:lineRule="auto"/>
        <w:ind w:firstLine="396" w:firstLineChars="20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1、每一栏得分=最低报价/供应商报价×评分占比权重×40（价格分满分）</w:t>
      </w:r>
    </w:p>
    <w:p>
      <w:pPr>
        <w:spacing w:line="300" w:lineRule="auto"/>
        <w:ind w:firstLine="396" w:firstLineChars="200"/>
        <w:rPr>
          <w:szCs w:val="21"/>
        </w:rPr>
      </w:pPr>
      <w:r>
        <w:rPr>
          <w:rFonts w:hint="eastAsia"/>
          <w:spacing w:val="-6"/>
          <w:szCs w:val="21"/>
        </w:rPr>
        <w:t>2、某供应商价格分=上述表格（16栏）得分的总和。</w:t>
      </w:r>
    </w:p>
    <w:p>
      <w:pPr>
        <w:spacing w:line="30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（二）服务质量分……………………………………………………………… 满分27分</w:t>
      </w:r>
    </w:p>
    <w:p>
      <w:pPr>
        <w:spacing w:line="300" w:lineRule="auto"/>
        <w:ind w:firstLine="396" w:firstLineChars="20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在满足租车服务采购需求的前提下，在应急响应出车满足以下要求服务质量的，对应得分。</w:t>
      </w:r>
    </w:p>
    <w:p>
      <w:pPr>
        <w:spacing w:line="300" w:lineRule="auto"/>
        <w:ind w:firstLine="396" w:firstLineChars="20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第一档：租车服务提供的驾驶员（至少5人）驾龄在8年以上的，且承诺在接到采购方需求后30分钟内至少5辆车到达柳州市三中路70</w:t>
      </w:r>
      <w:r>
        <w:rPr>
          <w:spacing w:val="-6"/>
          <w:szCs w:val="21"/>
        </w:rPr>
        <w:t>号</w:t>
      </w:r>
      <w:r>
        <w:rPr>
          <w:rFonts w:hint="eastAsia"/>
          <w:spacing w:val="-6"/>
          <w:szCs w:val="21"/>
        </w:rPr>
        <w:t>的，服务质量得27分。</w:t>
      </w:r>
    </w:p>
    <w:p>
      <w:pPr>
        <w:spacing w:line="300" w:lineRule="auto"/>
        <w:ind w:firstLine="396" w:firstLineChars="20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第二档：租车服务提供的驾驶员（至少5人）驾龄在5年以上的，且承诺在接到采购方需求后40分钟内至少5辆车到达柳州市三中路70</w:t>
      </w:r>
      <w:r>
        <w:rPr>
          <w:spacing w:val="-6"/>
          <w:szCs w:val="21"/>
        </w:rPr>
        <w:t>号</w:t>
      </w:r>
      <w:r>
        <w:rPr>
          <w:rFonts w:hint="eastAsia"/>
          <w:spacing w:val="-6"/>
          <w:szCs w:val="21"/>
        </w:rPr>
        <w:t>的，服务质量得18分。</w:t>
      </w:r>
    </w:p>
    <w:p>
      <w:pPr>
        <w:spacing w:line="300" w:lineRule="auto"/>
        <w:ind w:firstLine="396" w:firstLineChars="20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第三档：租车服务的驾驶员（至少3人）驾龄在3年以上的，且承诺在接到采购方需求后50分钟内至少3辆车到达柳州市三中路70</w:t>
      </w:r>
      <w:r>
        <w:rPr>
          <w:spacing w:val="-6"/>
          <w:szCs w:val="21"/>
        </w:rPr>
        <w:t>号</w:t>
      </w:r>
      <w:r>
        <w:rPr>
          <w:rFonts w:hint="eastAsia"/>
          <w:spacing w:val="-6"/>
          <w:szCs w:val="21"/>
        </w:rPr>
        <w:t>的，服务质量得9分。</w:t>
      </w:r>
    </w:p>
    <w:p>
      <w:pPr>
        <w:spacing w:line="300" w:lineRule="auto"/>
        <w:ind w:left="422"/>
        <w:rPr>
          <w:b/>
          <w:szCs w:val="21"/>
        </w:rPr>
      </w:pPr>
      <w:r>
        <w:rPr>
          <w:rFonts w:hint="eastAsia"/>
          <w:b/>
          <w:szCs w:val="21"/>
        </w:rPr>
        <w:t>（三）车辆车龄车险分………………………………………………………… 满分18分</w:t>
      </w:r>
    </w:p>
    <w:p>
      <w:pPr>
        <w:spacing w:line="30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在满足租车服务采购需求和对应车型报价的前提下，</w:t>
      </w:r>
      <w:r>
        <w:rPr>
          <w:rFonts w:hint="eastAsia"/>
          <w:spacing w:val="-6"/>
          <w:szCs w:val="21"/>
        </w:rPr>
        <w:t>满足以下要求的，对应得分。</w:t>
      </w:r>
    </w:p>
    <w:p>
      <w:pPr>
        <w:spacing w:line="360" w:lineRule="exact"/>
        <w:jc w:val="left"/>
        <w:textAlignment w:val="center"/>
        <w:rPr>
          <w:spacing w:val="-6"/>
          <w:szCs w:val="21"/>
        </w:rPr>
      </w:pPr>
      <w:r>
        <w:rPr>
          <w:rFonts w:hint="eastAsia"/>
          <w:spacing w:val="-6"/>
          <w:szCs w:val="21"/>
        </w:rPr>
        <w:t xml:space="preserve">     第一档：租车服务提供的车辆车龄在6年（含）以内的，且</w:t>
      </w:r>
      <w:r>
        <w:rPr>
          <w:rFonts w:hint="eastAsia" w:ascii="宋体" w:hAnsi="宋体"/>
          <w:kern w:val="0"/>
          <w:szCs w:val="21"/>
        </w:rPr>
        <w:t>每座位险20万以上保费、第三方责任险不低于100万</w:t>
      </w:r>
      <w:r>
        <w:rPr>
          <w:rFonts w:hint="eastAsia"/>
          <w:bCs/>
          <w:szCs w:val="21"/>
        </w:rPr>
        <w:t>的，得</w:t>
      </w:r>
      <w:r>
        <w:rPr>
          <w:rFonts w:hint="eastAsia"/>
          <w:spacing w:val="-6"/>
          <w:szCs w:val="21"/>
        </w:rPr>
        <w:t>18分。</w:t>
      </w:r>
    </w:p>
    <w:p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第二档：租车服务提供的车辆车龄在8年（含）内的，且</w:t>
      </w:r>
      <w:r>
        <w:rPr>
          <w:rFonts w:hint="eastAsia" w:ascii="宋体" w:hAnsi="宋体"/>
          <w:kern w:val="0"/>
          <w:szCs w:val="21"/>
        </w:rPr>
        <w:t>每座位险20万以上保费、第三方责任险不低于100万</w:t>
      </w:r>
      <w:r>
        <w:rPr>
          <w:rFonts w:hint="eastAsia"/>
          <w:bCs/>
          <w:szCs w:val="21"/>
        </w:rPr>
        <w:t>的</w:t>
      </w:r>
      <w:r>
        <w:rPr>
          <w:rFonts w:hint="eastAsia"/>
          <w:spacing w:val="-6"/>
          <w:szCs w:val="21"/>
        </w:rPr>
        <w:t>，得12分。</w:t>
      </w:r>
    </w:p>
    <w:p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第三档：租车服务提供的车辆车龄在10年（含）内的，或</w:t>
      </w:r>
      <w:r>
        <w:rPr>
          <w:rFonts w:hint="eastAsia" w:ascii="宋体" w:hAnsi="宋体"/>
          <w:kern w:val="0"/>
          <w:szCs w:val="21"/>
        </w:rPr>
        <w:t>每座位险20万以上保费、第三方责任险不低于100万</w:t>
      </w:r>
      <w:r>
        <w:rPr>
          <w:rFonts w:hint="eastAsia"/>
          <w:bCs/>
          <w:szCs w:val="21"/>
        </w:rPr>
        <w:t>的</w:t>
      </w:r>
      <w:r>
        <w:rPr>
          <w:rFonts w:hint="eastAsia"/>
          <w:spacing w:val="-6"/>
          <w:szCs w:val="21"/>
        </w:rPr>
        <w:t>，得6分。</w:t>
      </w:r>
    </w:p>
    <w:p>
      <w:pPr>
        <w:spacing w:line="300" w:lineRule="auto"/>
        <w:ind w:left="422"/>
        <w:rPr>
          <w:b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（四）管理制度</w:t>
      </w:r>
      <w:r>
        <w:rPr>
          <w:rFonts w:hint="eastAsia"/>
          <w:b/>
          <w:szCs w:val="21"/>
        </w:rPr>
        <w:t>………………………………………………………………… 满分10分</w:t>
      </w:r>
    </w:p>
    <w:p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第一档：提交针对本项目的管理制度，包含服务承诺、人员管理、车辆管理、惩罚机制等，明确服务质量及惩罚办法，配备项目经理，内容详细全面；</w:t>
      </w:r>
      <w:r>
        <w:rPr>
          <w:rFonts w:hint="eastAsia"/>
          <w:bCs/>
          <w:szCs w:val="21"/>
        </w:rPr>
        <w:t>得10</w:t>
      </w:r>
      <w:r>
        <w:rPr>
          <w:rFonts w:hint="eastAsia"/>
          <w:spacing w:val="-6"/>
          <w:szCs w:val="21"/>
        </w:rPr>
        <w:t>分。</w:t>
      </w:r>
    </w:p>
    <w:p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第二档：提交针对本项目的管理制度，包含服务承诺、人员管理、车辆管理等，明确服务质量及惩罚办法；</w:t>
      </w:r>
      <w:r>
        <w:rPr>
          <w:rFonts w:hint="eastAsia"/>
          <w:bCs/>
          <w:szCs w:val="21"/>
        </w:rPr>
        <w:t>得5</w:t>
      </w:r>
      <w:r>
        <w:rPr>
          <w:rFonts w:hint="eastAsia"/>
          <w:spacing w:val="-6"/>
          <w:szCs w:val="21"/>
        </w:rPr>
        <w:t>分。</w:t>
      </w:r>
    </w:p>
    <w:p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第三档：提交针对本项目的管理制度，内容不全面不明确；或未提交管理制度的；</w:t>
      </w:r>
      <w:r>
        <w:rPr>
          <w:rFonts w:hint="eastAsia"/>
          <w:bCs/>
          <w:szCs w:val="21"/>
        </w:rPr>
        <w:t>得0</w:t>
      </w:r>
      <w:r>
        <w:rPr>
          <w:rFonts w:hint="eastAsia"/>
          <w:spacing w:val="-6"/>
          <w:szCs w:val="21"/>
        </w:rPr>
        <w:t>分。</w:t>
      </w:r>
    </w:p>
    <w:p>
      <w:pPr>
        <w:spacing w:line="300" w:lineRule="auto"/>
        <w:ind w:left="422"/>
        <w:rPr>
          <w:b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（五）其他</w:t>
      </w:r>
      <w:r>
        <w:rPr>
          <w:rFonts w:hint="eastAsia"/>
          <w:b/>
          <w:szCs w:val="21"/>
        </w:rPr>
        <w:t>………………………………………………………………………… 满分5分</w:t>
      </w:r>
    </w:p>
    <w:p>
      <w:pPr>
        <w:pStyle w:val="2"/>
        <w:ind w:firstLine="420" w:firstLineChars="200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1.提供服务的车辆均配备加油卡“一车一卡”，且卡内余额不低于500。得1分。</w:t>
      </w:r>
    </w:p>
    <w:p>
      <w:pPr>
        <w:pStyle w:val="2"/>
        <w:ind w:firstLine="420" w:firstLineChars="200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2.提供服务的车辆均配备ETC“一车一卡”。得2分。</w:t>
      </w:r>
    </w:p>
    <w:p>
      <w:pPr>
        <w:pStyle w:val="2"/>
        <w:ind w:firstLine="420" w:firstLineChars="200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3.提供服务的车辆具备追踪行车路线。得2分。</w:t>
      </w:r>
    </w:p>
    <w:p>
      <w:pPr>
        <w:pStyle w:val="2"/>
        <w:ind w:firstLine="420" w:firstLineChars="200"/>
        <w:rPr>
          <w:rFonts w:ascii="宋体" w:hAnsi="宋体"/>
          <w:kern w:val="0"/>
          <w:sz w:val="21"/>
          <w:szCs w:val="21"/>
        </w:rPr>
      </w:pPr>
    </w:p>
    <w:p>
      <w:pPr>
        <w:spacing w:line="300" w:lineRule="auto"/>
        <w:ind w:firstLine="384"/>
        <w:rPr>
          <w:b/>
          <w:bCs/>
          <w:spacing w:val="-6"/>
          <w:szCs w:val="21"/>
        </w:rPr>
      </w:pPr>
      <w:r>
        <w:rPr>
          <w:rFonts w:hint="eastAsia"/>
          <w:b/>
          <w:bCs/>
          <w:spacing w:val="-6"/>
          <w:szCs w:val="21"/>
        </w:rPr>
        <w:t>综合得分=（一）+（二）+（三）+（四）+（五）</w:t>
      </w:r>
    </w:p>
    <w:p>
      <w:pPr>
        <w:spacing w:line="300" w:lineRule="auto"/>
        <w:ind w:firstLine="426" w:firstLineChars="202"/>
        <w:rPr>
          <w:b/>
          <w:szCs w:val="21"/>
        </w:rPr>
      </w:pPr>
      <w:r>
        <w:rPr>
          <w:rFonts w:hint="eastAsia"/>
          <w:b/>
          <w:szCs w:val="21"/>
        </w:rPr>
        <w:t>三、成交候选人推荐原则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根据供应商提交的材料进行综合评分，按照得分由高到低顺序得出成交候选人名单。评审得分相同的，以5座车4栏评分相加进行排序；如再出现评分相同的情况，则以7座车4栏评分相加进行排序。成交原则为排序顺位第一的供应商。如成交供应商因不可抗力提出不能履行合同，顺位选择第二排名的供应商，以此类推。</w:t>
      </w:r>
    </w:p>
    <w:p>
      <w:pPr>
        <w:pStyle w:val="2"/>
        <w:rPr>
          <w:szCs w:val="21"/>
        </w:rPr>
      </w:pPr>
    </w:p>
    <w:p>
      <w:pPr>
        <w:pStyle w:val="2"/>
        <w:rPr>
          <w:szCs w:val="21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5FB3F"/>
    <w:multiLevelType w:val="singleLevel"/>
    <w:tmpl w:val="94A5FB3F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yZDk3YWY0YTAxN2Y5ZmFkMjc5Mzk2NGIwYTljNGIifQ=="/>
  </w:docVars>
  <w:rsids>
    <w:rsidRoot w:val="4232087A"/>
    <w:rsid w:val="00020C17"/>
    <w:rsid w:val="00037072"/>
    <w:rsid w:val="00040135"/>
    <w:rsid w:val="00074111"/>
    <w:rsid w:val="0007450D"/>
    <w:rsid w:val="00084353"/>
    <w:rsid w:val="00116D9E"/>
    <w:rsid w:val="001A53AE"/>
    <w:rsid w:val="001B0639"/>
    <w:rsid w:val="001B4387"/>
    <w:rsid w:val="00207027"/>
    <w:rsid w:val="002079B4"/>
    <w:rsid w:val="002304D5"/>
    <w:rsid w:val="00240727"/>
    <w:rsid w:val="002476C7"/>
    <w:rsid w:val="002621AB"/>
    <w:rsid w:val="002716F5"/>
    <w:rsid w:val="002A3BAD"/>
    <w:rsid w:val="002A60C3"/>
    <w:rsid w:val="002B76F4"/>
    <w:rsid w:val="002D3756"/>
    <w:rsid w:val="002F00A4"/>
    <w:rsid w:val="00345FD2"/>
    <w:rsid w:val="0037337D"/>
    <w:rsid w:val="00391FD8"/>
    <w:rsid w:val="0043521B"/>
    <w:rsid w:val="004362E1"/>
    <w:rsid w:val="004607EA"/>
    <w:rsid w:val="00461C59"/>
    <w:rsid w:val="004B4524"/>
    <w:rsid w:val="005254F7"/>
    <w:rsid w:val="00531794"/>
    <w:rsid w:val="00581E6C"/>
    <w:rsid w:val="005F6668"/>
    <w:rsid w:val="00605845"/>
    <w:rsid w:val="006112E0"/>
    <w:rsid w:val="00643E94"/>
    <w:rsid w:val="00656692"/>
    <w:rsid w:val="00681A21"/>
    <w:rsid w:val="00691F12"/>
    <w:rsid w:val="006D584D"/>
    <w:rsid w:val="006F7052"/>
    <w:rsid w:val="00716500"/>
    <w:rsid w:val="007270CA"/>
    <w:rsid w:val="00737709"/>
    <w:rsid w:val="00757FD7"/>
    <w:rsid w:val="00773E75"/>
    <w:rsid w:val="00774B2D"/>
    <w:rsid w:val="00781404"/>
    <w:rsid w:val="007D5A4A"/>
    <w:rsid w:val="007F4F3E"/>
    <w:rsid w:val="008002C7"/>
    <w:rsid w:val="00806685"/>
    <w:rsid w:val="00813988"/>
    <w:rsid w:val="008351C2"/>
    <w:rsid w:val="00841974"/>
    <w:rsid w:val="008501F4"/>
    <w:rsid w:val="008676E9"/>
    <w:rsid w:val="00873320"/>
    <w:rsid w:val="008C7225"/>
    <w:rsid w:val="008F50F0"/>
    <w:rsid w:val="009378BB"/>
    <w:rsid w:val="009407F9"/>
    <w:rsid w:val="0094254E"/>
    <w:rsid w:val="0097040B"/>
    <w:rsid w:val="009833BD"/>
    <w:rsid w:val="00991D31"/>
    <w:rsid w:val="009F7EE6"/>
    <w:rsid w:val="00A02900"/>
    <w:rsid w:val="00A22EEC"/>
    <w:rsid w:val="00A348AB"/>
    <w:rsid w:val="00A34C21"/>
    <w:rsid w:val="00AB47DC"/>
    <w:rsid w:val="00B07E17"/>
    <w:rsid w:val="00B546BE"/>
    <w:rsid w:val="00B73D75"/>
    <w:rsid w:val="00B83FCC"/>
    <w:rsid w:val="00BC7DF7"/>
    <w:rsid w:val="00C17276"/>
    <w:rsid w:val="00C3013F"/>
    <w:rsid w:val="00C34967"/>
    <w:rsid w:val="00C435E4"/>
    <w:rsid w:val="00C467CB"/>
    <w:rsid w:val="00C72923"/>
    <w:rsid w:val="00CB4F1A"/>
    <w:rsid w:val="00CB548E"/>
    <w:rsid w:val="00CC5841"/>
    <w:rsid w:val="00CD6F02"/>
    <w:rsid w:val="00CE1AF3"/>
    <w:rsid w:val="00CE30B4"/>
    <w:rsid w:val="00CF6EAA"/>
    <w:rsid w:val="00D25999"/>
    <w:rsid w:val="00D3328C"/>
    <w:rsid w:val="00D37373"/>
    <w:rsid w:val="00D626BA"/>
    <w:rsid w:val="00D74BF2"/>
    <w:rsid w:val="00D836F1"/>
    <w:rsid w:val="00DE7688"/>
    <w:rsid w:val="00E0670B"/>
    <w:rsid w:val="00E11882"/>
    <w:rsid w:val="00E4630B"/>
    <w:rsid w:val="00E7133E"/>
    <w:rsid w:val="00E76D7F"/>
    <w:rsid w:val="00EC1CC7"/>
    <w:rsid w:val="00ED6C20"/>
    <w:rsid w:val="00F26AFD"/>
    <w:rsid w:val="00F840C4"/>
    <w:rsid w:val="00F87177"/>
    <w:rsid w:val="00FC02A3"/>
    <w:rsid w:val="01541D53"/>
    <w:rsid w:val="018F5EA5"/>
    <w:rsid w:val="01F63497"/>
    <w:rsid w:val="04525749"/>
    <w:rsid w:val="047D5350"/>
    <w:rsid w:val="04E730BA"/>
    <w:rsid w:val="05C64F7D"/>
    <w:rsid w:val="064D031E"/>
    <w:rsid w:val="07C05DAF"/>
    <w:rsid w:val="07DF5041"/>
    <w:rsid w:val="080C328C"/>
    <w:rsid w:val="08563874"/>
    <w:rsid w:val="094E4164"/>
    <w:rsid w:val="0A6A18D2"/>
    <w:rsid w:val="0A725B0A"/>
    <w:rsid w:val="0AF456DE"/>
    <w:rsid w:val="0B1A2499"/>
    <w:rsid w:val="0B9E4951"/>
    <w:rsid w:val="0BBA7B8D"/>
    <w:rsid w:val="0C594591"/>
    <w:rsid w:val="0CCA23F2"/>
    <w:rsid w:val="0D5B0562"/>
    <w:rsid w:val="0DB842B2"/>
    <w:rsid w:val="0E615FCF"/>
    <w:rsid w:val="0F845844"/>
    <w:rsid w:val="0F873CCC"/>
    <w:rsid w:val="0FFA4CB5"/>
    <w:rsid w:val="104C2993"/>
    <w:rsid w:val="10763935"/>
    <w:rsid w:val="10FC24C4"/>
    <w:rsid w:val="111B1C70"/>
    <w:rsid w:val="115434E7"/>
    <w:rsid w:val="11C74A96"/>
    <w:rsid w:val="12D90CAF"/>
    <w:rsid w:val="149D1BED"/>
    <w:rsid w:val="14EA500F"/>
    <w:rsid w:val="1507723A"/>
    <w:rsid w:val="15510276"/>
    <w:rsid w:val="17114321"/>
    <w:rsid w:val="17A543E4"/>
    <w:rsid w:val="18E87B91"/>
    <w:rsid w:val="19C97374"/>
    <w:rsid w:val="1A387A06"/>
    <w:rsid w:val="1A5535CB"/>
    <w:rsid w:val="1AC44C94"/>
    <w:rsid w:val="1B79633D"/>
    <w:rsid w:val="1BC15A93"/>
    <w:rsid w:val="1C1B16DA"/>
    <w:rsid w:val="1C245657"/>
    <w:rsid w:val="1C751C89"/>
    <w:rsid w:val="1D960321"/>
    <w:rsid w:val="1EB40F03"/>
    <w:rsid w:val="1EDB1AF2"/>
    <w:rsid w:val="1EEF5CE0"/>
    <w:rsid w:val="1FC35BE9"/>
    <w:rsid w:val="20CC17D1"/>
    <w:rsid w:val="21601BC3"/>
    <w:rsid w:val="216A6B16"/>
    <w:rsid w:val="21D42F5B"/>
    <w:rsid w:val="21E45B73"/>
    <w:rsid w:val="22175E3B"/>
    <w:rsid w:val="234F59E9"/>
    <w:rsid w:val="24026BF0"/>
    <w:rsid w:val="247C6AD0"/>
    <w:rsid w:val="26EB0620"/>
    <w:rsid w:val="277A5994"/>
    <w:rsid w:val="289E594E"/>
    <w:rsid w:val="292A7D76"/>
    <w:rsid w:val="299667A8"/>
    <w:rsid w:val="29F9372C"/>
    <w:rsid w:val="2A2C2EFF"/>
    <w:rsid w:val="2B2153EC"/>
    <w:rsid w:val="2B8D0EF6"/>
    <w:rsid w:val="2C2A5925"/>
    <w:rsid w:val="2E5B33F8"/>
    <w:rsid w:val="2E6C3DCE"/>
    <w:rsid w:val="2F290A0C"/>
    <w:rsid w:val="2F9125DC"/>
    <w:rsid w:val="2F9E1945"/>
    <w:rsid w:val="2FE1334B"/>
    <w:rsid w:val="30096E5C"/>
    <w:rsid w:val="30990AC6"/>
    <w:rsid w:val="30B24833"/>
    <w:rsid w:val="315D1434"/>
    <w:rsid w:val="31C77CFD"/>
    <w:rsid w:val="33051AA3"/>
    <w:rsid w:val="3329355D"/>
    <w:rsid w:val="35316F99"/>
    <w:rsid w:val="369A27C3"/>
    <w:rsid w:val="374431B9"/>
    <w:rsid w:val="3913098E"/>
    <w:rsid w:val="39224A3E"/>
    <w:rsid w:val="3A9E7E0B"/>
    <w:rsid w:val="3D4F671B"/>
    <w:rsid w:val="3DCC61DE"/>
    <w:rsid w:val="3F2E47B2"/>
    <w:rsid w:val="40454DB8"/>
    <w:rsid w:val="40F83407"/>
    <w:rsid w:val="417C4F85"/>
    <w:rsid w:val="4232087A"/>
    <w:rsid w:val="425505F8"/>
    <w:rsid w:val="42A531A8"/>
    <w:rsid w:val="42B3465F"/>
    <w:rsid w:val="43EA4DF2"/>
    <w:rsid w:val="44B51B35"/>
    <w:rsid w:val="44BA6ECC"/>
    <w:rsid w:val="45B56529"/>
    <w:rsid w:val="461A4ED4"/>
    <w:rsid w:val="46A66D5A"/>
    <w:rsid w:val="46F57933"/>
    <w:rsid w:val="473C6E6D"/>
    <w:rsid w:val="47CA3B61"/>
    <w:rsid w:val="488214B0"/>
    <w:rsid w:val="48A661B1"/>
    <w:rsid w:val="49DB6799"/>
    <w:rsid w:val="4A047C5D"/>
    <w:rsid w:val="4ABF153F"/>
    <w:rsid w:val="4AC82364"/>
    <w:rsid w:val="4BDF16EA"/>
    <w:rsid w:val="4C0A62E5"/>
    <w:rsid w:val="4C155C24"/>
    <w:rsid w:val="4C6B1F1E"/>
    <w:rsid w:val="4DBB37F2"/>
    <w:rsid w:val="4E7413B2"/>
    <w:rsid w:val="4EA57AE1"/>
    <w:rsid w:val="505768C0"/>
    <w:rsid w:val="50576DF1"/>
    <w:rsid w:val="505F7E12"/>
    <w:rsid w:val="50681E36"/>
    <w:rsid w:val="51AA2622"/>
    <w:rsid w:val="52CD2378"/>
    <w:rsid w:val="53D0577F"/>
    <w:rsid w:val="567E3235"/>
    <w:rsid w:val="5691784B"/>
    <w:rsid w:val="5898113B"/>
    <w:rsid w:val="59E53E65"/>
    <w:rsid w:val="5A256015"/>
    <w:rsid w:val="5A507D2E"/>
    <w:rsid w:val="5AAA215F"/>
    <w:rsid w:val="5B1B5499"/>
    <w:rsid w:val="5BB75064"/>
    <w:rsid w:val="5BCD1D5B"/>
    <w:rsid w:val="5C9E1B01"/>
    <w:rsid w:val="5D5E58F0"/>
    <w:rsid w:val="5DB160E7"/>
    <w:rsid w:val="5E7B231B"/>
    <w:rsid w:val="5E965386"/>
    <w:rsid w:val="5F0C1AF3"/>
    <w:rsid w:val="5F1E02AB"/>
    <w:rsid w:val="5FDB25AF"/>
    <w:rsid w:val="61A537FE"/>
    <w:rsid w:val="61AA481D"/>
    <w:rsid w:val="61E40E6A"/>
    <w:rsid w:val="62FD60F5"/>
    <w:rsid w:val="63B0743C"/>
    <w:rsid w:val="64845BF6"/>
    <w:rsid w:val="64CF183E"/>
    <w:rsid w:val="657F4838"/>
    <w:rsid w:val="66211849"/>
    <w:rsid w:val="66BB37B3"/>
    <w:rsid w:val="67904838"/>
    <w:rsid w:val="682E035D"/>
    <w:rsid w:val="685440AB"/>
    <w:rsid w:val="68571CE2"/>
    <w:rsid w:val="69732064"/>
    <w:rsid w:val="6A144C92"/>
    <w:rsid w:val="6A7D234E"/>
    <w:rsid w:val="6B141A7C"/>
    <w:rsid w:val="6B4D704B"/>
    <w:rsid w:val="6C571D6D"/>
    <w:rsid w:val="6D2B07BA"/>
    <w:rsid w:val="6D4B414B"/>
    <w:rsid w:val="6D5412C8"/>
    <w:rsid w:val="6DB42B06"/>
    <w:rsid w:val="6DBF6A25"/>
    <w:rsid w:val="6DC519CC"/>
    <w:rsid w:val="6E514263"/>
    <w:rsid w:val="6EB044F5"/>
    <w:rsid w:val="6FC97DD3"/>
    <w:rsid w:val="705525F5"/>
    <w:rsid w:val="7416523B"/>
    <w:rsid w:val="75E32E4E"/>
    <w:rsid w:val="7736382B"/>
    <w:rsid w:val="77626082"/>
    <w:rsid w:val="77E91B18"/>
    <w:rsid w:val="788131B9"/>
    <w:rsid w:val="78BA764A"/>
    <w:rsid w:val="78D864B9"/>
    <w:rsid w:val="790448A3"/>
    <w:rsid w:val="790B252E"/>
    <w:rsid w:val="79F252E4"/>
    <w:rsid w:val="7A267C9F"/>
    <w:rsid w:val="7A517C09"/>
    <w:rsid w:val="7A77362C"/>
    <w:rsid w:val="7C0041FC"/>
    <w:rsid w:val="7C6B4F30"/>
    <w:rsid w:val="7CE6131A"/>
    <w:rsid w:val="7CF306BA"/>
    <w:rsid w:val="7D1A6930"/>
    <w:rsid w:val="7D40047B"/>
    <w:rsid w:val="7DD57572"/>
    <w:rsid w:val="7F0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Char"/>
    <w:link w:val="4"/>
    <w:qFormat/>
    <w:uiPriority w:val="0"/>
    <w:rPr>
      <w:rFonts w:ascii="Calibri" w:hAnsi="Calibri"/>
      <w:kern w:val="2"/>
      <w:sz w:val="21"/>
    </w:rPr>
  </w:style>
  <w:style w:type="character" w:customStyle="1" w:styleId="15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主题 Char"/>
    <w:link w:val="8"/>
    <w:qFormat/>
    <w:uiPriority w:val="0"/>
    <w:rPr>
      <w:rFonts w:ascii="Calibri" w:hAnsi="Calibri"/>
      <w:b/>
      <w:bCs/>
      <w:kern w:val="2"/>
      <w:sz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正文首行缩进 21"/>
    <w:basedOn w:val="1"/>
    <w:next w:val="7"/>
    <w:qFormat/>
    <w:uiPriority w:val="99"/>
    <w:pPr>
      <w:widowControl w:val="0"/>
      <w:ind w:left="200" w:leftChars="200" w:firstLine="200" w:firstLineChars="200"/>
    </w:pPr>
    <w:rPr>
      <w:rFonts w:ascii="宋体" w:hAnsi="宋体" w:cs="宋体"/>
      <w:color w:val="000000"/>
      <w:kern w:val="0"/>
      <w:szCs w:val="24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232</Words>
  <Characters>1327</Characters>
  <Lines>11</Lines>
  <Paragraphs>3</Paragraphs>
  <TotalTime>7</TotalTime>
  <ScaleCrop>false</ScaleCrop>
  <LinksUpToDate>false</LinksUpToDate>
  <CharactersWithSpaces>1556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2024-11-11T00:22:00Z</dcterms:created>
  <dc:creator>Administrator</dc:creator>
  <cp:lastModifiedBy>Administrator</cp:lastModifiedBy>
  <cp:lastPrinted>2022-05-18T08:52:00Z</cp:lastPrinted>
  <dcterms:modified xsi:type="dcterms:W3CDTF">2024-11-20T01:03:05Z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D33B13084331449493FEDE5E50E9A458</vt:lpwstr>
  </property>
</Properties>
</file>