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1620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180"/>
          <w:tab w:val="left" w:pos="1620"/>
        </w:tabs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广西壮族自治区环境保护科学研究院</w:t>
      </w:r>
    </w:p>
    <w:p>
      <w:pPr>
        <w:tabs>
          <w:tab w:val="left" w:pos="180"/>
          <w:tab w:val="left" w:pos="1620"/>
        </w:tabs>
        <w:jc w:val="center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2024年度实验室试剂耗材追加采购项目需求一览表</w:t>
      </w:r>
    </w:p>
    <w:tbl>
      <w:tblPr>
        <w:tblStyle w:val="15"/>
        <w:tblW w:w="9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304"/>
        <w:gridCol w:w="1095"/>
        <w:gridCol w:w="900"/>
        <w:gridCol w:w="126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674" w:type="dxa"/>
            <w:gridSpan w:val="6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一、实验室实际耗材技术要求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单价预算金额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级别/纯度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技术参数及性能（配置）要求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200GPD RO膜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RO-200GPD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3.3高硼硅白小口试剂瓶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3.3高硼硅广口试剂瓶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4柱式超纯化柱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PTC-UPPR-M4V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精密活性炭滤芯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PC-M-AC-G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KDF复合滤芯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PC-M-KDF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5μmPP深层滤芯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PC-M-PP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CN-CA微孔滤膜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0.45um×φ60，100片/盒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CN-CA微孔滤膜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0.45um*φ100，100片/盒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InLab Expert Pro三合一常规样品PH电极,0-14PH，0-100℃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BNC/Cinch接口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贝勒管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1L，5支/组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比色管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标短漏斗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ф6cm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标口三角瓶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250ml/24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10目2.0mm(塑料,尼龙)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玻璃纤维滤膜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φ6cm，0.45μm，50张/盒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大肚吸管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A级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大肚吸管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A级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大肚吸管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A级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1ml、2ml、5ml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带柄烧杯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低型称量瓶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80×30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干燥器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φ24cm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高铝坩埚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进样针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10ul*50mm锥形针头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具塞刻度试管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刻度吸管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50mlA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空心阴极灯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铬Cr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透明塑料大口瓶  PP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吸头（移液枪头）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50-1000ul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吸头（移液枪头）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2-200μl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吸头（移液枪头）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1-10ml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吸头（移液枪头）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500-5000ul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压盖塑料离心管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压盖圆底塑料离心管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针筒式滤膜过滤器(PES水系)蓝色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25×0.45μl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微孔滤膜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0.22um×φ60(水系)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自封袋（密封袋）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15×20cm，厚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自封袋（密封袋）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15×25cm，厚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自封袋（密封袋）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25×32cm，厚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自封袋（密封袋）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33×42cm，厚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自封袋（密封袋）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35×45cm，厚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白小口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比色管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比色管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比色管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比色管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比色管架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50ml*12、25ml*12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比色管架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100ml*12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孔径10mm、7mm、5mm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孔径3mm、2mm、1mm、0.5mm、0.25mm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标准筛（底盖）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玻璃研钵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称量纸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150mm*150mm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称量纸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120mm*120mm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称量纸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100mm*100mm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称量纸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75mm*75mm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磁力搅拌子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0.5-1.0cm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磁力搅拌子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1.0-1.5cm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顶空瓶（开孔盖+隔垫）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40ml，100个/盒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吹扫顶空瓶垫片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40ml，100/pk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碘量瓶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封口膜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4*125英尺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广泛试纸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1-14pH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硅酸镁SPE小柱 CA1555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1g/6ml，30个/包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口罩（灭菌级）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袋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独立包装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梨形分液漏斗(聚四氟)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梨形分液漏斗(聚四氟)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梨形分液漏斗(聚四氟)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量筒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量筒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量筒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绿色芦荟乳胶手套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小号，中号，大号，25双/盒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纱手套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付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瓶口分配器（耐强酸）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5-50ml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屈臣氏蒸馏水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4.5L*4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烧杯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500ml、1000ml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烧杯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双排分液漏斗架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1000ml/6孔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塑料大口瓶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塑料大口瓶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500ml、250ml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塑料大口瓶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塑料沥水篮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塑料透明试管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塑料离心管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15ml，500个/箱 带泡沫架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塑料离心管（带泡沫支架）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50ml，25pcs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塑料瓶（透明）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塑料取样管（土壤）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2.5公斤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塑料洗瓶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酸碱两用滴定管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娃哈哈纯净水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4.5升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万用电炉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单联，1kw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洗耳球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洗耳球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一次性滴管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3ml，100支/包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一次性丁腈检查手套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小号、中号、大号，灭菌，无粉，蓝色，100只/盒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一次性过滤器(水系)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25mm 0.45um，100只/包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一次性过滤器(水系)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13mm 0.22um，100只/包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乙酸纤维滤膜(水系)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50mm 0.45μm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有机比色管架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25ml40孔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棕色顶空瓶（开孔盖+隔垫）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40ml，100个/盒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棕色样品瓶（进样瓶）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棕酸碱两用滴定管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pH电极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白大口瓶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1000ml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白容量瓶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本膜本胶垫片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22*3mm，100个/包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扁形称量瓶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70*35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分样筛（冲框）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10目 孔径2mm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分样筛（冲框）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16～200目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复合电极E-301-CF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具塞刻度离心管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具塞三角瓶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聚四氟梨形分液漏斗 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梨形分液漏斗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量筒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100ml 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量筒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5ml 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棉纱手套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容量瓶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A级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容量瓶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A级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容量瓶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A级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容量瓶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A级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容量瓶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A级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容量瓶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A级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三角烧瓶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250ml（大口）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特氟龙FPE气体采样袋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微孔滤膜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100mm/0.45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微量进样器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1000ul（尖头）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微量进样器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500ul（尖头）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微量进样器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250ul（尖头）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微量进样器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100ul（尖头）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微量进样器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10ul、25ul、50ul（尖头）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移液管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100ml A级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移液管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10ml A级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移液管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25ml A级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移液管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50ml A级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棕小口瓶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总磷比色管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25ml 聚四氟塞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总磷比色管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50ML 聚四氟塞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4-甲基2-戊酮(甲基异丁基甲酮)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AMBERLITE XAD-2 树脂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COD高量程预制试剂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20-1500mg/L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LH-COD-YZ51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IDEXX-科立得试剂， DST酶底物法24小时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5148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200个/盒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98-17506-00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L(+)抗坏血酸(VC)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L(+)-四水合酒石酸钾钠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L-谷氨酸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N,N-二乙基对苯二胺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0.98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N,N-二乙基对苯二胺盐酸盐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氨水(氢氧化铵)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碘甲烷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碘酸钾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镉粒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0.3-0.8mm,50g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铬酸钾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硅镁型吸附剂(弗罗里硅土)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60-100目,250g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硅藻土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20-400目，1kg/包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过二硫酸钾≥99.0%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过氧化氢(双氧水)(易制爆)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环已烷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缓冲溶液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pH12.46 250mL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磺胺(对氨基苯磺酰胺)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抗坏血酸(VC)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邻苯二甲酸氢钾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PT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邻啡罗啉(1,10-菲啰啉) 一水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磷酸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纳氏试剂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铜试剂(二乙基二硫代氨基甲酸钠)(DDTC)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无水硫酸钠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无水碳酸钠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PT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无水乙醇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冰乙酸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草酸钠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PT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碘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碘化钾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甲醇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农残极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4L（ABSOLV）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甲醇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HPLC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甲基红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BS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甲醛溶液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聚乙烯醇磷酸铵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抗坏血酸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邻苯二甲酸氢钾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磷酸二氢钠（一水）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磷酸氢二铵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硫代硫酸钠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氯化铵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氯化钾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氯化钠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柠檬酸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柠檬酸钠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柠檬酸三钠，二水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硼氢化钾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硼酸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铅试剂（双硫腙）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氢氧化钾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氢氧化钠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无水乙醇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HPLC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乙酸钠，三水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乙酸锌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正己烷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HPLC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丁基黄原酸钾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25g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定性滤纸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φ11cm（中速）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定性滤纸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φ9cm(快)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定性滤纸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φ18cm(中)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过硫酸钾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甲醇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LC-MS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无水乙醇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HPLC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有机相尼龙针式滤器（绿色，双层膜）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罐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 mm*0.22 μm，100只/罐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玻璃纤维滤纸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47mm 0.7μ 100张/盒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口罩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12*18,10个/包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活性炭口罩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4层/黑灰色，50只/盒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酒石酸铵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氨氮蒸馏装置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铁架台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十字夹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万能夹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电热套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定氮烧瓶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具塞三角烧瓶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表面皿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φ9cm、7cm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碘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高型烧杯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高型烧杯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盐酸羟胺(氯化羟胺)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硅胶隔垫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袋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兼容Agilent的9mm 蓝色开孔拧盖、含PTFE，Bond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棕色螺纹口自动进样瓶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1.5ml (带刻度，书写)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227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流动相瓶盖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GL45单孔盖（含硅胶圈）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228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滤杯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300ml　 配1000ml溶剂过滤器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229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钼酸铵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AR500g 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230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无菌采样瓶/塑料试剂瓶（PE材质）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130112023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231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微孔滤膜国产MCE膜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47*0.45水系格栅膜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232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微孔滤膜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0.2μф50mm(水系)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233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陶瓷菜刀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刀刃17.5*7.5cm 总长28.5cm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234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玻璃纤维滤膜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φ6cm，0.45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235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玻璃纤维滤膜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φ50mm，0.65um 25张/盒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236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一次性塑料硬试管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15*100</w:t>
            </w:r>
          </w:p>
        </w:tc>
      </w:tr>
    </w:tbl>
    <w:p>
      <w:pPr>
        <w:pStyle w:val="3"/>
      </w:pPr>
    </w:p>
    <w:tbl>
      <w:tblPr>
        <w:tblStyle w:val="15"/>
        <w:tblW w:w="98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8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二、商务要求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合同签订时间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自确定中标供应商之日起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报价要求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1、成交价格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包括货款、随配附件、备品备件、专用工具、包装、运输、装卸、保险、运抵指定交货地点、送货上门服务、保修等各种费用和售后服务、培训、税金及其他所有成本费用的总和。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2、供应商按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单价预算金额折扣（%）进行报价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，只能给出唯一一个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单价预算金额折扣（%）。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（未按要求报价视为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无效报价文件处理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3、实际合同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结算金额=所购买产品的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采购预算价×成交折扣（%）×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实际购买数量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，实际合同结算金额不超过本次预算价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19万元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付款方式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签订合同并且完成供货验收5日内，支付100%合同款。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交付使用时间及地点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、交付使用时间：接到用户采购现货需求的，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小时内现货免费送货上门；接到用户订单供货需求的，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个工作日内按甲方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指定要求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、数量进行供货。如现货不充分或无法满足用户订单要求的，须及时告知采购人，采购人有权从其他成交供应商中另行选择办理。未及时告知采购人导致供货不及时造成采购人损失的，该成交供应商负责赔偿采购人的一切经济损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、交货地点：采购人指定地点（广西区内）。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、送货前，成交人需电话通知采购人，确定送货时间和送货方式。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质量保证期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right="105" w:rightChars="50"/>
              <w:textAlignment w:val="auto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按国家有关产品“三包”规定实行“三包”政策，质保期内免费上门维护，实验室耗材质保期从货物验收通过之日起至正常使用期间（不超过一年） 有效，玻璃仪器中的计量产品可通过广西计量院</w:t>
            </w:r>
            <w:r>
              <w:rPr>
                <w:rFonts w:hint="eastAsia"/>
                <w:lang w:val="en-US" w:eastAsia="zh-CN"/>
              </w:rPr>
              <w:t>等第三方检测机构</w:t>
            </w:r>
            <w:r>
              <w:rPr>
                <w:rFonts w:hint="eastAsia"/>
                <w:lang w:val="zh-CN"/>
              </w:rPr>
              <w:t>的检定合格（如需送检）。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right="105" w:rightChars="5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售后服务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及故障解决时间：接到用户采购计划10分钟内响应，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小时内现货免费送货上门；现场支持2小时内响应，电话支持10分钟内响应，问题半个小时内解答。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售后服务处理时限为8小时。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3、成交人应保证在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小时现货送货范围内有实验产品专业仓库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（面积500平）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，并保证具有一定数量的现货库存，备有充足的实验材料设备，接到用户采购现货通知后，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小时内须现货免费送货上门（竞标时须提供相关证明材料。如：现货库存图片、进货证明单据等）。每个星期都会进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行库存核查和补充，保障用户的采购计划在最短的时间内能够按时送货上门。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4、供应商竞标时请在响应文件中提供具体的售后服务方案。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5、成交人须提供专门的客户咨询电话，并承诺提供长期技术咨询服务。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6、其余按厂家承诺进行。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其他要求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 xml:space="preserve">验收过程中所产生的一切费用均由成交人承担。报价时应考虑相关费用。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成交人在货物验收时由采购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 xml:space="preserve">对照采购文件的功能目标及技术指标全面核对检验，对所有要求出具的证明文件的原件进行核查，如不符合采购文件的技术需求及要求以及提供虚假承诺的，按相关规定做退货处理及违约处理，成交人承担所有责任和费用，采购人保留进一步追究责任的权利。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货物数量、外观由成交人与采购人共同开箱验收。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验收时间：货到后一日内完成验收。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、货物不满足采购文件要求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或采购人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验收不合格的，采购人有权解除合同并追究成交人的法律责任。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、关于验收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 xml:space="preserve"> 货物经过双方检验认可后，签署验收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，产品保修期自验收合格之日起算，由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供货商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/>
              </w:rPr>
              <w:t>提供产品保修文件。</w:t>
            </w:r>
          </w:p>
        </w:tc>
      </w:tr>
    </w:tbl>
    <w:p>
      <w:pPr>
        <w:pStyle w:val="9"/>
        <w:ind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F21FE6-2C31-461B-B794-AF0DB87FE5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细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C1C8EC3-FA02-4D97-B748-9707E9E9FE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- 3 -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- 3 -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B0ED54"/>
    <w:multiLevelType w:val="singleLevel"/>
    <w:tmpl w:val="C1B0ED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651A07C7"/>
    <w:rsid w:val="00175848"/>
    <w:rsid w:val="00191C7E"/>
    <w:rsid w:val="003E6A3B"/>
    <w:rsid w:val="004369DE"/>
    <w:rsid w:val="008C7283"/>
    <w:rsid w:val="00A41232"/>
    <w:rsid w:val="00AC5D44"/>
    <w:rsid w:val="00AD62AE"/>
    <w:rsid w:val="00B77ADD"/>
    <w:rsid w:val="00CA0568"/>
    <w:rsid w:val="00D6119A"/>
    <w:rsid w:val="00FC0288"/>
    <w:rsid w:val="02087A0A"/>
    <w:rsid w:val="0212757E"/>
    <w:rsid w:val="062C2FA9"/>
    <w:rsid w:val="082012E8"/>
    <w:rsid w:val="0B0F511E"/>
    <w:rsid w:val="0B632AA5"/>
    <w:rsid w:val="0DFB6E2C"/>
    <w:rsid w:val="0E3411B0"/>
    <w:rsid w:val="10D62CC9"/>
    <w:rsid w:val="11FD6CEE"/>
    <w:rsid w:val="15D307F3"/>
    <w:rsid w:val="18F75CA2"/>
    <w:rsid w:val="1B032986"/>
    <w:rsid w:val="1D260E84"/>
    <w:rsid w:val="21443E80"/>
    <w:rsid w:val="26222E1C"/>
    <w:rsid w:val="2724679F"/>
    <w:rsid w:val="27353875"/>
    <w:rsid w:val="27F54F8C"/>
    <w:rsid w:val="29244A0A"/>
    <w:rsid w:val="2A69198E"/>
    <w:rsid w:val="2D3D0778"/>
    <w:rsid w:val="2EA72F09"/>
    <w:rsid w:val="32995E92"/>
    <w:rsid w:val="341B48E5"/>
    <w:rsid w:val="34752472"/>
    <w:rsid w:val="36780C2F"/>
    <w:rsid w:val="39AA6C7F"/>
    <w:rsid w:val="39C63606"/>
    <w:rsid w:val="39F363B5"/>
    <w:rsid w:val="3CA45AA6"/>
    <w:rsid w:val="3D2D1D5A"/>
    <w:rsid w:val="3E0D6516"/>
    <w:rsid w:val="43F34F41"/>
    <w:rsid w:val="450776E5"/>
    <w:rsid w:val="452E0CAB"/>
    <w:rsid w:val="47083F45"/>
    <w:rsid w:val="48784092"/>
    <w:rsid w:val="48876A39"/>
    <w:rsid w:val="489C1E00"/>
    <w:rsid w:val="48B05687"/>
    <w:rsid w:val="4B1C3505"/>
    <w:rsid w:val="4B791D36"/>
    <w:rsid w:val="531F622D"/>
    <w:rsid w:val="54806497"/>
    <w:rsid w:val="553B23A8"/>
    <w:rsid w:val="55927D70"/>
    <w:rsid w:val="572212AC"/>
    <w:rsid w:val="5815040A"/>
    <w:rsid w:val="58AB0880"/>
    <w:rsid w:val="59F51BE0"/>
    <w:rsid w:val="5A03390F"/>
    <w:rsid w:val="5A4A4C91"/>
    <w:rsid w:val="5EA71366"/>
    <w:rsid w:val="5F1F1A0B"/>
    <w:rsid w:val="62207BF1"/>
    <w:rsid w:val="62DF30F7"/>
    <w:rsid w:val="63AA0E76"/>
    <w:rsid w:val="651102E1"/>
    <w:rsid w:val="651A07C7"/>
    <w:rsid w:val="652F332F"/>
    <w:rsid w:val="657B5FA9"/>
    <w:rsid w:val="666535E8"/>
    <w:rsid w:val="674203CB"/>
    <w:rsid w:val="6A1D00CE"/>
    <w:rsid w:val="6AAC464D"/>
    <w:rsid w:val="6C0D260F"/>
    <w:rsid w:val="6DD67171"/>
    <w:rsid w:val="6EF31E04"/>
    <w:rsid w:val="70912C2C"/>
    <w:rsid w:val="735C2A7D"/>
    <w:rsid w:val="735C39C4"/>
    <w:rsid w:val="73D81F62"/>
    <w:rsid w:val="74881F4C"/>
    <w:rsid w:val="78224F4F"/>
    <w:rsid w:val="784563FF"/>
    <w:rsid w:val="7969034E"/>
    <w:rsid w:val="7A5C0CB3"/>
    <w:rsid w:val="7E8B2623"/>
    <w:rsid w:val="7FB2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3">
    <w:name w:val="Body Text First Indent"/>
    <w:basedOn w:val="2"/>
    <w:qFormat/>
    <w:uiPriority w:val="0"/>
    <w:pPr>
      <w:spacing w:afterLines="0" w:line="240" w:lineRule="auto"/>
      <w:ind w:firstLine="420" w:firstLineChars="100"/>
    </w:pPr>
    <w:rPr>
      <w:sz w:val="21"/>
    </w:r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6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正文文本 Char"/>
    <w:basedOn w:val="13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0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方正兰亭细黑简体" w:eastAsia="方正兰亭细黑简体" w:hAnsiTheme="minorHAnsi" w:cstheme="minorBidi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4453</Words>
  <Characters>6394</Characters>
  <Lines>30</Lines>
  <Paragraphs>8</Paragraphs>
  <TotalTime>28</TotalTime>
  <ScaleCrop>false</ScaleCrop>
  <LinksUpToDate>false</LinksUpToDate>
  <CharactersWithSpaces>6518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2024-05-20T02:11:00Z</dcterms:created>
  <dc:creator>王斌</dc:creator>
  <cp:lastModifiedBy>李夏</cp:lastModifiedBy>
  <dcterms:modified xsi:type="dcterms:W3CDTF">2024-12-03T01:59:35Z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85EB62916F934CB193B3D83D97D6E3FA_13</vt:lpwstr>
  </property>
</Properties>
</file>