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6F607">
      <w:pPr>
        <w:tabs>
          <w:tab w:val="left" w:pos="0"/>
        </w:tabs>
        <w:jc w:val="left"/>
        <w:rPr>
          <w:rFonts w:ascii="Times New Roman" w:hAnsi="Times New Roman" w:eastAsia="宋体"/>
          <w:szCs w:val="32"/>
        </w:rPr>
      </w:pPr>
      <w:r>
        <w:rPr>
          <w:rFonts w:ascii="Times New Roman" w:hAnsi="Times New Roman" w:eastAsia="宋体"/>
          <w:szCs w:val="32"/>
        </w:rPr>
        <w:t>附件5</w:t>
      </w:r>
    </w:p>
    <w:p w14:paraId="366C478C">
      <w:pPr>
        <w:tabs>
          <w:tab w:val="left" w:pos="0"/>
        </w:tabs>
        <w:jc w:val="center"/>
        <w:outlineLvl w:val="0"/>
        <w:rPr>
          <w:rFonts w:ascii="Times New Roman" w:hAnsi="Times New Roman" w:eastAsia="宋体"/>
          <w:b/>
          <w:bCs/>
          <w:sz w:val="36"/>
          <w:szCs w:val="36"/>
        </w:rPr>
      </w:pPr>
      <w:r>
        <w:rPr>
          <w:rFonts w:ascii="Times New Roman" w:hAnsi="Times New Roman" w:eastAsia="宋体"/>
          <w:b/>
          <w:bCs/>
          <w:sz w:val="36"/>
          <w:szCs w:val="36"/>
        </w:rPr>
        <w:t>综合评分细则</w:t>
      </w:r>
    </w:p>
    <w:p w14:paraId="5468417A">
      <w:pPr>
        <w:pStyle w:val="5"/>
        <w:rPr>
          <w:rFonts w:ascii="Times New Roman" w:hAnsi="Times New Roman" w:cs="Times New Roman"/>
        </w:rPr>
      </w:pPr>
    </w:p>
    <w:p w14:paraId="0052EA94">
      <w:pPr>
        <w:widowControl/>
        <w:adjustRightInd w:val="0"/>
        <w:snapToGrid w:val="0"/>
        <w:spacing w:line="300" w:lineRule="auto"/>
        <w:ind w:firstLine="426" w:firstLineChars="202"/>
        <w:outlineLvl w:val="0"/>
        <w:rPr>
          <w:rFonts w:ascii="Times New Roman" w:hAnsi="Times New Roman" w:eastAsia="宋体"/>
          <w:b/>
          <w:sz w:val="21"/>
          <w:szCs w:val="21"/>
          <w:highlight w:val="none"/>
        </w:rPr>
      </w:pPr>
      <w:r>
        <w:rPr>
          <w:rFonts w:ascii="Times New Roman" w:hAnsi="Times New Roman" w:eastAsia="宋体"/>
          <w:b/>
          <w:sz w:val="21"/>
          <w:szCs w:val="21"/>
          <w:highlight w:val="none"/>
        </w:rPr>
        <w:t>一、评审原则</w:t>
      </w:r>
    </w:p>
    <w:p w14:paraId="140277B8">
      <w:pPr>
        <w:pStyle w:val="12"/>
        <w:adjustRightInd w:val="0"/>
        <w:snapToGrid w:val="0"/>
        <w:spacing w:line="300" w:lineRule="auto"/>
        <w:jc w:val="left"/>
        <w:rPr>
          <w:rFonts w:ascii="Times New Roman" w:hAnsi="Times New Roman"/>
          <w:kern w:val="0"/>
          <w:szCs w:val="21"/>
          <w:highlight w:val="none"/>
        </w:rPr>
      </w:pPr>
      <w:r>
        <w:rPr>
          <w:rFonts w:ascii="Times New Roman" w:hAnsi="Times New Roman"/>
          <w:kern w:val="0"/>
          <w:szCs w:val="21"/>
          <w:highlight w:val="none"/>
        </w:rPr>
        <w:t>（一）评审小组构成：评审小组由技术评分人员和监督指导人员组成。</w:t>
      </w:r>
    </w:p>
    <w:p w14:paraId="3E54F79A">
      <w:pPr>
        <w:pStyle w:val="12"/>
        <w:adjustRightInd w:val="0"/>
        <w:snapToGrid w:val="0"/>
        <w:spacing w:line="300" w:lineRule="auto"/>
        <w:jc w:val="left"/>
        <w:rPr>
          <w:rFonts w:ascii="Times New Roman" w:hAnsi="Times New Roman"/>
          <w:kern w:val="0"/>
          <w:szCs w:val="21"/>
          <w:highlight w:val="none"/>
        </w:rPr>
      </w:pPr>
      <w:r>
        <w:rPr>
          <w:rFonts w:ascii="Times New Roman" w:hAnsi="Times New Roman"/>
          <w:kern w:val="0"/>
          <w:szCs w:val="21"/>
          <w:highlight w:val="none"/>
        </w:rPr>
        <w:t>（二）评审依据：本评分细则和供应商提交的响应文件。</w:t>
      </w:r>
    </w:p>
    <w:p w14:paraId="50A809A5">
      <w:pPr>
        <w:pStyle w:val="12"/>
        <w:adjustRightInd w:val="0"/>
        <w:snapToGrid w:val="0"/>
        <w:spacing w:line="300" w:lineRule="auto"/>
        <w:jc w:val="left"/>
        <w:rPr>
          <w:rFonts w:ascii="Times New Roman" w:hAnsi="Times New Roman"/>
          <w:szCs w:val="21"/>
          <w:highlight w:val="none"/>
        </w:rPr>
      </w:pPr>
      <w:r>
        <w:rPr>
          <w:rFonts w:ascii="Times New Roman" w:hAnsi="Times New Roman"/>
          <w:kern w:val="0"/>
          <w:szCs w:val="21"/>
          <w:highlight w:val="none"/>
        </w:rPr>
        <w:t>（三）评审方法：综合评分法。</w:t>
      </w:r>
    </w:p>
    <w:p w14:paraId="58737647">
      <w:pPr>
        <w:widowControl/>
        <w:adjustRightInd w:val="0"/>
        <w:snapToGrid w:val="0"/>
        <w:spacing w:line="300" w:lineRule="auto"/>
        <w:ind w:firstLine="426" w:firstLineChars="202"/>
        <w:outlineLvl w:val="0"/>
        <w:rPr>
          <w:rFonts w:ascii="Times New Roman" w:hAnsi="Times New Roman" w:eastAsia="宋体"/>
          <w:b/>
          <w:sz w:val="21"/>
          <w:szCs w:val="21"/>
          <w:highlight w:val="none"/>
        </w:rPr>
      </w:pPr>
      <w:r>
        <w:rPr>
          <w:rFonts w:ascii="Times New Roman" w:hAnsi="Times New Roman" w:eastAsia="宋体"/>
          <w:b/>
          <w:sz w:val="21"/>
          <w:szCs w:val="21"/>
          <w:highlight w:val="none"/>
        </w:rPr>
        <w:t>二、评审标准</w:t>
      </w:r>
    </w:p>
    <w:p w14:paraId="26470C0D">
      <w:pPr>
        <w:widowControl/>
        <w:adjustRightInd w:val="0"/>
        <w:snapToGrid w:val="0"/>
        <w:spacing w:line="300" w:lineRule="auto"/>
        <w:ind w:firstLine="420" w:firstLineChars="200"/>
        <w:rPr>
          <w:rFonts w:hint="eastAsia" w:ascii="Times New Roman" w:hAnsi="Times New Roman" w:eastAsia="宋体"/>
          <w:kern w:val="0"/>
          <w:sz w:val="21"/>
          <w:szCs w:val="21"/>
          <w:highlight w:val="none"/>
        </w:rPr>
      </w:pPr>
      <w:r>
        <w:rPr>
          <w:rFonts w:ascii="Times New Roman" w:hAnsi="Times New Roman" w:eastAsia="宋体"/>
          <w:kern w:val="0"/>
          <w:sz w:val="21"/>
          <w:szCs w:val="21"/>
          <w:highlight w:val="none"/>
        </w:rPr>
        <w:t>供应商提交的报价及资格材料经初核符合要求的进入详评，评审小组将按本评分细则和响应文件为评定依据，采用百分制综合评分法：</w:t>
      </w:r>
    </w:p>
    <w:p w14:paraId="4C57026E">
      <w:pPr>
        <w:widowControl/>
        <w:adjustRightInd w:val="0"/>
        <w:snapToGrid w:val="0"/>
        <w:spacing w:line="300" w:lineRule="auto"/>
        <w:ind w:firstLine="422" w:firstLineChars="200"/>
        <w:outlineLvl w:val="1"/>
        <w:rPr>
          <w:rFonts w:ascii="Times New Roman" w:hAnsi="Times New Roman" w:eastAsia="宋体"/>
          <w:b/>
          <w:sz w:val="21"/>
          <w:szCs w:val="21"/>
          <w:highlight w:val="none"/>
        </w:rPr>
      </w:pPr>
      <w:r>
        <w:rPr>
          <w:rFonts w:ascii="Times New Roman" w:hAnsi="Times New Roman" w:eastAsia="宋体"/>
          <w:b/>
          <w:sz w:val="21"/>
          <w:szCs w:val="21"/>
          <w:highlight w:val="none"/>
        </w:rPr>
        <w:t>（一）价格分（满分30分）</w:t>
      </w:r>
    </w:p>
    <w:p w14:paraId="0AA71960">
      <w:pPr>
        <w:widowControl/>
        <w:adjustRightInd w:val="0"/>
        <w:snapToGrid w:val="0"/>
        <w:spacing w:line="300" w:lineRule="auto"/>
        <w:ind w:firstLine="420" w:firstLineChars="200"/>
        <w:rPr>
          <w:rFonts w:ascii="Times New Roman" w:hAnsi="Times New Roman" w:eastAsia="宋体"/>
          <w:sz w:val="21"/>
          <w:szCs w:val="21"/>
          <w:highlight w:val="none"/>
        </w:rPr>
      </w:pPr>
      <w:r>
        <w:rPr>
          <w:rFonts w:ascii="Times New Roman" w:hAnsi="Times New Roman" w:eastAsia="宋体"/>
          <w:kern w:val="0"/>
          <w:sz w:val="21"/>
          <w:szCs w:val="21"/>
          <w:highlight w:val="none"/>
        </w:rPr>
        <w:t>以满足本项目要求且报价最低的供应商报价为基准报价，基准报价得分30分。其余供应商价格分计算公式如下：</w:t>
      </w:r>
    </w:p>
    <w:p w14:paraId="5CA070ED">
      <w:pPr>
        <w:widowControl/>
        <w:adjustRightInd w:val="0"/>
        <w:snapToGrid w:val="0"/>
        <w:spacing w:line="300" w:lineRule="auto"/>
        <w:ind w:left="416" w:leftChars="130" w:firstLine="0" w:firstLineChars="0"/>
        <w:outlineLvl w:val="2"/>
        <w:rPr>
          <w:rFonts w:hint="eastAsia" w:eastAsia="宋体"/>
          <w:highlight w:val="none"/>
          <w:lang w:eastAsia="zh-CN"/>
        </w:rPr>
      </w:pPr>
      <w:r>
        <w:rPr>
          <w:rFonts w:ascii="Times New Roman" w:hAnsi="Times New Roman" w:eastAsia="宋体"/>
          <w:kern w:val="0"/>
          <w:sz w:val="21"/>
          <w:szCs w:val="21"/>
          <w:highlight w:val="none"/>
        </w:rPr>
        <w:t>某供应商价格分=基准报价</w:t>
      </w:r>
      <w:r>
        <w:rPr>
          <w:rFonts w:hint="eastAsia" w:ascii="Times New Roman" w:hAnsi="Times New Roman" w:eastAsia="宋体"/>
          <w:kern w:val="0"/>
          <w:sz w:val="21"/>
          <w:szCs w:val="21"/>
          <w:highlight w:val="none"/>
          <w:lang w:eastAsia="zh-CN"/>
        </w:rPr>
        <w:t>折扣（</w:t>
      </w:r>
      <w:r>
        <w:rPr>
          <w:rFonts w:hint="eastAsia" w:ascii="Times New Roman" w:hAnsi="Times New Roman" w:eastAsia="宋体"/>
          <w:kern w:val="0"/>
          <w:sz w:val="21"/>
          <w:szCs w:val="21"/>
          <w:highlight w:val="none"/>
          <w:lang w:val="en-US" w:eastAsia="zh-CN"/>
        </w:rPr>
        <w:t>%</w:t>
      </w:r>
      <w:r>
        <w:rPr>
          <w:rFonts w:hint="eastAsia" w:ascii="Times New Roman" w:hAnsi="Times New Roman" w:eastAsia="宋体"/>
          <w:kern w:val="0"/>
          <w:sz w:val="21"/>
          <w:szCs w:val="21"/>
          <w:highlight w:val="none"/>
          <w:lang w:eastAsia="zh-CN"/>
        </w:rPr>
        <w:t>）</w:t>
      </w:r>
      <w:r>
        <w:rPr>
          <w:rFonts w:ascii="Times New Roman" w:hAnsi="Times New Roman" w:eastAsia="宋体"/>
          <w:kern w:val="0"/>
          <w:sz w:val="21"/>
          <w:szCs w:val="21"/>
          <w:highlight w:val="none"/>
        </w:rPr>
        <w:t>/某供应商报价</w:t>
      </w:r>
      <w:r>
        <w:rPr>
          <w:rFonts w:hint="eastAsia" w:ascii="Times New Roman" w:hAnsi="Times New Roman" w:eastAsia="宋体"/>
          <w:kern w:val="0"/>
          <w:sz w:val="21"/>
          <w:szCs w:val="21"/>
          <w:highlight w:val="none"/>
          <w:lang w:eastAsia="zh-CN"/>
        </w:rPr>
        <w:t>折扣</w:t>
      </w:r>
      <w:r>
        <w:rPr>
          <w:rFonts w:ascii="Times New Roman" w:hAnsi="Times New Roman" w:eastAsia="宋体"/>
          <w:kern w:val="0"/>
          <w:sz w:val="21"/>
          <w:szCs w:val="21"/>
          <w:highlight w:val="none"/>
        </w:rPr>
        <w:t>（</w:t>
      </w:r>
      <w:r>
        <w:rPr>
          <w:rFonts w:hint="eastAsia" w:ascii="Times New Roman" w:hAnsi="Times New Roman" w:eastAsia="宋体"/>
          <w:kern w:val="0"/>
          <w:sz w:val="21"/>
          <w:szCs w:val="21"/>
          <w:highlight w:val="none"/>
          <w:lang w:val="en-US" w:eastAsia="zh-CN"/>
        </w:rPr>
        <w:t>%</w:t>
      </w:r>
      <w:r>
        <w:rPr>
          <w:rFonts w:ascii="Times New Roman" w:hAnsi="Times New Roman" w:eastAsia="宋体"/>
          <w:kern w:val="0"/>
          <w:sz w:val="21"/>
          <w:szCs w:val="21"/>
          <w:highlight w:val="none"/>
        </w:rPr>
        <w:t>）</w:t>
      </w:r>
      <w:r>
        <w:rPr>
          <w:rFonts w:ascii="Arial" w:hAnsi="Arial" w:eastAsia="宋体" w:cs="Arial"/>
          <w:kern w:val="0"/>
          <w:sz w:val="21"/>
          <w:szCs w:val="21"/>
          <w:highlight w:val="none"/>
        </w:rPr>
        <w:t>×</w:t>
      </w:r>
      <w:r>
        <w:rPr>
          <w:rFonts w:ascii="Times New Roman" w:hAnsi="Times New Roman" w:eastAsia="宋体"/>
          <w:spacing w:val="-6"/>
          <w:sz w:val="21"/>
          <w:szCs w:val="21"/>
          <w:highlight w:val="none"/>
        </w:rPr>
        <w:t>30</w:t>
      </w:r>
      <w:r>
        <w:rPr>
          <w:rFonts w:ascii="Times New Roman" w:hAnsi="Times New Roman" w:eastAsia="宋体"/>
          <w:bCs/>
          <w:sz w:val="21"/>
          <w:szCs w:val="21"/>
          <w:highlight w:val="none"/>
        </w:rPr>
        <w:t>分</w:t>
      </w:r>
      <w:r>
        <w:rPr>
          <w:rFonts w:hint="eastAsia" w:ascii="Times New Roman" w:hAnsi="Times New Roman" w:eastAsia="宋体"/>
          <w:bCs/>
          <w:sz w:val="21"/>
          <w:szCs w:val="21"/>
          <w:highlight w:val="none"/>
        </w:rPr>
        <w:t>（保留小数点后两位）</w:t>
      </w:r>
      <w:r>
        <w:rPr>
          <w:rFonts w:ascii="Times New Roman" w:hAnsi="Times New Roman" w:eastAsia="宋体"/>
          <w:b/>
          <w:sz w:val="21"/>
          <w:szCs w:val="21"/>
          <w:highlight w:val="none"/>
        </w:rPr>
        <w:t>。</w:t>
      </w:r>
      <w:r>
        <w:rPr>
          <w:rFonts w:hint="eastAsia" w:ascii="Times New Roman" w:hAnsi="Times New Roman" w:eastAsia="宋体"/>
          <w:kern w:val="0"/>
          <w:sz w:val="21"/>
          <w:szCs w:val="21"/>
          <w:highlight w:val="none"/>
          <w:lang w:eastAsia="zh-CN"/>
        </w:rPr>
        <w:t>折扣最低的为基准报价折扣（</w:t>
      </w:r>
      <w:r>
        <w:rPr>
          <w:rFonts w:hint="eastAsia" w:ascii="Times New Roman" w:hAnsi="Times New Roman" w:eastAsia="宋体"/>
          <w:kern w:val="0"/>
          <w:sz w:val="21"/>
          <w:szCs w:val="21"/>
          <w:highlight w:val="none"/>
          <w:lang w:val="en-US" w:eastAsia="zh-CN"/>
        </w:rPr>
        <w:t>%</w:t>
      </w:r>
      <w:r>
        <w:rPr>
          <w:rFonts w:hint="eastAsia" w:ascii="Times New Roman" w:hAnsi="Times New Roman" w:eastAsia="宋体"/>
          <w:kern w:val="0"/>
          <w:sz w:val="21"/>
          <w:szCs w:val="21"/>
          <w:highlight w:val="none"/>
          <w:lang w:eastAsia="zh-CN"/>
        </w:rPr>
        <w:t>）</w:t>
      </w:r>
    </w:p>
    <w:p w14:paraId="02C17DC6">
      <w:pPr>
        <w:widowControl/>
        <w:adjustRightInd w:val="0"/>
        <w:snapToGrid w:val="0"/>
        <w:spacing w:line="300" w:lineRule="auto"/>
        <w:ind w:firstLine="422" w:firstLineChars="200"/>
        <w:outlineLvl w:val="1"/>
        <w:rPr>
          <w:rFonts w:ascii="Times New Roman" w:hAnsi="Times New Roman" w:eastAsia="宋体"/>
          <w:b/>
          <w:sz w:val="21"/>
          <w:szCs w:val="21"/>
          <w:highlight w:val="none"/>
        </w:rPr>
      </w:pPr>
      <w:r>
        <w:rPr>
          <w:rFonts w:ascii="Times New Roman" w:hAnsi="Times New Roman" w:eastAsia="宋体"/>
          <w:b/>
          <w:sz w:val="21"/>
          <w:szCs w:val="21"/>
          <w:highlight w:val="none"/>
        </w:rPr>
        <w:t>（二）</w:t>
      </w:r>
      <w:r>
        <w:rPr>
          <w:rFonts w:hint="eastAsia" w:cs="宋体" w:asciiTheme="minorEastAsia" w:hAnsiTheme="minorEastAsia" w:eastAsiaTheme="minorEastAsia"/>
          <w:b/>
          <w:bCs/>
          <w:kern w:val="0"/>
          <w:sz w:val="21"/>
          <w:szCs w:val="21"/>
          <w:highlight w:val="none"/>
          <w:lang w:bidi="ar"/>
        </w:rPr>
        <w:t>服务方案分</w:t>
      </w:r>
      <w:r>
        <w:rPr>
          <w:rFonts w:ascii="Times New Roman" w:hAnsi="Times New Roman" w:eastAsia="宋体"/>
          <w:b/>
          <w:sz w:val="21"/>
          <w:szCs w:val="21"/>
          <w:highlight w:val="none"/>
        </w:rPr>
        <w:t xml:space="preserve"> （满分</w:t>
      </w:r>
      <w:r>
        <w:rPr>
          <w:rFonts w:hint="eastAsia" w:ascii="Times New Roman" w:hAnsi="Times New Roman" w:eastAsia="宋体"/>
          <w:b/>
          <w:sz w:val="21"/>
          <w:szCs w:val="21"/>
          <w:highlight w:val="none"/>
        </w:rPr>
        <w:t>4</w:t>
      </w:r>
      <w:r>
        <w:rPr>
          <w:rFonts w:ascii="Times New Roman" w:hAnsi="Times New Roman" w:eastAsia="宋体"/>
          <w:b/>
          <w:sz w:val="21"/>
          <w:szCs w:val="21"/>
          <w:highlight w:val="none"/>
        </w:rPr>
        <w:t>5分）</w:t>
      </w:r>
    </w:p>
    <w:p w14:paraId="34E220D7">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（1）供货服务方案分（满分 15 分） </w:t>
      </w:r>
    </w:p>
    <w:p w14:paraId="43559FC7">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val="en-US" w:eastAsia="zh-CN" w:bidi="ar"/>
        </w:rPr>
        <w:t>一</w:t>
      </w:r>
      <w:r>
        <w:rPr>
          <w:rFonts w:hint="eastAsia" w:cs="宋体" w:asciiTheme="minorEastAsia" w:hAnsiTheme="minorEastAsia" w:eastAsiaTheme="minorEastAsia"/>
          <w:kern w:val="0"/>
          <w:sz w:val="21"/>
          <w:szCs w:val="21"/>
          <w:highlight w:val="none"/>
          <w:lang w:bidi="ar"/>
        </w:rPr>
        <w:t>档（</w:t>
      </w:r>
      <w:r>
        <w:rPr>
          <w:rFonts w:hint="eastAsia" w:cs="宋体" w:asciiTheme="minorEastAsia" w:hAnsiTheme="minorEastAsia" w:eastAsiaTheme="minorEastAsia"/>
          <w:kern w:val="0"/>
          <w:sz w:val="21"/>
          <w:szCs w:val="21"/>
          <w:highlight w:val="none"/>
          <w:lang w:val="en-US" w:eastAsia="zh-CN" w:bidi="ar"/>
        </w:rPr>
        <w:t>5</w:t>
      </w:r>
      <w:r>
        <w:rPr>
          <w:rFonts w:hint="eastAsia" w:cs="宋体" w:asciiTheme="minorEastAsia" w:hAnsiTheme="minorEastAsia" w:eastAsiaTheme="minorEastAsia"/>
          <w:kern w:val="0"/>
          <w:sz w:val="21"/>
          <w:szCs w:val="21"/>
          <w:highlight w:val="none"/>
          <w:lang w:bidi="ar"/>
        </w:rPr>
        <w:t xml:space="preserve"> 分）：提供有供货时限和保证措施且其中承诺供货时间相对采购文件要求</w:t>
      </w:r>
      <w:r>
        <w:rPr>
          <w:rFonts w:hint="eastAsia" w:cs="宋体" w:asciiTheme="minorEastAsia" w:hAnsiTheme="minorEastAsia" w:eastAsiaTheme="minorEastAsia"/>
          <w:kern w:val="0"/>
          <w:sz w:val="21"/>
          <w:szCs w:val="21"/>
          <w:highlight w:val="none"/>
          <w:lang w:eastAsia="zh-CN" w:bidi="ar"/>
        </w:rPr>
        <w:t>现货供货时间缩短至</w:t>
      </w:r>
      <w:r>
        <w:rPr>
          <w:rFonts w:hint="eastAsia" w:cs="宋体" w:asciiTheme="minorEastAsia" w:hAnsiTheme="minorEastAsia" w:eastAsiaTheme="minorEastAsia"/>
          <w:kern w:val="0"/>
          <w:sz w:val="21"/>
          <w:szCs w:val="21"/>
          <w:highlight w:val="none"/>
          <w:lang w:bidi="ar"/>
        </w:rPr>
        <w:t xml:space="preserve"> </w:t>
      </w:r>
      <w:r>
        <w:rPr>
          <w:rFonts w:hint="eastAsia" w:cs="宋体" w:asciiTheme="minorEastAsia" w:hAnsiTheme="minorEastAsia" w:eastAsiaTheme="minorEastAsia"/>
          <w:kern w:val="0"/>
          <w:sz w:val="21"/>
          <w:szCs w:val="21"/>
          <w:highlight w:val="none"/>
          <w:lang w:val="en-US" w:eastAsia="zh-CN" w:bidi="ar"/>
        </w:rPr>
        <w:t>3</w:t>
      </w:r>
      <w:r>
        <w:rPr>
          <w:rFonts w:hint="eastAsia" w:cs="宋体" w:asciiTheme="minorEastAsia" w:hAnsiTheme="minorEastAsia" w:eastAsiaTheme="minorEastAsia"/>
          <w:kern w:val="0"/>
          <w:sz w:val="21"/>
          <w:szCs w:val="21"/>
          <w:highlight w:val="none"/>
          <w:lang w:bidi="ar"/>
        </w:rPr>
        <w:t>小时</w:t>
      </w:r>
      <w:r>
        <w:rPr>
          <w:rFonts w:hint="eastAsia" w:cs="宋体" w:asciiTheme="minorEastAsia" w:hAnsiTheme="minorEastAsia" w:eastAsiaTheme="minorEastAsia"/>
          <w:kern w:val="0"/>
          <w:sz w:val="21"/>
          <w:szCs w:val="21"/>
          <w:highlight w:val="none"/>
          <w:lang w:eastAsia="zh-CN" w:bidi="ar"/>
        </w:rPr>
        <w:t>，现场支持</w:t>
      </w:r>
      <w:r>
        <w:rPr>
          <w:rFonts w:hint="eastAsia" w:cs="宋体" w:asciiTheme="minorEastAsia" w:hAnsiTheme="minorEastAsia" w:eastAsiaTheme="minorEastAsia"/>
          <w:kern w:val="0"/>
          <w:sz w:val="21"/>
          <w:szCs w:val="21"/>
          <w:highlight w:val="none"/>
          <w:lang w:val="en-US" w:eastAsia="zh-CN" w:bidi="ar"/>
        </w:rPr>
        <w:t>1小时响应</w:t>
      </w:r>
      <w:r>
        <w:rPr>
          <w:rFonts w:hint="eastAsia" w:cs="宋体" w:asciiTheme="minorEastAsia" w:hAnsiTheme="minorEastAsia" w:eastAsiaTheme="minorEastAsia"/>
          <w:kern w:val="0"/>
          <w:sz w:val="21"/>
          <w:szCs w:val="21"/>
          <w:highlight w:val="none"/>
          <w:lang w:bidi="ar"/>
        </w:rPr>
        <w:t xml:space="preserve">。 </w:t>
      </w:r>
    </w:p>
    <w:p w14:paraId="74303B49">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val="en-US" w:eastAsia="zh-CN" w:bidi="ar"/>
        </w:rPr>
        <w:t>二</w:t>
      </w:r>
      <w:r>
        <w:rPr>
          <w:rFonts w:hint="eastAsia" w:cs="宋体" w:asciiTheme="minorEastAsia" w:hAnsiTheme="minorEastAsia" w:eastAsiaTheme="minorEastAsia"/>
          <w:kern w:val="0"/>
          <w:sz w:val="21"/>
          <w:szCs w:val="21"/>
          <w:highlight w:val="none"/>
          <w:lang w:bidi="ar"/>
        </w:rPr>
        <w:t>档（</w:t>
      </w:r>
      <w:r>
        <w:rPr>
          <w:rFonts w:hint="eastAsia" w:cs="宋体" w:asciiTheme="minorEastAsia" w:hAnsiTheme="minorEastAsia" w:eastAsiaTheme="minorEastAsia"/>
          <w:kern w:val="0"/>
          <w:sz w:val="21"/>
          <w:szCs w:val="21"/>
          <w:highlight w:val="none"/>
          <w:lang w:val="en-US" w:eastAsia="zh-CN" w:bidi="ar"/>
        </w:rPr>
        <w:t>10</w:t>
      </w:r>
      <w:r>
        <w:rPr>
          <w:rFonts w:hint="eastAsia" w:cs="宋体" w:asciiTheme="minorEastAsia" w:hAnsiTheme="minorEastAsia" w:eastAsiaTheme="minorEastAsia"/>
          <w:kern w:val="0"/>
          <w:sz w:val="21"/>
          <w:szCs w:val="21"/>
          <w:highlight w:val="none"/>
          <w:lang w:bidi="ar"/>
        </w:rPr>
        <w:t xml:space="preserve"> 分）：满足</w:t>
      </w:r>
      <w:r>
        <w:rPr>
          <w:rFonts w:hint="eastAsia" w:cs="宋体" w:asciiTheme="minorEastAsia" w:hAnsiTheme="minorEastAsia" w:eastAsiaTheme="minorEastAsia"/>
          <w:kern w:val="0"/>
          <w:sz w:val="21"/>
          <w:szCs w:val="21"/>
          <w:highlight w:val="none"/>
          <w:lang w:eastAsia="zh-CN" w:bidi="ar"/>
        </w:rPr>
        <w:t>一</w:t>
      </w:r>
      <w:r>
        <w:rPr>
          <w:rFonts w:hint="eastAsia" w:cs="宋体" w:asciiTheme="minorEastAsia" w:hAnsiTheme="minorEastAsia" w:eastAsiaTheme="minorEastAsia"/>
          <w:kern w:val="0"/>
          <w:sz w:val="21"/>
          <w:szCs w:val="21"/>
          <w:highlight w:val="none"/>
          <w:lang w:bidi="ar"/>
        </w:rPr>
        <w:t>档前提下，提供有供货时限和保证措施且其中承诺供货时间相对采购文件要求</w:t>
      </w:r>
      <w:r>
        <w:rPr>
          <w:rFonts w:hint="eastAsia" w:cs="宋体" w:asciiTheme="minorEastAsia" w:hAnsiTheme="minorEastAsia" w:eastAsiaTheme="minorEastAsia"/>
          <w:kern w:val="0"/>
          <w:sz w:val="21"/>
          <w:szCs w:val="21"/>
          <w:highlight w:val="none"/>
          <w:lang w:eastAsia="zh-CN" w:bidi="ar"/>
        </w:rPr>
        <w:t>现货供货时间缩短至</w:t>
      </w:r>
      <w:r>
        <w:rPr>
          <w:rFonts w:hint="eastAsia" w:cs="宋体" w:asciiTheme="minorEastAsia" w:hAnsiTheme="minorEastAsia" w:eastAsiaTheme="minorEastAsia"/>
          <w:kern w:val="0"/>
          <w:sz w:val="21"/>
          <w:szCs w:val="21"/>
          <w:highlight w:val="none"/>
          <w:lang w:bidi="ar"/>
        </w:rPr>
        <w:t xml:space="preserve"> </w:t>
      </w:r>
      <w:r>
        <w:rPr>
          <w:rFonts w:hint="eastAsia" w:cs="宋体" w:asciiTheme="minorEastAsia" w:hAnsiTheme="minorEastAsia" w:eastAsiaTheme="minorEastAsia"/>
          <w:kern w:val="0"/>
          <w:sz w:val="21"/>
          <w:szCs w:val="21"/>
          <w:highlight w:val="none"/>
          <w:lang w:val="en-US" w:eastAsia="zh-CN" w:bidi="ar"/>
        </w:rPr>
        <w:t>2</w:t>
      </w:r>
      <w:r>
        <w:rPr>
          <w:rFonts w:hint="eastAsia" w:cs="宋体" w:asciiTheme="minorEastAsia" w:hAnsiTheme="minorEastAsia" w:eastAsiaTheme="minorEastAsia"/>
          <w:kern w:val="0"/>
          <w:sz w:val="21"/>
          <w:szCs w:val="21"/>
          <w:highlight w:val="none"/>
          <w:lang w:bidi="ar"/>
        </w:rPr>
        <w:t>小时，能保证</w:t>
      </w:r>
      <w:r>
        <w:rPr>
          <w:rFonts w:hint="eastAsia" w:ascii="宋体" w:hAnsi="宋体" w:eastAsia="宋体" w:cs="宋体"/>
          <w:b w:val="0"/>
          <w:bCs w:val="0"/>
          <w:color w:val="auto"/>
          <w:kern w:val="0"/>
          <w:sz w:val="21"/>
          <w:szCs w:val="21"/>
          <w:highlight w:val="none"/>
          <w:lang w:val="zh-CN"/>
        </w:rPr>
        <w:t>用户订单供货需求，</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zh-CN"/>
        </w:rPr>
        <w:t>个工作日内按甲方</w:t>
      </w:r>
      <w:r>
        <w:rPr>
          <w:rFonts w:hint="eastAsia" w:ascii="宋体" w:hAnsi="宋体" w:eastAsia="宋体" w:cs="宋体"/>
          <w:b w:val="0"/>
          <w:bCs w:val="0"/>
          <w:color w:val="auto"/>
          <w:kern w:val="0"/>
          <w:sz w:val="21"/>
          <w:szCs w:val="21"/>
          <w:highlight w:val="none"/>
          <w:lang w:val="en-US" w:eastAsia="zh-CN"/>
        </w:rPr>
        <w:t>指定要求</w:t>
      </w:r>
      <w:r>
        <w:rPr>
          <w:rFonts w:hint="eastAsia" w:ascii="宋体" w:hAnsi="宋体" w:eastAsia="宋体" w:cs="宋体"/>
          <w:b w:val="0"/>
          <w:bCs w:val="0"/>
          <w:color w:val="auto"/>
          <w:kern w:val="0"/>
          <w:sz w:val="21"/>
          <w:szCs w:val="21"/>
          <w:highlight w:val="none"/>
          <w:lang w:val="zh-CN"/>
        </w:rPr>
        <w:t>、数量进行供货</w:t>
      </w:r>
      <w:r>
        <w:rPr>
          <w:rFonts w:hint="eastAsia" w:cs="宋体" w:asciiTheme="minorEastAsia" w:hAnsiTheme="minorEastAsia" w:eastAsiaTheme="minorEastAsia"/>
          <w:kern w:val="0"/>
          <w:sz w:val="21"/>
          <w:szCs w:val="21"/>
          <w:highlight w:val="none"/>
          <w:lang w:bidi="ar"/>
        </w:rPr>
        <w:t xml:space="preserve">。 </w:t>
      </w:r>
    </w:p>
    <w:p w14:paraId="28A7A47B">
      <w:pPr>
        <w:widowControl/>
        <w:spacing w:line="300" w:lineRule="auto"/>
        <w:jc w:val="left"/>
        <w:rPr>
          <w:rFonts w:hint="eastAsia" w:asciiTheme="minorEastAsia" w:hAnsiTheme="minorEastAsia" w:eastAsiaTheme="minorEastAsia"/>
          <w:bCs/>
          <w:sz w:val="21"/>
          <w:szCs w:val="21"/>
          <w:highlight w:val="none"/>
        </w:rPr>
      </w:pPr>
      <w:r>
        <w:rPr>
          <w:rFonts w:hint="eastAsia" w:cs="宋体" w:asciiTheme="minorEastAsia" w:hAnsiTheme="minorEastAsia" w:eastAsiaTheme="minorEastAsia"/>
          <w:kern w:val="0"/>
          <w:sz w:val="21"/>
          <w:szCs w:val="21"/>
          <w:highlight w:val="none"/>
          <w:lang w:val="en-US" w:eastAsia="zh-CN" w:bidi="ar"/>
        </w:rPr>
        <w:t>三</w:t>
      </w:r>
      <w:r>
        <w:rPr>
          <w:rFonts w:hint="eastAsia" w:cs="宋体" w:asciiTheme="minorEastAsia" w:hAnsiTheme="minorEastAsia" w:eastAsiaTheme="minorEastAsia"/>
          <w:kern w:val="0"/>
          <w:sz w:val="21"/>
          <w:szCs w:val="21"/>
          <w:highlight w:val="none"/>
          <w:lang w:bidi="ar"/>
        </w:rPr>
        <w:t>档（15 分）：满足</w:t>
      </w:r>
      <w:r>
        <w:rPr>
          <w:rFonts w:hint="eastAsia" w:cs="宋体" w:asciiTheme="minorEastAsia" w:hAnsiTheme="minorEastAsia" w:eastAsiaTheme="minorEastAsia"/>
          <w:kern w:val="0"/>
          <w:sz w:val="21"/>
          <w:szCs w:val="21"/>
          <w:highlight w:val="none"/>
          <w:lang w:eastAsia="zh-CN" w:bidi="ar"/>
        </w:rPr>
        <w:t>二</w:t>
      </w:r>
      <w:r>
        <w:rPr>
          <w:rFonts w:hint="eastAsia" w:cs="宋体" w:asciiTheme="minorEastAsia" w:hAnsiTheme="minorEastAsia" w:eastAsiaTheme="minorEastAsia"/>
          <w:kern w:val="0"/>
          <w:sz w:val="21"/>
          <w:szCs w:val="21"/>
          <w:highlight w:val="none"/>
          <w:lang w:bidi="ar"/>
        </w:rPr>
        <w:t>档前提下，</w:t>
      </w:r>
      <w:r>
        <w:rPr>
          <w:rFonts w:hint="eastAsia" w:cs="宋体" w:asciiTheme="minorEastAsia" w:hAnsiTheme="minorEastAsia" w:eastAsiaTheme="minorEastAsia"/>
          <w:kern w:val="0"/>
          <w:sz w:val="21"/>
          <w:szCs w:val="21"/>
          <w:highlight w:val="none"/>
          <w:lang w:eastAsia="zh-CN" w:bidi="ar"/>
        </w:rPr>
        <w:t>现货供货时间缩短至</w:t>
      </w:r>
      <w:r>
        <w:rPr>
          <w:rFonts w:hint="eastAsia" w:cs="宋体" w:asciiTheme="minorEastAsia" w:hAnsiTheme="minorEastAsia" w:eastAsiaTheme="minorEastAsia"/>
          <w:kern w:val="0"/>
          <w:sz w:val="21"/>
          <w:szCs w:val="21"/>
          <w:highlight w:val="none"/>
          <w:lang w:val="en-US" w:eastAsia="zh-CN" w:bidi="ar"/>
        </w:rPr>
        <w:t>1.5</w:t>
      </w:r>
      <w:r>
        <w:rPr>
          <w:rFonts w:hint="eastAsia" w:cs="宋体" w:asciiTheme="minorEastAsia" w:hAnsiTheme="minorEastAsia" w:eastAsiaTheme="minorEastAsia"/>
          <w:kern w:val="0"/>
          <w:sz w:val="21"/>
          <w:szCs w:val="21"/>
          <w:highlight w:val="none"/>
          <w:lang w:bidi="ar"/>
        </w:rPr>
        <w:t xml:space="preserve">小时内及时供货时效。急需用品承诺 </w:t>
      </w:r>
      <w:r>
        <w:rPr>
          <w:rFonts w:hint="eastAsia" w:cs="宋体" w:asciiTheme="minorEastAsia" w:hAnsiTheme="minorEastAsia" w:eastAsiaTheme="minorEastAsia"/>
          <w:kern w:val="0"/>
          <w:sz w:val="21"/>
          <w:szCs w:val="21"/>
          <w:highlight w:val="none"/>
          <w:lang w:val="en-US" w:eastAsia="zh-CN" w:bidi="ar"/>
        </w:rPr>
        <w:t>1</w:t>
      </w:r>
      <w:r>
        <w:rPr>
          <w:rFonts w:hint="eastAsia" w:cs="宋体" w:asciiTheme="minorEastAsia" w:hAnsiTheme="minorEastAsia" w:eastAsiaTheme="minorEastAsia"/>
          <w:kern w:val="0"/>
          <w:sz w:val="21"/>
          <w:szCs w:val="21"/>
          <w:highlight w:val="none"/>
          <w:lang w:bidi="ar"/>
        </w:rPr>
        <w:t xml:space="preserve"> 小时内送达，节假日照常配送，提供</w:t>
      </w:r>
      <w:r>
        <w:rPr>
          <w:rFonts w:hint="eastAsia" w:asciiTheme="minorEastAsia" w:hAnsiTheme="minorEastAsia" w:eastAsiaTheme="minorEastAsia"/>
          <w:sz w:val="21"/>
          <w:szCs w:val="21"/>
          <w:highlight w:val="none"/>
        </w:rPr>
        <w:t>有</w:t>
      </w:r>
      <w:r>
        <w:rPr>
          <w:rFonts w:hint="eastAsia" w:asciiTheme="minorEastAsia" w:hAnsiTheme="minorEastAsia" w:eastAsiaTheme="minorEastAsia"/>
          <w:bCs/>
          <w:sz w:val="21"/>
          <w:szCs w:val="21"/>
          <w:highlight w:val="none"/>
        </w:rPr>
        <w:t>本地化服务方案。</w:t>
      </w:r>
    </w:p>
    <w:p w14:paraId="3A74D2FD">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（2）售后服务方案分（满分 15 分） </w:t>
      </w:r>
    </w:p>
    <w:p w14:paraId="569F19DA">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一档（5 分）：售后服务承诺满足采购文件条款要求，产品发生质量问题提供具体处理措施，售后服务响应时间</w:t>
      </w:r>
      <w:r>
        <w:rPr>
          <w:rFonts w:hint="eastAsia" w:cs="宋体" w:asciiTheme="minorEastAsia" w:hAnsiTheme="minorEastAsia" w:eastAsiaTheme="minorEastAsia"/>
          <w:kern w:val="0"/>
          <w:sz w:val="21"/>
          <w:szCs w:val="21"/>
          <w:highlight w:val="none"/>
          <w:lang w:val="en-US" w:eastAsia="zh-CN" w:bidi="ar"/>
        </w:rPr>
        <w:t>和处理时限满足</w:t>
      </w:r>
      <w:r>
        <w:rPr>
          <w:rFonts w:hint="eastAsia" w:cs="宋体" w:asciiTheme="minorEastAsia" w:hAnsiTheme="minorEastAsia" w:eastAsiaTheme="minorEastAsia"/>
          <w:kern w:val="0"/>
          <w:sz w:val="21"/>
          <w:szCs w:val="21"/>
          <w:highlight w:val="none"/>
          <w:lang w:bidi="ar"/>
        </w:rPr>
        <w:t xml:space="preserve">采购文件要求。 </w:t>
      </w:r>
    </w:p>
    <w:p w14:paraId="716154D4">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二档（10 分）：满足一档的前提下，提供质保期内响应服务的联系人和联系电话等方面的情况；售后服务响应时间相对采购文件要求缩短</w:t>
      </w:r>
      <w:r>
        <w:rPr>
          <w:rFonts w:hint="eastAsia" w:cs="宋体" w:asciiTheme="minorEastAsia" w:hAnsiTheme="minorEastAsia" w:eastAsiaTheme="minorEastAsia"/>
          <w:kern w:val="0"/>
          <w:sz w:val="21"/>
          <w:szCs w:val="21"/>
          <w:highlight w:val="none"/>
          <w:lang w:val="en-US" w:eastAsia="zh-CN" w:bidi="ar"/>
        </w:rPr>
        <w:t>为1</w:t>
      </w:r>
      <w:r>
        <w:rPr>
          <w:rFonts w:hint="eastAsia" w:cs="宋体" w:asciiTheme="minorEastAsia" w:hAnsiTheme="minorEastAsia" w:eastAsiaTheme="minorEastAsia"/>
          <w:kern w:val="0"/>
          <w:sz w:val="21"/>
          <w:szCs w:val="21"/>
          <w:highlight w:val="none"/>
          <w:lang w:bidi="ar"/>
        </w:rPr>
        <w:t>小时</w:t>
      </w:r>
      <w:r>
        <w:rPr>
          <w:rFonts w:hint="eastAsia" w:cs="宋体" w:asciiTheme="minorEastAsia" w:hAnsiTheme="minorEastAsia" w:eastAsiaTheme="minorEastAsia"/>
          <w:kern w:val="0"/>
          <w:sz w:val="21"/>
          <w:szCs w:val="21"/>
          <w:highlight w:val="none"/>
          <w:lang w:val="en-US" w:eastAsia="zh-CN" w:bidi="ar"/>
        </w:rPr>
        <w:t>内</w:t>
      </w:r>
      <w:r>
        <w:rPr>
          <w:rFonts w:hint="eastAsia" w:cs="宋体" w:asciiTheme="minorEastAsia" w:hAnsiTheme="minorEastAsia" w:eastAsiaTheme="minorEastAsia"/>
          <w:kern w:val="0"/>
          <w:sz w:val="21"/>
          <w:szCs w:val="21"/>
          <w:highlight w:val="none"/>
          <w:lang w:bidi="ar"/>
        </w:rPr>
        <w:t xml:space="preserve">，并提出处理时限为 </w:t>
      </w:r>
      <w:r>
        <w:rPr>
          <w:rFonts w:hint="eastAsia" w:cs="宋体" w:asciiTheme="minorEastAsia" w:hAnsiTheme="minorEastAsia" w:eastAsiaTheme="minorEastAsia"/>
          <w:kern w:val="0"/>
          <w:sz w:val="21"/>
          <w:szCs w:val="21"/>
          <w:highlight w:val="none"/>
          <w:lang w:val="en-US" w:eastAsia="zh-CN" w:bidi="ar"/>
        </w:rPr>
        <w:t>6</w:t>
      </w:r>
      <w:r>
        <w:rPr>
          <w:rFonts w:hint="eastAsia" w:cs="宋体" w:asciiTheme="minorEastAsia" w:hAnsiTheme="minorEastAsia" w:eastAsiaTheme="minorEastAsia"/>
          <w:kern w:val="0"/>
          <w:sz w:val="21"/>
          <w:szCs w:val="21"/>
          <w:highlight w:val="none"/>
          <w:lang w:bidi="ar"/>
        </w:rPr>
        <w:t xml:space="preserve">小时内。 </w:t>
      </w:r>
    </w:p>
    <w:p w14:paraId="116C5B64">
      <w:pPr>
        <w:widowControl/>
        <w:spacing w:line="300" w:lineRule="auto"/>
        <w:jc w:val="left"/>
        <w:rPr>
          <w:rFonts w:hint="eastAsia" w:asciiTheme="minorEastAsia" w:hAnsiTheme="minorEastAsia" w:eastAsiaTheme="minorEastAsia"/>
          <w:bCs/>
          <w:sz w:val="21"/>
          <w:szCs w:val="21"/>
          <w:highlight w:val="none"/>
        </w:rPr>
      </w:pPr>
      <w:r>
        <w:rPr>
          <w:rFonts w:hint="eastAsia" w:cs="宋体" w:asciiTheme="minorEastAsia" w:hAnsiTheme="minorEastAsia" w:eastAsiaTheme="minorEastAsia"/>
          <w:kern w:val="0"/>
          <w:sz w:val="21"/>
          <w:szCs w:val="21"/>
          <w:highlight w:val="none"/>
          <w:lang w:bidi="ar"/>
        </w:rPr>
        <w:t>三档（15 分）：满足二档的前提下，产品出现质量问题承诺无条件退换，提出其他有利于项目执行的售后方案。</w:t>
      </w:r>
    </w:p>
    <w:p w14:paraId="0221FC2E">
      <w:pPr>
        <w:numPr>
          <w:ilvl w:val="0"/>
          <w:numId w:val="1"/>
        </w:numPr>
        <w:spacing w:line="300" w:lineRule="auto"/>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应急处理方案分（满分 15 分）</w:t>
      </w:r>
      <w:r>
        <w:rPr>
          <w:rFonts w:hint="eastAsia" w:cs="宋体" w:asciiTheme="minorEastAsia" w:hAnsiTheme="minorEastAsia" w:eastAsiaTheme="minorEastAsia"/>
          <w:b/>
          <w:bCs/>
          <w:kern w:val="0"/>
          <w:sz w:val="21"/>
          <w:szCs w:val="21"/>
          <w:highlight w:val="none"/>
          <w:lang w:bidi="ar"/>
        </w:rPr>
        <w:t xml:space="preserve"> </w:t>
      </w:r>
    </w:p>
    <w:p w14:paraId="2AEDB9A4">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一档（5 分）：应急处理方案内容基本符合项目要求。 </w:t>
      </w:r>
    </w:p>
    <w:p w14:paraId="381C563E">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二档（10 分）：满足一档的情况下，应急处理方案包括应急处理实施计划，提供遇到临时任务或急样应急调配的服务方案等方面内容。 </w:t>
      </w:r>
    </w:p>
    <w:p w14:paraId="76738BE4">
      <w:pPr>
        <w:pStyle w:val="2"/>
        <w:spacing w:line="300" w:lineRule="auto"/>
        <w:rPr>
          <w:highlight w:val="none"/>
        </w:rPr>
      </w:pPr>
      <w:r>
        <w:rPr>
          <w:rFonts w:hint="eastAsia" w:cs="宋体" w:asciiTheme="minorEastAsia" w:hAnsiTheme="minorEastAsia" w:eastAsiaTheme="minorEastAsia"/>
          <w:sz w:val="21"/>
          <w:szCs w:val="21"/>
          <w:highlight w:val="none"/>
          <w:lang w:bidi="ar"/>
        </w:rPr>
        <w:t>三档（15 分）：满足二档的情况下，应急处理方案详实，方案能清楚的表明对本项目的熟悉程度，思路清晰，提供各类酸、碱、有机、无机类化学试剂以及各类玻璃器皿的应急供货处理保障措施等方面内容。</w:t>
      </w:r>
    </w:p>
    <w:p w14:paraId="1F07080E">
      <w:pPr>
        <w:widowControl/>
        <w:adjustRightInd w:val="0"/>
        <w:snapToGrid w:val="0"/>
        <w:spacing w:line="300" w:lineRule="auto"/>
        <w:ind w:firstLine="422" w:firstLineChars="200"/>
        <w:outlineLvl w:val="1"/>
        <w:rPr>
          <w:rFonts w:ascii="Times New Roman" w:hAnsi="Times New Roman" w:eastAsia="宋体"/>
          <w:b/>
          <w:sz w:val="21"/>
          <w:szCs w:val="21"/>
          <w:highlight w:val="none"/>
        </w:rPr>
      </w:pPr>
      <w:r>
        <w:rPr>
          <w:rFonts w:ascii="Times New Roman" w:hAnsi="Times New Roman" w:eastAsia="宋体"/>
          <w:b/>
          <w:sz w:val="21"/>
          <w:szCs w:val="21"/>
          <w:highlight w:val="none"/>
        </w:rPr>
        <w:t>（三）</w:t>
      </w:r>
      <w:r>
        <w:rPr>
          <w:rFonts w:hint="eastAsia" w:cs="宋体" w:asciiTheme="minorEastAsia" w:hAnsiTheme="minorEastAsia" w:eastAsiaTheme="minorEastAsia"/>
          <w:b/>
          <w:bCs/>
          <w:kern w:val="0"/>
          <w:sz w:val="21"/>
          <w:szCs w:val="21"/>
          <w:highlight w:val="none"/>
          <w:lang w:bidi="ar"/>
        </w:rPr>
        <w:t>商务、技术分</w:t>
      </w:r>
      <w:r>
        <w:rPr>
          <w:rFonts w:ascii="Times New Roman" w:hAnsi="Times New Roman" w:eastAsia="宋体"/>
          <w:b/>
          <w:sz w:val="21"/>
          <w:szCs w:val="21"/>
          <w:highlight w:val="none"/>
        </w:rPr>
        <w:t xml:space="preserve"> （满分25分）</w:t>
      </w:r>
    </w:p>
    <w:p w14:paraId="7E865184">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（1）仓储保障分（满分 5 分） </w:t>
      </w:r>
    </w:p>
    <w:p w14:paraId="3F02240B">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投标人拟投入本项目的试剂耗材储存仓库面积在采购需求的基础上（</w:t>
      </w:r>
      <w:r>
        <w:rPr>
          <w:rFonts w:hint="eastAsia" w:cs="宋体" w:asciiTheme="minorEastAsia" w:hAnsiTheme="minorEastAsia" w:eastAsiaTheme="minorEastAsia"/>
          <w:kern w:val="0"/>
          <w:sz w:val="21"/>
          <w:szCs w:val="21"/>
          <w:highlight w:val="none"/>
          <w:lang w:val="en-US" w:eastAsia="zh-CN" w:bidi="ar"/>
        </w:rPr>
        <w:t>5</w:t>
      </w:r>
      <w:r>
        <w:rPr>
          <w:rFonts w:hint="eastAsia" w:cs="宋体" w:asciiTheme="minorEastAsia" w:hAnsiTheme="minorEastAsia" w:eastAsiaTheme="minorEastAsia"/>
          <w:kern w:val="0"/>
          <w:sz w:val="21"/>
          <w:szCs w:val="21"/>
          <w:highlight w:val="none"/>
          <w:lang w:bidi="ar"/>
        </w:rPr>
        <w:t xml:space="preserve">00 平方米）每增加满 100 平方米（含）得 1 分，满分5分。 </w:t>
      </w:r>
    </w:p>
    <w:p w14:paraId="2BDCE06B">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注：①投标人没有</w:t>
      </w:r>
      <w:r>
        <w:rPr>
          <w:rFonts w:hint="eastAsia" w:asciiTheme="minorEastAsia" w:hAnsiTheme="minorEastAsia" w:eastAsiaTheme="minorEastAsia"/>
          <w:sz w:val="21"/>
          <w:szCs w:val="21"/>
          <w:highlight w:val="none"/>
        </w:rPr>
        <w:t>拟投入本项目</w:t>
      </w:r>
      <w:r>
        <w:rPr>
          <w:rFonts w:hint="eastAsia" w:cs="宋体" w:asciiTheme="minorEastAsia" w:hAnsiTheme="minorEastAsia" w:eastAsiaTheme="minorEastAsia"/>
          <w:kern w:val="0"/>
          <w:sz w:val="21"/>
          <w:szCs w:val="21"/>
          <w:highlight w:val="none"/>
          <w:lang w:bidi="ar"/>
        </w:rPr>
        <w:t xml:space="preserve">试剂耗材储存仓库的不得分。 </w:t>
      </w:r>
    </w:p>
    <w:p w14:paraId="1782FADB">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②试剂耗材储存仓库是投标人自有的，</w:t>
      </w:r>
      <w:r>
        <w:rPr>
          <w:rFonts w:hint="eastAsia" w:asciiTheme="minorEastAsia" w:hAnsiTheme="minorEastAsia" w:eastAsiaTheme="minorEastAsia"/>
          <w:sz w:val="21"/>
          <w:szCs w:val="21"/>
          <w:highlight w:val="none"/>
        </w:rPr>
        <w:t>在投标文件中</w:t>
      </w:r>
      <w:r>
        <w:rPr>
          <w:rFonts w:hint="eastAsia" w:cs="宋体" w:asciiTheme="minorEastAsia" w:hAnsiTheme="minorEastAsia" w:eastAsiaTheme="minorEastAsia"/>
          <w:kern w:val="0"/>
          <w:sz w:val="21"/>
          <w:szCs w:val="21"/>
          <w:highlight w:val="none"/>
          <w:lang w:bidi="ar"/>
        </w:rPr>
        <w:t>提供产权证及仓库平面图原件扫描件；仓库是投标人租赁的，</w:t>
      </w:r>
      <w:r>
        <w:rPr>
          <w:rFonts w:hint="eastAsia" w:asciiTheme="minorEastAsia" w:hAnsiTheme="minorEastAsia" w:eastAsiaTheme="minorEastAsia"/>
          <w:sz w:val="21"/>
          <w:szCs w:val="21"/>
          <w:highlight w:val="none"/>
        </w:rPr>
        <w:t>在投标文件中</w:t>
      </w:r>
      <w:r>
        <w:rPr>
          <w:rFonts w:hint="eastAsia" w:cs="宋体" w:asciiTheme="minorEastAsia" w:hAnsiTheme="minorEastAsia" w:eastAsiaTheme="minorEastAsia"/>
          <w:kern w:val="0"/>
          <w:sz w:val="21"/>
          <w:szCs w:val="21"/>
          <w:highlight w:val="none"/>
          <w:lang w:bidi="ar"/>
        </w:rPr>
        <w:t xml:space="preserve">提供相关的租赁合同（需体现租赁面积）和发票原件扫描件，材料不齐全的 不得分。 </w:t>
      </w:r>
    </w:p>
    <w:p w14:paraId="7C4B3089">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（2）运输能力保障分（满分 4 分） </w:t>
      </w:r>
    </w:p>
    <w:p w14:paraId="363D0F69">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 xml:space="preserve">投标人具备自有或租赁拟投入本项目的试剂耗材运输车辆以及与车辆数量对等的驾驶员，每辆车得1分。本项满分 4 分。  </w:t>
      </w:r>
    </w:p>
    <w:p w14:paraId="66D65962">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注：①投标人没有</w:t>
      </w:r>
      <w:r>
        <w:rPr>
          <w:rFonts w:hint="eastAsia" w:asciiTheme="minorEastAsia" w:hAnsiTheme="minorEastAsia" w:eastAsiaTheme="minorEastAsia"/>
          <w:sz w:val="21"/>
          <w:szCs w:val="21"/>
          <w:highlight w:val="none"/>
        </w:rPr>
        <w:t>拟投入本项目</w:t>
      </w:r>
      <w:r>
        <w:rPr>
          <w:rFonts w:hint="eastAsia" w:cs="宋体" w:asciiTheme="minorEastAsia" w:hAnsiTheme="minorEastAsia" w:eastAsiaTheme="minorEastAsia"/>
          <w:kern w:val="0"/>
          <w:sz w:val="21"/>
          <w:szCs w:val="21"/>
          <w:highlight w:val="none"/>
          <w:lang w:bidi="ar"/>
        </w:rPr>
        <w:t xml:space="preserve">的试剂耗材运输车辆的不得分，小轿车不得分。 </w:t>
      </w:r>
    </w:p>
    <w:p w14:paraId="30578DC9">
      <w:pPr>
        <w:widowControl/>
        <w:spacing w:line="300" w:lineRule="auto"/>
        <w:jc w:val="left"/>
        <w:rPr>
          <w:rFonts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②投标人须在投标文件中提供运输车辆行驶证原件扫描件（属租赁的提供租赁合同和租赁费发票原件扫描件）、运输车辆照片、与运输车辆数量对等的驾驶员的身份证和驾驶证原件扫描件、投标人的驾驶员</w:t>
      </w:r>
      <w:r>
        <w:rPr>
          <w:rFonts w:hint="eastAsia" w:asciiTheme="minorEastAsia" w:hAnsiTheme="minorEastAsia" w:eastAsiaTheme="minorEastAsia"/>
          <w:bCs/>
          <w:sz w:val="21"/>
          <w:szCs w:val="21"/>
          <w:highlight w:val="none"/>
        </w:rPr>
        <w:t>提供投标人与驾驶员签订的劳动合同</w:t>
      </w:r>
      <w:r>
        <w:rPr>
          <w:rFonts w:hint="eastAsia" w:cs="宋体" w:asciiTheme="minorEastAsia" w:hAnsiTheme="minorEastAsia" w:eastAsiaTheme="minorEastAsia"/>
          <w:sz w:val="21"/>
          <w:szCs w:val="21"/>
          <w:highlight w:val="none"/>
        </w:rPr>
        <w:t>扫描件，</w:t>
      </w:r>
      <w:r>
        <w:rPr>
          <w:rFonts w:hint="eastAsia" w:cs="宋体" w:asciiTheme="minorEastAsia" w:hAnsiTheme="minorEastAsia" w:eastAsiaTheme="minorEastAsia"/>
          <w:kern w:val="0"/>
          <w:sz w:val="21"/>
          <w:szCs w:val="21"/>
          <w:highlight w:val="none"/>
          <w:lang w:bidi="ar"/>
        </w:rPr>
        <w:t xml:space="preserve">材料不齐全的、货车行驶证上所有人名称与投标人名称或租赁公司名称不符的，不得分。 </w:t>
      </w:r>
    </w:p>
    <w:p w14:paraId="72D34DE2">
      <w:pPr>
        <w:numPr>
          <w:ilvl w:val="0"/>
          <w:numId w:val="2"/>
        </w:numPr>
        <w:spacing w:line="300" w:lineRule="auto"/>
        <w:rPr>
          <w:rFonts w:hint="eastAsia" w:cs="宋体" w:asciiTheme="minorEastAsia" w:hAnsiTheme="minorEastAsia" w:eastAsiaTheme="minorEastAsia"/>
          <w:kern w:val="0"/>
          <w:sz w:val="21"/>
          <w:szCs w:val="21"/>
          <w:highlight w:val="none"/>
          <w:lang w:bidi="ar"/>
        </w:rPr>
      </w:pPr>
      <w:r>
        <w:rPr>
          <w:rFonts w:hint="eastAsia" w:cs="宋体" w:asciiTheme="minorEastAsia" w:hAnsiTheme="minorEastAsia" w:eastAsiaTheme="minorEastAsia"/>
          <w:kern w:val="0"/>
          <w:sz w:val="21"/>
          <w:szCs w:val="21"/>
          <w:highlight w:val="none"/>
          <w:lang w:bidi="ar"/>
        </w:rPr>
        <w:t>销售代理分(满分 2分)：如投标人选用国产或进口产品（即通过中国海关报关验放进入中国境内且产自关境外的产品）参与报价时需提供产品的生产厂家或国内代理商销售（或投标）授权（提供授权书原件扫描件，代理商授权的须同时提供厂家代理证书复印件）每提供一个厂家的，得 0.5 分， 没有不得分，满分2分。</w:t>
      </w:r>
    </w:p>
    <w:p w14:paraId="6209C204">
      <w:pPr>
        <w:spacing w:line="300" w:lineRule="auto"/>
        <w:rPr>
          <w:rFonts w:hint="eastAsia" w:cs="Courier New" w:asciiTheme="minorEastAsia" w:hAnsiTheme="minorEastAsia" w:eastAsiaTheme="minorEastAsia"/>
          <w:bCs/>
          <w:sz w:val="21"/>
          <w:szCs w:val="21"/>
          <w:highlight w:val="none"/>
        </w:rPr>
      </w:pPr>
      <w:r>
        <w:rPr>
          <w:rFonts w:hint="eastAsia" w:cs="Courier New" w:asciiTheme="minorEastAsia" w:hAnsiTheme="minorEastAsia" w:eastAsiaTheme="minorEastAsia"/>
          <w:bCs/>
          <w:sz w:val="21"/>
          <w:szCs w:val="21"/>
          <w:highlight w:val="none"/>
        </w:rPr>
        <w:t>（4）售后技术人员配置分（满分4分）</w:t>
      </w:r>
    </w:p>
    <w:p w14:paraId="60CD4F9E">
      <w:pPr>
        <w:adjustRightInd w:val="0"/>
        <w:snapToGrid w:val="0"/>
        <w:spacing w:line="300" w:lineRule="auto"/>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①投标人拟投入本项目的售后技术人员具有化学或检验相关专业初级职称的，或者获得化学或检验相关专业本科毕业证和学位证的（两证同时提供，否则不得分），每人得0.5分，满分2分</w:t>
      </w:r>
    </w:p>
    <w:p w14:paraId="7022E2E9">
      <w:pPr>
        <w:adjustRightInd w:val="0"/>
        <w:snapToGrid w:val="0"/>
        <w:spacing w:line="300" w:lineRule="auto"/>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②投标人拟投入本项目的售后技术人员具有化学或检验相关专业中级职称的，或者获得化学或检验相关专业硕士研究生毕业证和学位证的（两证同时提供，否则不得分），每人得1分，满分2分</w:t>
      </w:r>
    </w:p>
    <w:p w14:paraId="7CC85E7B">
      <w:pPr>
        <w:adjustRightInd w:val="0"/>
        <w:snapToGrid w:val="0"/>
        <w:spacing w:line="300" w:lineRule="auto"/>
        <w:ind w:firstLine="420"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注：同一人不重复计分，投标人须在投标文件中提供投入本项目的售后技术人员由社保部门出具的</w:t>
      </w:r>
      <w:r>
        <w:rPr>
          <w:rFonts w:hint="eastAsia" w:cs="宋体" w:asciiTheme="minorEastAsia" w:hAnsiTheme="minorEastAsia" w:eastAsiaTheme="minorEastAsia"/>
          <w:sz w:val="21"/>
          <w:szCs w:val="21"/>
          <w:highlight w:val="none"/>
        </w:rPr>
        <w:t>截标时间前半年内连续三个月投标人依法缴纳的</w:t>
      </w:r>
      <w:r>
        <w:rPr>
          <w:rFonts w:hint="eastAsia" w:asciiTheme="minorEastAsia" w:hAnsiTheme="minorEastAsia" w:eastAsiaTheme="minorEastAsia"/>
          <w:sz w:val="21"/>
          <w:szCs w:val="21"/>
          <w:highlight w:val="none"/>
        </w:rPr>
        <w:t>社保证明及技术人员的职称证书原件扫描件或毕业证、学位证原件扫描件，材料不齐全的不得分。</w:t>
      </w:r>
    </w:p>
    <w:p w14:paraId="06C679AD">
      <w:pPr>
        <w:spacing w:line="300" w:lineRule="auto"/>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bidi="ar"/>
        </w:rPr>
        <w:t>（5）</w:t>
      </w:r>
      <w:r>
        <w:rPr>
          <w:rFonts w:hint="eastAsia" w:cs="宋体" w:asciiTheme="minorEastAsia" w:hAnsiTheme="minorEastAsia" w:eastAsiaTheme="minorEastAsia"/>
          <w:sz w:val="21"/>
          <w:szCs w:val="21"/>
          <w:highlight w:val="none"/>
        </w:rPr>
        <w:t>投标人自2022年1月份以来类似产品销售业绩分，满分</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p w14:paraId="7FE8ADE8">
      <w:pPr>
        <w:pStyle w:val="2"/>
        <w:spacing w:line="300" w:lineRule="auto"/>
        <w:rPr>
          <w:rFonts w:hint="eastAsia"/>
          <w:highlight w:val="none"/>
        </w:rPr>
      </w:pPr>
      <w:r>
        <w:rPr>
          <w:rFonts w:hint="eastAsia" w:cs="宋体" w:asciiTheme="minorEastAsia" w:hAnsiTheme="minorEastAsia" w:eastAsiaTheme="minorEastAsia"/>
          <w:sz w:val="21"/>
          <w:szCs w:val="21"/>
          <w:highlight w:val="none"/>
        </w:rPr>
        <w:t>投标人须在投标文件中提供同类项目的合同原件扫描件[仅须提供采购合同首页至甲乙双方盖章页即可</w:t>
      </w:r>
      <w:r>
        <w:rPr>
          <w:rFonts w:hint="eastAsia" w:asciiTheme="minorEastAsia" w:hAnsiTheme="minorEastAsia" w:eastAsiaTheme="minorEastAsia"/>
          <w:sz w:val="21"/>
          <w:szCs w:val="21"/>
          <w:highlight w:val="none"/>
        </w:rPr>
        <w:t>]</w:t>
      </w:r>
      <w:bookmarkStart w:id="0" w:name="_GoBack"/>
      <w:bookmarkEnd w:id="0"/>
      <w:r>
        <w:rPr>
          <w:rFonts w:hint="eastAsia" w:asciiTheme="minorEastAsia" w:hAnsiTheme="minorEastAsia" w:eastAsiaTheme="minorEastAsia"/>
          <w:sz w:val="21"/>
          <w:szCs w:val="21"/>
          <w:highlight w:val="none"/>
        </w:rPr>
        <w:t>以及供货期间</w:t>
      </w:r>
      <w:r>
        <w:rPr>
          <w:rFonts w:hint="eastAsia" w:cs="宋体" w:asciiTheme="minorEastAsia" w:hAnsiTheme="minorEastAsia" w:eastAsiaTheme="minorEastAsia"/>
          <w:sz w:val="21"/>
          <w:szCs w:val="21"/>
          <w:highlight w:val="none"/>
        </w:rPr>
        <w:t>有效的单位试剂耗材销售发票原件扫描件为准[合同、部分销售发票（包含发票清单）两样材料缺一样不计分]，投标人提供和所投分标类似的试剂耗材业绩才能计分，每提供1套材料得1分，满分</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p w14:paraId="6F6322D2">
      <w:pPr>
        <w:adjustRightInd w:val="0"/>
        <w:snapToGrid w:val="0"/>
        <w:spacing w:line="300" w:lineRule="auto"/>
        <w:ind w:firstLine="384"/>
        <w:outlineLvl w:val="2"/>
        <w:rPr>
          <w:rFonts w:hint="eastAsia" w:ascii="Times New Roman" w:hAnsi="Times New Roman" w:eastAsia="宋体"/>
          <w:b/>
          <w:bCs/>
          <w:spacing w:val="-6"/>
          <w:sz w:val="21"/>
          <w:szCs w:val="21"/>
        </w:rPr>
      </w:pPr>
      <w:r>
        <w:rPr>
          <w:rFonts w:ascii="Times New Roman" w:hAnsi="Times New Roman" w:eastAsia="宋体"/>
          <w:b/>
          <w:bCs/>
          <w:spacing w:val="-6"/>
          <w:sz w:val="21"/>
          <w:szCs w:val="21"/>
        </w:rPr>
        <w:t>总分值=（一）+（二）+（三）</w:t>
      </w:r>
    </w:p>
    <w:p w14:paraId="273701BD">
      <w:pPr>
        <w:widowControl/>
        <w:adjustRightInd w:val="0"/>
        <w:snapToGrid w:val="0"/>
        <w:spacing w:line="300" w:lineRule="auto"/>
        <w:ind w:firstLine="426" w:firstLineChars="202"/>
        <w:outlineLvl w:val="0"/>
        <w:rPr>
          <w:rFonts w:ascii="Times New Roman" w:hAnsi="Times New Roman" w:eastAsia="宋体"/>
          <w:b/>
          <w:sz w:val="21"/>
          <w:szCs w:val="21"/>
        </w:rPr>
      </w:pPr>
      <w:r>
        <w:rPr>
          <w:rFonts w:ascii="Times New Roman" w:hAnsi="Times New Roman" w:eastAsia="宋体"/>
          <w:b/>
          <w:sz w:val="21"/>
          <w:szCs w:val="21"/>
        </w:rPr>
        <w:t>三、评审结果</w:t>
      </w:r>
    </w:p>
    <w:p w14:paraId="4FB005D9">
      <w:pPr>
        <w:adjustRightInd w:val="0"/>
        <w:snapToGrid w:val="0"/>
        <w:spacing w:line="300" w:lineRule="auto"/>
        <w:ind w:firstLine="420" w:firstLineChars="200"/>
        <w:rPr>
          <w:rFonts w:ascii="Times New Roman" w:hAnsi="Times New Roman" w:eastAsia="宋体"/>
          <w:sz w:val="21"/>
          <w:szCs w:val="21"/>
        </w:rPr>
      </w:pPr>
      <w:r>
        <w:rPr>
          <w:rFonts w:ascii="Times New Roman" w:hAnsi="Times New Roman" w:eastAsia="宋体"/>
          <w:kern w:val="0"/>
          <w:sz w:val="21"/>
          <w:szCs w:val="21"/>
        </w:rPr>
        <w:t>根据供应商提交的材料进行综合评分，按照得分由高到低顺序得出成交供应商名单，评审得分最高者为成交供应商。评审得分相同的，按报价由低到高排序，评审得分相同且报价也相同的，按技术指标优劣排序。排序第一的供应商为成交供应商。如成交供应商因不可抗力提出不能履行合同，顺位选择第二排名的供应商，以此类推。</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D36C5"/>
    <w:multiLevelType w:val="singleLevel"/>
    <w:tmpl w:val="DD9D36C5"/>
    <w:lvl w:ilvl="0" w:tentative="0">
      <w:start w:val="3"/>
      <w:numFmt w:val="decimal"/>
      <w:suff w:val="nothing"/>
      <w:lvlText w:val="（%1）"/>
      <w:lvlJc w:val="left"/>
    </w:lvl>
  </w:abstractNum>
  <w:abstractNum w:abstractNumId="1">
    <w:nsid w:val="0CCC05A4"/>
    <w:multiLevelType w:val="singleLevel"/>
    <w:tmpl w:val="0CCC05A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revisionView w:markup="0"/>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zQxNjU3M2I0NWZhZTAzNzg3ZjZjYjM0M2JiNWUifQ=="/>
  </w:docVars>
  <w:rsids>
    <w:rsidRoot w:val="6D1B1C05"/>
    <w:rsid w:val="0075266A"/>
    <w:rsid w:val="008871B2"/>
    <w:rsid w:val="009859D1"/>
    <w:rsid w:val="00C5443F"/>
    <w:rsid w:val="01532AEC"/>
    <w:rsid w:val="04F96889"/>
    <w:rsid w:val="06961B4E"/>
    <w:rsid w:val="0D5842BF"/>
    <w:rsid w:val="106D6E44"/>
    <w:rsid w:val="13AE5F57"/>
    <w:rsid w:val="160B725E"/>
    <w:rsid w:val="1A390177"/>
    <w:rsid w:val="1C492A03"/>
    <w:rsid w:val="1D433EFD"/>
    <w:rsid w:val="207A0749"/>
    <w:rsid w:val="20AF304C"/>
    <w:rsid w:val="2307686D"/>
    <w:rsid w:val="241601DA"/>
    <w:rsid w:val="253D7756"/>
    <w:rsid w:val="2ACA304C"/>
    <w:rsid w:val="2ED0792A"/>
    <w:rsid w:val="2F180230"/>
    <w:rsid w:val="304251F1"/>
    <w:rsid w:val="329941DA"/>
    <w:rsid w:val="32EB2899"/>
    <w:rsid w:val="365A7479"/>
    <w:rsid w:val="367E57CD"/>
    <w:rsid w:val="37D17F1F"/>
    <w:rsid w:val="3D555F01"/>
    <w:rsid w:val="3FE051DE"/>
    <w:rsid w:val="44F97C54"/>
    <w:rsid w:val="46C055AD"/>
    <w:rsid w:val="4710446F"/>
    <w:rsid w:val="47621110"/>
    <w:rsid w:val="48A80326"/>
    <w:rsid w:val="49446816"/>
    <w:rsid w:val="4B0202A3"/>
    <w:rsid w:val="508F052F"/>
    <w:rsid w:val="52B61B75"/>
    <w:rsid w:val="5674067B"/>
    <w:rsid w:val="59125A82"/>
    <w:rsid w:val="59152E99"/>
    <w:rsid w:val="59AC38E2"/>
    <w:rsid w:val="59DF4FD0"/>
    <w:rsid w:val="5AA8635C"/>
    <w:rsid w:val="5C552F0F"/>
    <w:rsid w:val="5CDE1D86"/>
    <w:rsid w:val="5D5A34B6"/>
    <w:rsid w:val="5D932216"/>
    <w:rsid w:val="5FD24CB4"/>
    <w:rsid w:val="60464E89"/>
    <w:rsid w:val="61C34BAD"/>
    <w:rsid w:val="62760AAF"/>
    <w:rsid w:val="655A1FD1"/>
    <w:rsid w:val="66D77D6B"/>
    <w:rsid w:val="6C562781"/>
    <w:rsid w:val="6D1B1C05"/>
    <w:rsid w:val="703A55BB"/>
    <w:rsid w:val="724E3666"/>
    <w:rsid w:val="72F37D34"/>
    <w:rsid w:val="73DC0CF9"/>
    <w:rsid w:val="75C43BEA"/>
    <w:rsid w:val="79001CFB"/>
    <w:rsid w:val="799A30F5"/>
    <w:rsid w:val="7E2C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仿宋" w:hAnsi="仿宋" w:eastAsia="仿宋" w:cs="Times New Roman"/>
      <w:kern w:val="2"/>
      <w:sz w:val="32"/>
      <w:szCs w:val="24"/>
      <w:lang w:val="en-US" w:eastAsia="zh-CN" w:bidi="ar-SA"/>
    </w:rPr>
  </w:style>
  <w:style w:type="paragraph" w:styleId="3">
    <w:name w:val="heading 4"/>
    <w:basedOn w:val="1"/>
    <w:next w:val="1"/>
    <w:link w:val="15"/>
    <w:qFormat/>
    <w:uiPriority w:val="0"/>
    <w:pPr>
      <w:tabs>
        <w:tab w:val="left" w:pos="2155"/>
      </w:tabs>
      <w:adjustRightInd w:val="0"/>
      <w:spacing w:before="120" w:line="360" w:lineRule="auto"/>
      <w:ind w:left="2155" w:hanging="1078"/>
      <w:textAlignment w:val="baseline"/>
      <w:outlineLvl w:val="3"/>
    </w:pPr>
    <w:rPr>
      <w:rFonts w:ascii="Arial" w:hAnsi="Times New Roman" w:eastAsia="黑体"/>
      <w:kern w:val="0"/>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4">
    <w:name w:val="annotation text"/>
    <w:basedOn w:val="1"/>
    <w:qFormat/>
    <w:uiPriority w:val="99"/>
    <w:pPr>
      <w:jc w:val="left"/>
    </w:pPr>
  </w:style>
  <w:style w:type="paragraph" w:styleId="5">
    <w:name w:val="Body Text"/>
    <w:basedOn w:val="1"/>
    <w:next w:val="6"/>
    <w:qFormat/>
    <w:uiPriority w:val="0"/>
    <w:pPr>
      <w:autoSpaceDE w:val="0"/>
      <w:autoSpaceDN w:val="0"/>
      <w:jc w:val="left"/>
    </w:pPr>
    <w:rPr>
      <w:rFonts w:ascii="宋体" w:hAnsi="宋体" w:eastAsia="宋体" w:cs="宋体"/>
      <w:kern w:val="0"/>
      <w:sz w:val="24"/>
      <w:lang w:val="zh-CN" w:bidi="zh-CN"/>
    </w:rPr>
  </w:style>
  <w:style w:type="paragraph" w:styleId="6">
    <w:name w:val="Title"/>
    <w:basedOn w:val="1"/>
    <w:next w:val="1"/>
    <w:qFormat/>
    <w:uiPriority w:val="0"/>
    <w:pPr>
      <w:spacing w:before="240" w:after="60"/>
      <w:jc w:val="center"/>
      <w:outlineLvl w:val="0"/>
    </w:pPr>
    <w:rPr>
      <w:rFonts w:ascii="等线 Light" w:hAnsi="等线 Light"/>
      <w:b/>
      <w:bCs/>
      <w:szCs w:val="32"/>
    </w:rPr>
  </w:style>
  <w:style w:type="paragraph" w:styleId="7">
    <w:name w:val="Plain Text"/>
    <w:basedOn w:val="1"/>
    <w:next w:val="1"/>
    <w:link w:val="16"/>
    <w:unhideWhenUsed/>
    <w:qFormat/>
    <w:uiPriority w:val="0"/>
    <w:pPr>
      <w:spacing w:line="240" w:lineRule="auto"/>
    </w:pPr>
    <w:rPr>
      <w:rFonts w:ascii="宋体" w:hAnsi="Courier New" w:eastAsia="宋体"/>
      <w:sz w:val="21"/>
      <w:szCs w:val="20"/>
    </w:rPr>
  </w:style>
  <w:style w:type="paragraph" w:styleId="8">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3">
    <w:name w:val="页眉 字符"/>
    <w:basedOn w:val="11"/>
    <w:link w:val="9"/>
    <w:qFormat/>
    <w:uiPriority w:val="0"/>
    <w:rPr>
      <w:rFonts w:ascii="仿宋" w:hAnsi="仿宋" w:eastAsia="仿宋"/>
      <w:kern w:val="2"/>
      <w:sz w:val="18"/>
      <w:szCs w:val="18"/>
    </w:rPr>
  </w:style>
  <w:style w:type="character" w:customStyle="1" w:styleId="14">
    <w:name w:val="页脚 字符"/>
    <w:basedOn w:val="11"/>
    <w:link w:val="8"/>
    <w:qFormat/>
    <w:uiPriority w:val="0"/>
    <w:rPr>
      <w:rFonts w:ascii="仿宋" w:hAnsi="仿宋" w:eastAsia="仿宋"/>
      <w:kern w:val="2"/>
      <w:sz w:val="18"/>
      <w:szCs w:val="18"/>
    </w:rPr>
  </w:style>
  <w:style w:type="character" w:customStyle="1" w:styleId="15">
    <w:name w:val="标题 4 字符"/>
    <w:basedOn w:val="11"/>
    <w:link w:val="3"/>
    <w:qFormat/>
    <w:uiPriority w:val="0"/>
    <w:rPr>
      <w:rFonts w:ascii="Arial" w:eastAsia="黑体"/>
      <w:sz w:val="28"/>
    </w:rPr>
  </w:style>
  <w:style w:type="character" w:customStyle="1" w:styleId="16">
    <w:name w:val="纯文本 字符"/>
    <w:basedOn w:val="11"/>
    <w:link w:val="7"/>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广西环科院</Company>
  <Pages>3</Pages>
  <Words>2154</Words>
  <Characters>2184</Characters>
  <Lines>17</Lines>
  <Paragraphs>4</Paragraphs>
  <TotalTime>15</TotalTime>
  <ScaleCrop>false</ScaleCrop>
  <LinksUpToDate>false</LinksUpToDate>
  <CharactersWithSpaces>2243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2024-06-03T08:05:00Z</dcterms:created>
  <dc:creator>李夏</dc:creator>
  <cp:lastModifiedBy></cp:lastModifiedBy>
  <dcterms:modified xsi:type="dcterms:W3CDTF">2024-12-04T07:18:15Z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2CCA708A61F64DB1960927428CDB185D_12</vt:lpwstr>
  </property>
</Properties>
</file>