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outlineLvl w:val="1"/>
        <w:rPr>
          <w:rFonts w:eastAsia="黑体"/>
          <w:color w:val="auto"/>
          <w:kern w:val="0"/>
          <w:sz w:val="32"/>
          <w:szCs w:val="32"/>
          <w:highlight w:val="none"/>
        </w:rPr>
      </w:pPr>
      <w:r>
        <w:rPr>
          <w:rFonts w:hAnsi="黑体" w:eastAsia="黑体"/>
          <w:color w:val="auto"/>
          <w:kern w:val="0"/>
          <w:sz w:val="32"/>
          <w:szCs w:val="32"/>
          <w:highlight w:val="none"/>
        </w:rPr>
        <w:t>附件</w:t>
      </w:r>
      <w:r>
        <w:rPr>
          <w:rFonts w:eastAsia="黑体"/>
          <w:color w:val="auto"/>
          <w:kern w:val="0"/>
          <w:sz w:val="32"/>
          <w:szCs w:val="32"/>
          <w:highlight w:val="none"/>
        </w:rPr>
        <w:t>2</w:t>
      </w:r>
    </w:p>
    <w:p>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p>
    <w:p>
      <w:pPr>
        <w:keepNext w:val="0"/>
        <w:keepLines w:val="0"/>
        <w:pageBreakBefore w:val="0"/>
        <w:kinsoku/>
        <w:wordWrap/>
        <w:overflowPunct/>
        <w:topLinePunct w:val="0"/>
        <w:bidi w:val="0"/>
        <w:spacing w:line="540" w:lineRule="exact"/>
        <w:jc w:val="center"/>
        <w:outlineLvl w:val="1"/>
        <w:rPr>
          <w:rFonts w:hint="eastAsia" w:eastAsia="方正小标宋_GBK"/>
          <w:color w:val="auto"/>
          <w:sz w:val="36"/>
          <w:szCs w:val="36"/>
          <w:highlight w:val="none"/>
          <w:lang w:eastAsia="zh-CN"/>
        </w:rPr>
      </w:pPr>
      <w:r>
        <w:rPr>
          <w:rFonts w:hint="eastAsia" w:eastAsia="方正小标宋_GBK"/>
          <w:color w:val="auto"/>
          <w:sz w:val="36"/>
          <w:szCs w:val="36"/>
          <w:highlight w:val="none"/>
          <w:lang w:eastAsia="zh-CN"/>
        </w:rPr>
        <w:t>2025年广西居民环境与健康素养提升</w:t>
      </w:r>
      <w:r>
        <w:rPr>
          <w:rFonts w:hint="eastAsia" w:eastAsia="方正小标宋_GBK"/>
          <w:color w:val="auto"/>
          <w:sz w:val="36"/>
          <w:szCs w:val="36"/>
          <w:highlight w:val="none"/>
          <w:lang w:val="en-US" w:eastAsia="zh-CN"/>
        </w:rPr>
        <w:t>工作</w:t>
      </w:r>
      <w:r>
        <w:rPr>
          <w:rFonts w:hint="eastAsia" w:eastAsia="方正小标宋_GBK"/>
          <w:color w:val="auto"/>
          <w:sz w:val="36"/>
          <w:szCs w:val="36"/>
          <w:highlight w:val="none"/>
          <w:lang w:eastAsia="zh-CN"/>
        </w:rPr>
        <w:t>宣传用品</w:t>
      </w:r>
    </w:p>
    <w:p>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hint="eastAsia" w:eastAsia="方正小标宋_GBK"/>
          <w:color w:val="auto"/>
          <w:sz w:val="36"/>
          <w:szCs w:val="36"/>
          <w:highlight w:val="none"/>
          <w:lang w:eastAsia="zh-CN"/>
        </w:rPr>
        <w:t>设计与制作服务采购</w:t>
      </w:r>
      <w:bookmarkStart w:id="0" w:name="_GoBack"/>
      <w:r>
        <w:rPr>
          <w:rFonts w:eastAsia="方正小标宋_GBK"/>
          <w:color w:val="auto"/>
          <w:sz w:val="36"/>
          <w:szCs w:val="36"/>
          <w:highlight w:val="none"/>
        </w:rPr>
        <w:t>询价记录表</w:t>
      </w:r>
      <w:bookmarkEnd w:id="0"/>
    </w:p>
    <w:p>
      <w:pPr>
        <w:keepNext w:val="0"/>
        <w:keepLines w:val="0"/>
        <w:pageBreakBefore w:val="0"/>
        <w:kinsoku/>
        <w:wordWrap/>
        <w:overflowPunct/>
        <w:topLinePunct w:val="0"/>
        <w:bidi w:val="0"/>
        <w:snapToGrid w:val="0"/>
        <w:spacing w:line="540" w:lineRule="exact"/>
        <w:rPr>
          <w:rFonts w:eastAsia="方正仿宋_GBK"/>
          <w:color w:val="auto"/>
          <w:sz w:val="30"/>
          <w:szCs w:val="30"/>
          <w:highlight w:val="none"/>
        </w:rPr>
      </w:pPr>
    </w:p>
    <w:p>
      <w:pPr>
        <w:keepNext w:val="0"/>
        <w:keepLines w:val="0"/>
        <w:pageBreakBefore w:val="0"/>
        <w:kinsoku/>
        <w:wordWrap/>
        <w:overflowPunct/>
        <w:topLinePunct w:val="0"/>
        <w:bidi w:val="0"/>
        <w:snapToGrid w:val="0"/>
        <w:spacing w:line="540" w:lineRule="exact"/>
        <w:rPr>
          <w:rFonts w:eastAsia="黑体"/>
          <w:color w:val="auto"/>
          <w:szCs w:val="28"/>
          <w:highlight w:val="none"/>
        </w:rPr>
      </w:pPr>
      <w:r>
        <w:rPr>
          <w:rFonts w:hAnsi="黑体" w:eastAsia="黑体"/>
          <w:color w:val="auto"/>
          <w:szCs w:val="28"/>
          <w:highlight w:val="none"/>
        </w:rPr>
        <w:t>报价单位：（公章）</w:t>
      </w:r>
      <w:r>
        <w:rPr>
          <w:rFonts w:eastAsia="黑体"/>
          <w:color w:val="auto"/>
          <w:szCs w:val="28"/>
          <w:highlight w:val="none"/>
        </w:rPr>
        <w:t xml:space="preserve">  </w:t>
      </w:r>
      <w:r>
        <w:rPr>
          <w:rFonts w:eastAsia="方正仿宋_GBK"/>
          <w:color w:val="auto"/>
          <w:sz w:val="30"/>
          <w:szCs w:val="30"/>
          <w:highlight w:val="none"/>
        </w:rPr>
        <w:t xml:space="preserve">                  </w:t>
      </w:r>
      <w:r>
        <w:rPr>
          <w:rFonts w:hAnsi="黑体" w:eastAsia="黑体"/>
          <w:color w:val="auto"/>
          <w:szCs w:val="28"/>
          <w:highlight w:val="none"/>
        </w:rPr>
        <w:t>时间：</w:t>
      </w:r>
      <w:r>
        <w:rPr>
          <w:rFonts w:eastAsia="黑体"/>
          <w:color w:val="auto"/>
          <w:szCs w:val="28"/>
          <w:highlight w:val="none"/>
        </w:rPr>
        <w:t xml:space="preserve">    </w:t>
      </w:r>
      <w:r>
        <w:rPr>
          <w:rFonts w:hAnsi="黑体" w:eastAsia="黑体"/>
          <w:color w:val="auto"/>
          <w:szCs w:val="28"/>
          <w:highlight w:val="none"/>
        </w:rPr>
        <w:t>年</w:t>
      </w:r>
      <w:r>
        <w:rPr>
          <w:rFonts w:eastAsia="黑体"/>
          <w:color w:val="auto"/>
          <w:szCs w:val="28"/>
          <w:highlight w:val="none"/>
        </w:rPr>
        <w:t xml:space="preserve">    </w:t>
      </w:r>
      <w:r>
        <w:rPr>
          <w:rFonts w:hAnsi="黑体" w:eastAsia="黑体"/>
          <w:color w:val="auto"/>
          <w:szCs w:val="28"/>
          <w:highlight w:val="none"/>
        </w:rPr>
        <w:t>月</w:t>
      </w:r>
      <w:r>
        <w:rPr>
          <w:rFonts w:eastAsia="黑体"/>
          <w:color w:val="auto"/>
          <w:szCs w:val="28"/>
          <w:highlight w:val="none"/>
        </w:rPr>
        <w:t xml:space="preserve">   </w:t>
      </w:r>
      <w:r>
        <w:rPr>
          <w:rFonts w:hAnsi="黑体" w:eastAsia="黑体"/>
          <w:color w:val="auto"/>
          <w:szCs w:val="28"/>
          <w:highlight w:val="none"/>
        </w:rPr>
        <w:t>日</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755"/>
        <w:gridCol w:w="1767"/>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39" w:type="dxa"/>
            <w:vAlign w:val="center"/>
          </w:tcPr>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项目名称</w:t>
            </w:r>
          </w:p>
        </w:tc>
        <w:tc>
          <w:tcPr>
            <w:tcW w:w="7649" w:type="dxa"/>
            <w:gridSpan w:val="3"/>
            <w:vAlign w:val="center"/>
          </w:tcPr>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int="eastAsia" w:eastAsia="黑体"/>
                <w:color w:val="auto"/>
                <w:szCs w:val="28"/>
                <w:highlight w:val="none"/>
                <w:lang w:eastAsia="zh-CN"/>
              </w:rPr>
              <w:t>2025年广西居民环境与健康素养提升</w:t>
            </w:r>
            <w:r>
              <w:rPr>
                <w:rFonts w:hint="eastAsia" w:eastAsia="黑体"/>
                <w:color w:val="auto"/>
                <w:szCs w:val="28"/>
                <w:highlight w:val="none"/>
                <w:lang w:val="en-US" w:eastAsia="zh-CN"/>
              </w:rPr>
              <w:t>工作</w:t>
            </w:r>
            <w:r>
              <w:rPr>
                <w:rFonts w:hint="eastAsia" w:eastAsia="黑体"/>
                <w:color w:val="auto"/>
                <w:szCs w:val="28"/>
                <w:highlight w:val="none"/>
                <w:lang w:eastAsia="zh-CN"/>
              </w:rPr>
              <w:t>宣传用品设计与制作服务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r>
              <w:rPr>
                <w:rFonts w:hAnsi="黑体" w:eastAsia="黑体"/>
                <w:color w:val="auto"/>
                <w:szCs w:val="28"/>
                <w:highlight w:val="none"/>
              </w:rPr>
              <w:t>服务主要内容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9288" w:type="dxa"/>
            <w:gridSpan w:val="4"/>
            <w:vAlign w:val="top"/>
          </w:tcPr>
          <w:p>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（一）本次采购需参与报价的供应商完成本询价公告表格所列的所有宣传品的设计与制作。</w:t>
            </w:r>
          </w:p>
          <w:p>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（二）参与报价的供应商可提前准备样品，并在提交报价材料时提供效果图及样品，以供审核。</w:t>
            </w:r>
          </w:p>
          <w:p>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（三）宣传品的数量可视实际报价情况有所调整。</w:t>
            </w:r>
          </w:p>
          <w:p>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（四）若因供应商和物流人员工作失误造成的宣传品与设计图不符、质量不合格、损坏和丢失、漏发和错发等后果，供应商应及时更换或补发，其中新增的额外费用由供应商自行负责，我单位不承担该笔费用。</w:t>
            </w:r>
          </w:p>
          <w:p>
            <w:pPr>
              <w:keepNext w:val="0"/>
              <w:keepLines w:val="0"/>
              <w:pageBreakBefore w:val="0"/>
              <w:kinsoku/>
              <w:wordWrap/>
              <w:overflowPunct/>
              <w:topLinePunct w:val="0"/>
              <w:bidi w:val="0"/>
              <w:spacing w:line="540" w:lineRule="exact"/>
              <w:ind w:firstLine="640" w:firstLineChars="200"/>
              <w:jc w:val="both"/>
              <w:rPr>
                <w:color w:val="auto"/>
                <w:highlight w:val="none"/>
              </w:rPr>
            </w:pPr>
            <w:r>
              <w:rPr>
                <w:rFonts w:hint="eastAsia" w:hAnsi="仿宋" w:eastAsia="仿宋"/>
                <w:color w:val="auto"/>
                <w:sz w:val="32"/>
                <w:szCs w:val="32"/>
                <w:highlight w:val="none"/>
              </w:rPr>
              <w:t>（五）本项目设计服务要求于合同签订之日起10个工作日内完成，宣传品制作及交付时间待采购方与供应商协商后确定。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639" w:type="dxa"/>
          </w:tcPr>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报价</w:t>
            </w:r>
          </w:p>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（万元）</w:t>
            </w:r>
          </w:p>
        </w:tc>
        <w:tc>
          <w:tcPr>
            <w:tcW w:w="7649" w:type="dxa"/>
            <w:gridSpan w:val="3"/>
          </w:tcPr>
          <w:p>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39" w:type="dxa"/>
          </w:tcPr>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联系人</w:t>
            </w:r>
          </w:p>
        </w:tc>
        <w:tc>
          <w:tcPr>
            <w:tcW w:w="2755" w:type="dxa"/>
          </w:tcPr>
          <w:p>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c>
          <w:tcPr>
            <w:tcW w:w="1767" w:type="dxa"/>
          </w:tcPr>
          <w:p>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联系方式</w:t>
            </w:r>
          </w:p>
        </w:tc>
        <w:tc>
          <w:tcPr>
            <w:tcW w:w="3127" w:type="dxa"/>
          </w:tcPr>
          <w:p>
            <w:pPr>
              <w:keepNext w:val="0"/>
              <w:keepLines w:val="0"/>
              <w:pageBreakBefore w:val="0"/>
              <w:kinsoku/>
              <w:wordWrap/>
              <w:overflowPunct/>
              <w:topLinePunct w:val="0"/>
              <w:bidi w:val="0"/>
              <w:snapToGrid w:val="0"/>
              <w:spacing w:line="540" w:lineRule="exact"/>
              <w:ind w:left="420"/>
              <w:jc w:val="center"/>
              <w:rPr>
                <w:rFonts w:eastAsia="方正黑体_GBK"/>
                <w:color w:val="auto"/>
                <w:szCs w:val="28"/>
                <w:highlight w:val="none"/>
              </w:rPr>
            </w:pPr>
          </w:p>
        </w:tc>
      </w:tr>
    </w:tbl>
    <w:p>
      <w:pPr>
        <w:keepNext w:val="0"/>
        <w:keepLines w:val="0"/>
        <w:pageBreakBefore w:val="0"/>
        <w:kinsoku/>
        <w:wordWrap/>
        <w:overflowPunct/>
        <w:topLinePunct w:val="0"/>
        <w:bidi w:val="0"/>
        <w:spacing w:line="540" w:lineRule="exact"/>
        <w:rPr>
          <w:rFonts w:eastAsia="仿宋"/>
          <w:color w:val="auto"/>
          <w:szCs w:val="28"/>
          <w:highlight w:val="none"/>
        </w:rPr>
      </w:pPr>
      <w:r>
        <w:rPr>
          <w:rFonts w:hAnsi="仿宋" w:eastAsia="仿宋"/>
          <w:color w:val="auto"/>
          <w:szCs w:val="28"/>
          <w:highlight w:val="none"/>
        </w:rPr>
        <w:t>注：</w:t>
      </w:r>
      <w:r>
        <w:rPr>
          <w:rFonts w:eastAsia="仿宋"/>
          <w:color w:val="auto"/>
          <w:szCs w:val="28"/>
          <w:highlight w:val="none"/>
        </w:rPr>
        <w:t>1.</w:t>
      </w:r>
      <w:r>
        <w:rPr>
          <w:rFonts w:hAnsi="仿宋" w:eastAsia="仿宋"/>
          <w:color w:val="auto"/>
          <w:szCs w:val="28"/>
          <w:highlight w:val="none"/>
        </w:rPr>
        <w:t>询价记录表前横杠内请填写项目名称。</w:t>
      </w:r>
    </w:p>
    <w:p>
      <w:pPr>
        <w:keepNext w:val="0"/>
        <w:keepLines w:val="0"/>
        <w:pageBreakBefore w:val="0"/>
        <w:kinsoku/>
        <w:wordWrap/>
        <w:overflowPunct/>
        <w:topLinePunct w:val="0"/>
        <w:bidi w:val="0"/>
        <w:spacing w:line="540" w:lineRule="exact"/>
        <w:ind w:firstLine="560" w:firstLineChars="200"/>
        <w:rPr>
          <w:rFonts w:eastAsia="仿宋"/>
          <w:color w:val="auto"/>
          <w:szCs w:val="28"/>
          <w:highlight w:val="none"/>
        </w:rPr>
      </w:pPr>
      <w:r>
        <w:rPr>
          <w:rFonts w:eastAsia="仿宋"/>
          <w:color w:val="auto"/>
          <w:szCs w:val="28"/>
          <w:highlight w:val="none"/>
        </w:rPr>
        <w:t>2.</w:t>
      </w:r>
      <w:r>
        <w:rPr>
          <w:rFonts w:hAnsi="仿宋" w:eastAsia="仿宋"/>
          <w:color w:val="auto"/>
          <w:szCs w:val="28"/>
          <w:highlight w:val="none"/>
        </w:rPr>
        <w:t>工程类需附工程量清单。</w:t>
      </w:r>
    </w:p>
    <w:p>
      <w:pPr>
        <w:keepNext w:val="0"/>
        <w:keepLines w:val="0"/>
        <w:pageBreakBefore w:val="0"/>
        <w:kinsoku/>
        <w:wordWrap/>
        <w:overflowPunct/>
        <w:topLinePunct w:val="0"/>
        <w:bidi w:val="0"/>
        <w:spacing w:line="540" w:lineRule="exact"/>
        <w:rPr>
          <w:color w:val="auto"/>
          <w:highlight w:val="none"/>
        </w:rPr>
        <w:sectPr>
          <w:pgSz w:w="11906" w:h="16838"/>
          <w:pgMar w:top="1440" w:right="1361" w:bottom="1440" w:left="1417" w:header="1134" w:footer="1304" w:gutter="0"/>
          <w:pgNumType w:fmt="numberInDash"/>
          <w:cols w:space="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0116"/>
    <w:rsid w:val="614E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2025-03-03T00:21:00Z</dcterms:created>
  <dc:creator>粟少丽</dc:creator>
  <cp:lastModifiedBy>粟少丽</cp:lastModifiedBy>
  <dcterms:modified xsi:type="dcterms:W3CDTF">2025-03-03T00:23:16Z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