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681F">
      <w:pPr>
        <w:autoSpaceDE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比选评审标准</w:t>
      </w:r>
    </w:p>
    <w:p w14:paraId="75951E84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tbl>
      <w:tblPr>
        <w:tblStyle w:val="2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1DED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602AAF5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1A27E5C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6956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542" w:type="dxa"/>
            <w:noWrap w:val="0"/>
            <w:vAlign w:val="center"/>
          </w:tcPr>
          <w:p w14:paraId="1AF98CF6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一、价格分（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E07C8BE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价格分计算公式：某供应商价格分=供应商最低评审报价（金额）/某供应商评审报价（金额）×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/>
                <w:sz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分。</w:t>
            </w:r>
          </w:p>
        </w:tc>
      </w:tr>
      <w:tr w14:paraId="2514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6D184073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 w14:paraId="6C64780D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4A7C1E9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（一）项目理解分（满分5分）</w:t>
            </w:r>
          </w:p>
          <w:p w14:paraId="7184686F"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一档（5分）：项目理解内容具体详尽、切合本项目特点实际，</w:t>
            </w:r>
          </w:p>
          <w:p w14:paraId="1CBBBC4B"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分析到位，对项目的组织实施具有指导性的。</w:t>
            </w:r>
          </w:p>
          <w:p w14:paraId="3EE37AB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二档（3分）：项目理解内容无针对性的。</w:t>
            </w:r>
          </w:p>
          <w:p w14:paraId="71A8328D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6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6"/>
                <w:sz w:val="24"/>
              </w:rPr>
              <w:t>三档（1分）：未提供相关内容材料或者存在明显偏差不符实际的。</w:t>
            </w:r>
          </w:p>
          <w:p w14:paraId="14B7784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（二）服务计划分（满分5分）</w:t>
            </w:r>
          </w:p>
          <w:p w14:paraId="4893245C"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一档（5分）：服务计划内容具体详尽、切合项目特点实际，计</w:t>
            </w:r>
          </w:p>
          <w:p w14:paraId="714A471C"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划有亮点，对项目的组织实施具有指导性的。</w:t>
            </w:r>
          </w:p>
          <w:p w14:paraId="5FAC077F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二档（3分）：服务计划内容无针对性的。</w:t>
            </w:r>
          </w:p>
          <w:p w14:paraId="0866C7FB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 w14:paraId="53D9DDAD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（三）组织与实施分（满分5分）</w:t>
            </w:r>
          </w:p>
          <w:p w14:paraId="2D849E8E">
            <w:pPr>
              <w:overflowPunct w:val="0"/>
              <w:spacing w:line="320" w:lineRule="exact"/>
              <w:ind w:left="1440" w:hanging="1440" w:hangingChars="600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一档（5分）：项目</w:t>
            </w:r>
            <w:r>
              <w:rPr>
                <w:rFonts w:hint="eastAsia" w:ascii="Times New Roman" w:hAnsi="Times New Roman" w:eastAsia="仿宋" w:cs="宋体"/>
                <w:sz w:val="24"/>
              </w:rPr>
              <w:t>组织与实施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</w:t>
            </w:r>
          </w:p>
          <w:p w14:paraId="45C101CF">
            <w:pPr>
              <w:overflowPunct w:val="0"/>
              <w:spacing w:line="320" w:lineRule="exact"/>
              <w:ind w:left="1438" w:leftChars="342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际，组织合理，对项目的组织实施具有指导性的。</w:t>
            </w:r>
          </w:p>
          <w:p w14:paraId="46BE5327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</w:t>
            </w:r>
            <w:r>
              <w:rPr>
                <w:rFonts w:hint="eastAsia" w:ascii="Times New Roman" w:hAnsi="Times New Roman" w:eastAsia="仿宋" w:cs="宋体"/>
                <w:bCs/>
                <w:sz w:val="24"/>
                <w:highlight w:val="none"/>
              </w:rPr>
              <w:t>）：组织与实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施内容无针对性的。</w:t>
            </w:r>
          </w:p>
          <w:p w14:paraId="49867B8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 w14:paraId="750AF9BA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（四）质量控制分（满分5分）</w:t>
            </w:r>
          </w:p>
          <w:p w14:paraId="2B23683D">
            <w:pPr>
              <w:overflowPunct w:val="0"/>
              <w:spacing w:line="320" w:lineRule="exact"/>
              <w:ind w:left="720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一档（5分）：质量控制措施具体详尽、切合项目特点实际，具有相应质量保障措施，对项目的组织实施具有指导性的。</w:t>
            </w:r>
          </w:p>
          <w:p w14:paraId="1C5B9FF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二档（3分）：质量控制措施无针对性的。</w:t>
            </w:r>
          </w:p>
          <w:p w14:paraId="3E04FEAD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 w14:paraId="6F18F723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</w:rPr>
              <w:t>（五）应急处置措施分（5分）</w:t>
            </w:r>
          </w:p>
          <w:p w14:paraId="56D02BB3">
            <w:pPr>
              <w:overflowPunct w:val="0"/>
              <w:spacing w:line="320" w:lineRule="exact"/>
              <w:ind w:left="720" w:hanging="720" w:hangingChars="300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一档（5分）：应急处置措施内容具体详尽、切合项目特点实际，分析合理应对有序，对项目的组织实施具有指导性的。</w:t>
            </w:r>
          </w:p>
          <w:p w14:paraId="47B17CC0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二档（3分）：应急处置措施内容无针对性也无明显错漏偏差的。</w:t>
            </w:r>
          </w:p>
          <w:p w14:paraId="16DE5CA2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  <w:p w14:paraId="2583DE17">
            <w:p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  <w:t>（六）售后服务分（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" w:cs="宋体"/>
                <w:b/>
                <w:bCs/>
                <w:sz w:val="24"/>
                <w:highlight w:val="none"/>
                <w:lang w:eastAsia="zh-CN"/>
              </w:rPr>
              <w:t>）</w:t>
            </w:r>
          </w:p>
          <w:p w14:paraId="587DEE04">
            <w:pPr>
              <w:ind w:left="720" w:hanging="720" w:hangingChars="300"/>
            </w:pPr>
            <w:r>
              <w:rPr>
                <w:rFonts w:hint="eastAsia" w:ascii="Times New Roman" w:hAnsi="Times New Roman" w:eastAsia="仿宋" w:cs="宋体"/>
                <w:bCs/>
                <w:sz w:val="24"/>
              </w:rPr>
              <w:t>一档（5分）：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eastAsia="zh-CN"/>
              </w:rPr>
              <w:t>售后服务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内容具体详尽、切合项目特点实际，售后措施完善可操作性强。</w:t>
            </w:r>
          </w:p>
          <w:p w14:paraId="5D2159AF">
            <w:r>
              <w:rPr>
                <w:rFonts w:hint="eastAsia" w:ascii="Times New Roman" w:hAnsi="Times New Roman" w:eastAsia="仿宋" w:cs="宋体"/>
                <w:bCs/>
                <w:sz w:val="24"/>
              </w:rPr>
              <w:t>二档（3分）：售后服务</w:t>
            </w:r>
            <w:r>
              <w:rPr>
                <w:rFonts w:hint="eastAsia" w:ascii="Times New Roman" w:hAnsi="Times New Roman" w:eastAsia="仿宋" w:cs="宋体"/>
                <w:bCs/>
                <w:sz w:val="24"/>
                <w:lang w:eastAsia="zh-CN"/>
              </w:rPr>
              <w:t>无针对性</w:t>
            </w:r>
            <w:r>
              <w:rPr>
                <w:rFonts w:hint="eastAsia" w:ascii="Times New Roman" w:hAnsi="Times New Roman" w:eastAsia="仿宋" w:cs="宋体"/>
                <w:bCs/>
                <w:sz w:val="24"/>
              </w:rPr>
              <w:t>。</w:t>
            </w:r>
          </w:p>
          <w:p w14:paraId="28C226F7">
            <w:pPr>
              <w:rPr>
                <w:rFonts w:hint="eastAsia" w:ascii="Times New Roman" w:hAnsi="Times New Roman" w:eastAsia="仿宋" w:cs="宋体"/>
                <w:bCs/>
                <w:spacing w:val="-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Cs/>
                <w:spacing w:val="-4"/>
                <w:sz w:val="24"/>
              </w:rPr>
              <w:t>三档（1分）：未提供相关内容材料或者存在明显偏差不符实际的。</w:t>
            </w:r>
          </w:p>
        </w:tc>
      </w:tr>
      <w:tr w14:paraId="645C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2542" w:type="dxa"/>
            <w:noWrap w:val="0"/>
            <w:vAlign w:val="center"/>
          </w:tcPr>
          <w:p w14:paraId="1C0CF39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三、项目团队分</w:t>
            </w:r>
          </w:p>
          <w:p w14:paraId="0921B4C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B968194"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</w:pPr>
          </w:p>
          <w:p w14:paraId="767AFA4A"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项目负责人资历分（满分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分）</w:t>
            </w:r>
          </w:p>
          <w:p w14:paraId="01CE86F9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1．拟投入本项目的项目负责人具备中级职称的得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分，具备副高级职称的得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分，具备正高级职称的得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2BC5042B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2．具有职业资格证书的（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编辑</w:t>
            </w:r>
            <w:r>
              <w:rPr>
                <w:rFonts w:hint="eastAsia" w:ascii="Times New Roman" w:hAnsi="Times New Roman" w:eastAsia="仿宋" w:cs="宋体"/>
                <w:sz w:val="24"/>
              </w:rPr>
              <w:t>初级、中级和高级等），每有一项得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5E578A17">
            <w:pPr>
              <w:numPr>
                <w:ilvl w:val="0"/>
                <w:numId w:val="0"/>
              </w:numPr>
              <w:overflowPunct w:val="0"/>
              <w:spacing w:line="360" w:lineRule="exact"/>
              <w:rPr>
                <w:rFonts w:ascii="Times New Roman" w:hAnsi="Times New Roman" w:eastAsia="仿宋" w:cs="宋体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团队成员分（满分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分）</w:t>
            </w:r>
          </w:p>
          <w:p w14:paraId="4A128B5C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1．拟投入本项目的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团队成员</w:t>
            </w:r>
            <w:r>
              <w:rPr>
                <w:rFonts w:hint="eastAsia" w:ascii="Times New Roman" w:hAnsi="Times New Roman" w:eastAsia="仿宋" w:cs="宋体"/>
                <w:sz w:val="24"/>
              </w:rPr>
              <w:t>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初</w:t>
            </w:r>
            <w:r>
              <w:rPr>
                <w:rFonts w:hint="eastAsia" w:ascii="Times New Roman" w:hAnsi="Times New Roman" w:eastAsia="仿宋" w:cs="宋体"/>
                <w:sz w:val="24"/>
              </w:rPr>
              <w:t>级职称的得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中级</w:t>
            </w:r>
            <w:r>
              <w:rPr>
                <w:rFonts w:hint="eastAsia" w:ascii="Times New Roman" w:hAnsi="Times New Roman" w:eastAsia="仿宋" w:cs="宋体"/>
                <w:sz w:val="24"/>
              </w:rPr>
              <w:t>职称的得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分，具备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副</w:t>
            </w:r>
            <w:r>
              <w:rPr>
                <w:rFonts w:hint="eastAsia" w:ascii="Times New Roman" w:hAnsi="Times New Roman" w:eastAsia="仿宋" w:cs="宋体"/>
                <w:sz w:val="24"/>
              </w:rPr>
              <w:t>高级职称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以上</w:t>
            </w:r>
            <w:r>
              <w:rPr>
                <w:rFonts w:hint="eastAsia" w:ascii="Times New Roman" w:hAnsi="Times New Roman" w:eastAsia="仿宋" w:cs="宋体"/>
                <w:sz w:val="24"/>
              </w:rPr>
              <w:t>的得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6A7C191F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2．具有职业资格证书的（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编辑</w:t>
            </w:r>
            <w:r>
              <w:rPr>
                <w:rFonts w:hint="eastAsia" w:ascii="Times New Roman" w:hAnsi="Times New Roman" w:eastAsia="仿宋" w:cs="宋体"/>
                <w:sz w:val="24"/>
              </w:rPr>
              <w:t>初级、中级和高级等），每有一项得2分。（满分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  <w:p w14:paraId="46BB6647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sz w:val="24"/>
              </w:rPr>
            </w:pPr>
          </w:p>
          <w:p w14:paraId="626AAADA"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sz w:val="24"/>
              </w:rPr>
              <w:t>备注：需提供团队成员名单、证书复印件等材料佐证，不提供的不计分。</w:t>
            </w:r>
          </w:p>
        </w:tc>
      </w:tr>
      <w:tr w14:paraId="187D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2542" w:type="dxa"/>
            <w:noWrap w:val="0"/>
            <w:vAlign w:val="center"/>
          </w:tcPr>
          <w:p w14:paraId="590BE9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四、荣誉分（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77AFF097"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月以来，投标人获得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出版</w:t>
            </w:r>
            <w:r>
              <w:rPr>
                <w:rFonts w:hint="eastAsia" w:ascii="Times New Roman" w:hAnsi="Times New Roman" w:eastAsia="仿宋"/>
                <w:sz w:val="24"/>
              </w:rPr>
              <w:t>行业相关奖项或表彰的，每有一项得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 w14:paraId="3E3E3696">
            <w:pPr>
              <w:overflowPunct w:val="0"/>
              <w:spacing w:line="360" w:lineRule="exact"/>
              <w:rPr>
                <w:rFonts w:hint="eastAsia" w:ascii="Times New Roman" w:hAnsi="Times New Roman" w:eastAsia="仿宋"/>
                <w:sz w:val="24"/>
              </w:rPr>
            </w:pPr>
          </w:p>
          <w:p w14:paraId="7EC98D7C">
            <w:pPr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备注：须提供相关奖项或表彰的证明材料复印件，未提供证明材料的不予认可。</w:t>
            </w:r>
          </w:p>
        </w:tc>
      </w:tr>
      <w:tr w14:paraId="1AFE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70FA065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五、业绩分（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8581E54">
            <w:pPr>
              <w:overflowPunct w:val="0"/>
              <w:spacing w:line="360" w:lineRule="exact"/>
              <w:rPr>
                <w:rFonts w:hint="eastAsia" w:ascii="Times New Roman" w:hAnsi="Times New Roman" w:eastAsia="仿宋"/>
                <w:sz w:val="24"/>
              </w:rPr>
            </w:pPr>
          </w:p>
          <w:p w14:paraId="440FED06">
            <w:pPr>
              <w:overflowPunct w:val="0"/>
              <w:spacing w:line="360" w:lineRule="exact"/>
              <w:rPr>
                <w:rFonts w:hint="eastAsia" w:ascii="Times New Roman" w:hAnsi="Times New Roman" w:eastAsia="仿宋" w:cs="宋体"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自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 w:val="24"/>
              </w:rPr>
              <w:t>年1月以来承接过与本项目类似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的出版</w:t>
            </w:r>
            <w:r>
              <w:rPr>
                <w:rFonts w:hint="eastAsia" w:ascii="Times New Roman" w:hAnsi="Times New Roman" w:eastAsia="仿宋"/>
                <w:sz w:val="24"/>
              </w:rPr>
              <w:t>业绩的，每有一项得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24"/>
              </w:rPr>
              <w:t>分，满分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sz w:val="24"/>
              </w:rPr>
              <w:t>分。</w:t>
            </w:r>
          </w:p>
          <w:p w14:paraId="199EE7B3"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3D79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1DE8D53F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六、政策功能</w:t>
            </w:r>
            <w:bookmarkStart w:id="0" w:name="_GoBack"/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  <w:bookmarkEnd w:id="0"/>
          </w:p>
          <w:p w14:paraId="197751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2A859110"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  <w:highlight w:val="yellow"/>
              </w:rPr>
            </w:pPr>
          </w:p>
          <w:p w14:paraId="0E790A35"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依据政府采购相关政策功能赋分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（满分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）</w:t>
            </w:r>
          </w:p>
          <w:p w14:paraId="4CF7F988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1．支持中小企业。如投标人为监狱企业、小微企业的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 w14:paraId="7034697F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2．支持绿色发展。如提供节能、节水等环保产品的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 w14:paraId="16DE538F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3．支持创新。如具有创新性产品和技术专利的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；</w:t>
            </w:r>
          </w:p>
          <w:p w14:paraId="408B2C68"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4．支持脱贫攻坚。如贫困地区企业等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eastAsia="zh-CN"/>
              </w:rPr>
              <w:t>，得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Times New Roman" w:hAnsi="Times New Roman" w:eastAsia="仿宋" w:cs="黑体"/>
                <w:bCs/>
                <w:sz w:val="24"/>
                <w:highlight w:val="none"/>
              </w:rPr>
              <w:t>。</w:t>
            </w:r>
          </w:p>
          <w:p w14:paraId="6A7DAD79">
            <w:pPr>
              <w:tabs>
                <w:tab w:val="left" w:pos="312"/>
              </w:tabs>
              <w:overflowPunct w:val="0"/>
              <w:spacing w:line="360" w:lineRule="exact"/>
              <w:rPr>
                <w:rFonts w:hint="eastAsia" w:ascii="Times New Roman" w:hAnsi="Times New Roman" w:eastAsia="仿宋" w:cs="黑体"/>
                <w:bCs/>
                <w:sz w:val="24"/>
              </w:rPr>
            </w:pPr>
          </w:p>
        </w:tc>
      </w:tr>
    </w:tbl>
    <w:p w14:paraId="5051C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7D57E-16F7-4113-BD05-ED68746DD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AC63AF-1589-4B3C-A26C-09C832D1FF9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8EAA17A-C04D-403B-A9C9-C689BC536D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3D5D880-E278-425A-A71D-1D1A81BF3C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6049"/>
    <w:rsid w:val="0CF9334C"/>
    <w:rsid w:val="101F5797"/>
    <w:rsid w:val="11D56A3C"/>
    <w:rsid w:val="13697858"/>
    <w:rsid w:val="2E033F5A"/>
    <w:rsid w:val="371F1F8D"/>
    <w:rsid w:val="3DAC57D9"/>
    <w:rsid w:val="456E2D82"/>
    <w:rsid w:val="4ED42DAA"/>
    <w:rsid w:val="5AFA0EA9"/>
    <w:rsid w:val="5D4813C1"/>
    <w:rsid w:val="5D726049"/>
    <w:rsid w:val="67CC0B6F"/>
    <w:rsid w:val="6AF3684B"/>
    <w:rsid w:val="72571457"/>
    <w:rsid w:val="7814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1285</Words>
  <Characters>1301</Characters>
  <Lines>0</Lines>
  <Paragraphs>0</Paragraphs>
  <TotalTime>11</TotalTime>
  <ScaleCrop>false</ScaleCrop>
  <LinksUpToDate>false</LinksUpToDate>
  <CharactersWithSpaces>1301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2025-02-24T08:49:00Z</dcterms:created>
  <dc:creator>张丽春</dc:creator>
  <cp:lastModifiedBy></cp:lastModifiedBy>
  <dcterms:modified xsi:type="dcterms:W3CDTF">2025-03-03T07:59:28Z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eyJoZGlkIjoiZGNhN2YyZTk1NWZhOTUwODI2Y2E1YWI4OTUxN2E1OGYiLCJ1c2VySWQiOiIzMDI3OTUwMTgifQ==</vt:lpwstr>
  </property>
  <property fmtid="{D5CDD505-2E9C-101B-9397-08002B2CF9AE}" pid="4" name="ICV">
    <vt:lpwstr>8EDEC01CE9254A6A887B93B5422D056D_12</vt:lpwstr>
  </property>
</Properties>
</file>