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76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</w:p>
    <w:p w14:paraId="22AF3CD2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比选评审标准</w:t>
      </w:r>
    </w:p>
    <w:tbl>
      <w:tblPr>
        <w:tblStyle w:val="5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6832"/>
      </w:tblGrid>
      <w:tr w14:paraId="455F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tblHeader/>
          <w:jc w:val="center"/>
        </w:trPr>
        <w:tc>
          <w:tcPr>
            <w:tcW w:w="2542" w:type="dxa"/>
            <w:noWrap w:val="0"/>
            <w:vAlign w:val="center"/>
          </w:tcPr>
          <w:p w14:paraId="0588AFDC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宋体"/>
                <w:sz w:val="24"/>
              </w:rPr>
            </w:pPr>
            <w:r>
              <w:rPr>
                <w:rFonts w:hint="eastAsia" w:ascii="Times New Roman" w:hAnsi="Times New Roman" w:eastAsia="黑体" w:cs="宋体"/>
                <w:sz w:val="24"/>
              </w:rPr>
              <w:t>评分项及满分</w:t>
            </w:r>
          </w:p>
        </w:tc>
        <w:tc>
          <w:tcPr>
            <w:tcW w:w="6832" w:type="dxa"/>
            <w:noWrap w:val="0"/>
            <w:vAlign w:val="center"/>
          </w:tcPr>
          <w:p w14:paraId="1D0DE115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宋体"/>
                <w:sz w:val="24"/>
              </w:rPr>
            </w:pPr>
            <w:r>
              <w:rPr>
                <w:rFonts w:hint="eastAsia" w:ascii="Times New Roman" w:hAnsi="Times New Roman" w:eastAsia="黑体" w:cs="宋体"/>
                <w:sz w:val="24"/>
              </w:rPr>
              <w:t>评分标准</w:t>
            </w:r>
          </w:p>
        </w:tc>
      </w:tr>
      <w:tr w14:paraId="76A5A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542" w:type="dxa"/>
            <w:noWrap w:val="0"/>
            <w:vAlign w:val="center"/>
          </w:tcPr>
          <w:p w14:paraId="28A9191B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" w:cs="宋体"/>
                <w:b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一、价格分（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6D0556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投标报价得分=（全部供应商中的最低报价/某供应商投标报价）×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0</w:t>
            </w:r>
          </w:p>
          <w:p w14:paraId="44C1354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根据《政府采购促进中小企业发展管理办法》（财库﹝2020﹞46 号）第九条要求，对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中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小型和微型企业报价给予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%的扣除，用扣除后的投标报价参与评审。</w:t>
            </w:r>
          </w:p>
          <w:p w14:paraId="3F4FC17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根据《关于政府采购支持监狱企业发展有关问题的通知》（财库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  <w:t>〔2014〕68号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）的要求，监狱和戒毒企业（以下简称监狱企业）视同小型、微型企业。须提供由省级以上监狱管理局、戒毒管理局（含新疆生产建设兵团）出具的属于监狱企业的证明文件。</w:t>
            </w:r>
          </w:p>
          <w:p w14:paraId="73A0C8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80" w:firstLineChars="200"/>
              <w:jc w:val="both"/>
              <w:textAlignment w:val="auto"/>
              <w:rPr>
                <w:rFonts w:ascii="Times New Roman" w:hAnsi="Times New Roman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根据《三部门联合发布关于促进残疾人就业政府采购政策的通知》（财库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  <w:t>〔2017〕141号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），残疾人福利性单位视同小型、微型企业，须提供《残疾人福利性单位声明函》，未提供声明函者不予认定。</w:t>
            </w:r>
          </w:p>
        </w:tc>
      </w:tr>
      <w:tr w14:paraId="455A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2542" w:type="dxa"/>
            <w:noWrap w:val="0"/>
            <w:vAlign w:val="center"/>
          </w:tcPr>
          <w:p w14:paraId="474D1455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二、服务方案分</w:t>
            </w:r>
          </w:p>
          <w:p w14:paraId="4DC8AA55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73DACA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lang w:val="zh-CN"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（一）项目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方案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分（满分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</w:t>
            </w:r>
          </w:p>
          <w:p w14:paraId="018983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</w:pP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一档（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分）：运营维护计划详细、清晰、切合本项目服务实际需求、可实施性强；有详细、完整的工作计划、各站点运营维护方案，工作目标、工作流程、维护服务项目计划安排等内容清晰、合理、规范和科学，得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分；</w:t>
            </w:r>
          </w:p>
          <w:p w14:paraId="219C00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</w:pP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二档（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分）：运营维护计划基本清晰，可实施性较强；工作流程、各项管理维护服务项目及环节所需的长远计划和短期安排、每周运营计划及在管理平台中向采购单位公示等内容具体描述、比较规范，方案具有可行性，能满足采购文件要求，得1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分；</w:t>
            </w:r>
          </w:p>
          <w:p w14:paraId="63891C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</w:pP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三档（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分）：有简单的运营维护计划；工作流程、各项管理维护服务项目及环节所需的长远计划和短期安排、每周运营计划及在管理平台中向采购单位公示等内容简单描述，方案基本满足采购文件要求，得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 xml:space="preserve"> 分；</w:t>
            </w:r>
          </w:p>
          <w:p w14:paraId="4D8C44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" w:cs="宋体"/>
                <w:bCs/>
                <w:sz w:val="24"/>
                <w:lang w:val="zh-CN"/>
              </w:rPr>
            </w:pP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四档（5分）：方案不符合本项目运维内容，运维方案不够具体，没有可行性，或没有这方面论述，得5分。</w:t>
            </w:r>
          </w:p>
          <w:p w14:paraId="319426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" w:cs="宋体"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zh-CN"/>
              </w:rPr>
              <w:t>（二）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运维管理制度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zh-CN"/>
              </w:rPr>
              <w:t>（满分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zh-CN"/>
              </w:rPr>
              <w:t>分）</w:t>
            </w:r>
          </w:p>
          <w:p w14:paraId="53D4B4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档（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分）：管理制度完善具体、可行性强，综合评定优秀。</w:t>
            </w:r>
          </w:p>
          <w:p w14:paraId="4B39D7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档（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分）：管理制度基本完善、可行性较强，综合评定良好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。</w:t>
            </w:r>
          </w:p>
          <w:p w14:paraId="098CA8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</w:pP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档（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分）：管理制度不够完善、可行性一般，综合评定一般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。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 xml:space="preserve"> </w:t>
            </w:r>
          </w:p>
          <w:p w14:paraId="7139EE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</w:pP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档（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分）：管理制度不够具体、没有可行性，或没有相关论述分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。</w:t>
            </w:r>
          </w:p>
          <w:p w14:paraId="505DBD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" w:cs="宋体"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zh-CN"/>
              </w:rPr>
              <w:t>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zh-CN"/>
              </w:rPr>
              <w:t>）应急处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理方案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zh-CN"/>
              </w:rPr>
              <w:t>（满分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zh-CN"/>
              </w:rPr>
              <w:t>分）</w:t>
            </w:r>
          </w:p>
          <w:p w14:paraId="156430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</w:pP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档（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分）：方案完善具体、可行性强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。</w:t>
            </w:r>
          </w:p>
          <w:p w14:paraId="1F71E2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档（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分）：方案完善具体、可行性较强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。</w:t>
            </w:r>
          </w:p>
          <w:p w14:paraId="4ACADB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档（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分）：方案不够完善、可行性一般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。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 xml:space="preserve"> </w:t>
            </w:r>
          </w:p>
          <w:p w14:paraId="5744B2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" w:cs="宋体"/>
                <w:spacing w:val="-4"/>
                <w:sz w:val="24"/>
              </w:rPr>
            </w:pP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档（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分）：方案不够具体、没有可行性，或没有这方面论述。</w:t>
            </w:r>
          </w:p>
        </w:tc>
      </w:tr>
      <w:tr w14:paraId="3404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2542" w:type="dxa"/>
            <w:noWrap w:val="0"/>
            <w:vAlign w:val="center"/>
          </w:tcPr>
          <w:p w14:paraId="4D8920B6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三、项目团队分</w:t>
            </w:r>
          </w:p>
          <w:p w14:paraId="4D7C0A9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4823FF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" w:cs="宋体"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zh-CN" w:eastAsia="zh-CN"/>
              </w:rPr>
              <w:t>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zh-CN" w:eastAsia="zh-CN"/>
              </w:rPr>
              <w:t>）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zh-CN"/>
              </w:rPr>
              <w:t>项目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人员配置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zh-CN"/>
              </w:rPr>
              <w:t>分（满分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zh-CN"/>
              </w:rPr>
              <w:t>分）</w:t>
            </w:r>
          </w:p>
          <w:p w14:paraId="2A93BD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 xml:space="preserve"> 1.一档（15分）：拟投入人员有本科以上学历，具有国控区控大气降水自动监测站独立运维经验3年以上，运维效果良好以上，没有不良记录的。</w:t>
            </w:r>
          </w:p>
          <w:p w14:paraId="4E053D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>2.二档（12分）：拟投入人员有本科以上学历，具有国控区控大气降水自动监测站独立运维经验1年以上3年以下，运维效果良好以上，没有不良记录的。</w:t>
            </w:r>
          </w:p>
          <w:p w14:paraId="104BD2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 xml:space="preserve">3.三档（7分）：拟投入人员有本科专以上学历，具有国控区控大气降水自动监测站独立运维经验1年及以下，运维效果良好以上，没有不良记录的。                    </w:t>
            </w:r>
          </w:p>
          <w:p w14:paraId="713FAE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 xml:space="preserve">学历证书、培训证书、运维经历证明和运维效果等证明材料需加盖公司公章，没有加盖公章或没有提供证明材料的视同没有。 </w:t>
            </w:r>
          </w:p>
          <w:p w14:paraId="0931EF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" w:cs="宋体"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zh-CN" w:eastAsia="zh-CN"/>
              </w:rPr>
              <w:t>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zh-CN" w:eastAsia="zh-CN"/>
              </w:rPr>
              <w:t>）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项目配件、耗材配备方案分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zh-CN"/>
              </w:rPr>
              <w:t>（满分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zh-CN"/>
              </w:rPr>
              <w:t>分）</w:t>
            </w:r>
          </w:p>
          <w:p w14:paraId="4EE7A7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</w:pP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档（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分）：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方案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完全符合项目要求且有优于招标文件要求的承诺或措施，可行性高，有优质的服务保障，综合评定优秀。</w:t>
            </w:r>
          </w:p>
          <w:p w14:paraId="432BE5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</w:pP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档（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分）：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方案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完全符合项目要求，可行性较高，有合理的服务保障，综合评定良好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。</w:t>
            </w:r>
          </w:p>
          <w:p w14:paraId="6B4823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档（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分）：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方案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基本符合项目要求，基本可行，综合评定一般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。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 xml:space="preserve">       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 xml:space="preserve">            </w:t>
            </w:r>
          </w:p>
          <w:p w14:paraId="3313F8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</w:pP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档（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分）：未提供或提供的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方案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内容过于简单，没有针对性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。</w:t>
            </w:r>
          </w:p>
          <w:p w14:paraId="7A89C133">
            <w:pPr>
              <w:pStyle w:val="2"/>
              <w:numPr>
                <w:ilvl w:val="0"/>
                <w:numId w:val="1"/>
              </w:numP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zh-CN" w:eastAsia="zh-CN" w:bidi="ar-SA"/>
              </w:rPr>
              <w:t>车辆场所配置（满分</w:t>
            </w:r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zh-CN" w:eastAsia="zh-CN" w:bidi="ar-SA"/>
              </w:rPr>
              <w:t>分）</w:t>
            </w:r>
          </w:p>
          <w:p w14:paraId="74DFEA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" w:cs="宋体"/>
                <w:bCs/>
                <w:sz w:val="24"/>
                <w:lang w:val="zh-CN"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zh-CN" w:eastAsia="zh-CN"/>
              </w:rPr>
              <w:t>一档（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zh-CN" w:eastAsia="zh-CN"/>
              </w:rPr>
              <w:t>分）：本项目配备有专用运维车辆，办事处设在贵港市城区的。</w:t>
            </w:r>
          </w:p>
          <w:p w14:paraId="723161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" w:cs="宋体"/>
                <w:bCs/>
                <w:sz w:val="24"/>
                <w:lang w:val="zh-CN"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zh-CN" w:eastAsia="zh-CN"/>
              </w:rPr>
              <w:t>二档（5分）：本项目配备有非专用运维车辆或办事处设在贵港市非城区的。</w:t>
            </w:r>
          </w:p>
          <w:p w14:paraId="70EF47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" w:cs="宋体"/>
                <w:bCs/>
                <w:sz w:val="24"/>
                <w:lang w:val="zh-CN"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zh-CN" w:eastAsia="zh-CN"/>
              </w:rPr>
              <w:t>三档（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zh-CN" w:eastAsia="zh-CN"/>
              </w:rPr>
              <w:t>分）：本项目没有配备有运维车辆或办事处不在贵港市的。</w:t>
            </w:r>
          </w:p>
          <w:p w14:paraId="40B8B5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" w:cs="宋体"/>
                <w:bCs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zh-CN" w:eastAsia="zh-CN"/>
              </w:rPr>
              <w:t>备注：车辆提供购买发票或长期租赁合同及车辆行驶证复印件，车辆仅为本项目服务的承诺书，办事处提供产权证明或租赁合同，证明材料复印件上加盖运维机构公章，缺一或不提供不得分。</w:t>
            </w:r>
          </w:p>
        </w:tc>
      </w:tr>
      <w:tr w14:paraId="1B85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2542" w:type="dxa"/>
            <w:noWrap w:val="0"/>
            <w:vAlign w:val="center"/>
          </w:tcPr>
          <w:p w14:paraId="4A9A767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四、荣誉分（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6A665C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" w:cs="宋体"/>
                <w:bCs/>
                <w:sz w:val="24"/>
                <w:lang w:val="zh-CN"/>
              </w:rPr>
            </w:pP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供应商在以往环境监测服务中未受到各级环保主管部门行政处罚、通报、记不良记录、记过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zh-CN"/>
              </w:rPr>
              <w:t>或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存在弄虚作假等不良行为记录的，加盖供应商公章（供应商应的承诺必须真实有效，若经查实存在虚假承诺的情形，则采购人有权取消其成交资格，并上报监督管理部门处理，且保留追究法律责任的权利），得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分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未提供相应承诺函或有不良记录的，不得分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。</w:t>
            </w:r>
          </w:p>
        </w:tc>
      </w:tr>
      <w:tr w14:paraId="2F14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2542" w:type="dxa"/>
            <w:noWrap w:val="0"/>
            <w:vAlign w:val="center"/>
          </w:tcPr>
          <w:p w14:paraId="11F0B38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五、业绩分（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1AF913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</w:pP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运维机构提供近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4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年（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202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年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2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月至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今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）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大气降水自动监测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站运维项目业绩证明材料（以合同复印件和中标书为准）。</w:t>
            </w:r>
          </w:p>
          <w:p w14:paraId="0F77CD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</w:pP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1.一档（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分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）：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具有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国控、区控大气降水自动监测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站运维经历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年以上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，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运维效果良好以上，没有不良记录的。</w:t>
            </w:r>
          </w:p>
          <w:p w14:paraId="3A64B9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</w:pP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2.二档（10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分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）：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具有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国控、区控大气降水自动监测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站运维经历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合计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2-3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年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，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运维效果良好以上，没有不良记录的。</w:t>
            </w:r>
          </w:p>
          <w:p w14:paraId="090AD0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</w:pP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3.三档（5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分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）：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具有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国控、区控大气降水自动监测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站运维经历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1年及以下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，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运维效果良好以上，没有不良记录的。</w:t>
            </w:r>
          </w:p>
          <w:p w14:paraId="33B1CA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" w:cs="宋体"/>
                <w:bCs/>
                <w:sz w:val="24"/>
                <w:lang w:val="zh-CN"/>
              </w:rPr>
            </w:pP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未提供相应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证明材料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的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视同没有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，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得0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/>
              </w:rPr>
              <w:t>分</w:t>
            </w:r>
            <w:r>
              <w:rPr>
                <w:rFonts w:hint="default" w:ascii="Times New Roman" w:hAnsi="Times New Roman" w:eastAsia="仿宋" w:cs="宋体"/>
                <w:bCs/>
                <w:sz w:val="24"/>
                <w:lang w:val="zh-CN" w:eastAsia="zh-CN"/>
              </w:rPr>
              <w:t>。</w:t>
            </w:r>
          </w:p>
        </w:tc>
      </w:tr>
      <w:tr w14:paraId="3FDCB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 w14:paraId="454EC0B4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六、政策功能分</w:t>
            </w:r>
          </w:p>
          <w:p w14:paraId="1DC0F87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62D1B8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" w:cs="宋体"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zh-CN"/>
              </w:rPr>
              <w:t>支持中小企业，如投标人为监狱企业、小微企业的；</w:t>
            </w:r>
          </w:p>
          <w:p w14:paraId="0253A3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支持绿色发展，如提供节能、节水等环保产品的；</w:t>
            </w:r>
          </w:p>
          <w:p w14:paraId="2D2739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支持创新，如具有创新性产品和技术专利的。</w:t>
            </w:r>
          </w:p>
        </w:tc>
      </w:tr>
    </w:tbl>
    <w:p w14:paraId="7FAAB718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3EABC1"/>
    <w:multiLevelType w:val="singleLevel"/>
    <w:tmpl w:val="7C3EABC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0339E"/>
    <w:rsid w:val="1A8F59C3"/>
    <w:rsid w:val="1DFC5003"/>
    <w:rsid w:val="23D7455C"/>
    <w:rsid w:val="619940A8"/>
    <w:rsid w:val="75115693"/>
    <w:rsid w:val="7E44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2060</Words>
  <Characters>2103</Characters>
  <Lines>0</Lines>
  <Paragraphs>0</Paragraphs>
  <TotalTime>4</TotalTime>
  <ScaleCrop>false</ScaleCrop>
  <LinksUpToDate>false</LinksUpToDate>
  <CharactersWithSpaces>2160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2025-02-18T03:24:00Z</dcterms:created>
  <dc:creator>lenovo</dc:creator>
  <cp:lastModifiedBy>杨迅</cp:lastModifiedBy>
  <dcterms:modified xsi:type="dcterms:W3CDTF">2025-03-02T03:58:39Z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eyJoZGlkIjoiNzMyZTJjZDhjMzI0ZTdjNGRkMWNmYzZhOTdmNzQzODEiLCJ1c2VySWQiOiI4Njk3NjQ3NjcifQ==</vt:lpwstr>
  </property>
  <property fmtid="{D5CDD505-2E9C-101B-9397-08002B2CF9AE}" pid="4" name="ICV">
    <vt:lpwstr>1516DDBCB5714B13BE207E30F0856544_13</vt:lpwstr>
  </property>
</Properties>
</file>