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酸雨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运维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服务需求</w:t>
      </w:r>
    </w:p>
    <w:p w14:paraId="6C4AA9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一、项目基本概况</w:t>
      </w:r>
    </w:p>
    <w:tbl>
      <w:tblPr>
        <w:tblStyle w:val="8"/>
        <w:tblpPr w:leftFromText="180" w:rightFromText="180" w:vertAnchor="text" w:horzAnchor="page" w:tblpX="1697" w:tblpY="120"/>
        <w:tblOverlap w:val="never"/>
        <w:tblW w:w="8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059"/>
        <w:gridCol w:w="2209"/>
        <w:gridCol w:w="2809"/>
      </w:tblGrid>
      <w:tr w14:paraId="43EA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点位详细地址</w:t>
            </w:r>
          </w:p>
        </w:tc>
      </w:tr>
      <w:tr w14:paraId="1056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市环保站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F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 DIGITEL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RAM-12MON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河池市金城江区南新西路72号</w:t>
            </w:r>
          </w:p>
        </w:tc>
      </w:tr>
      <w:tr w14:paraId="57B0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吉祥小区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浙江恒达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ZJV—V</w:t>
            </w:r>
            <w:r>
              <w:rPr>
                <w:rStyle w:val="2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Ⅲ</w:t>
            </w:r>
            <w:r>
              <w:rPr>
                <w:rStyle w:val="2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Pro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河池市金城江区江北路1巷2</w:t>
            </w:r>
          </w:p>
        </w:tc>
      </w:tr>
      <w:tr w14:paraId="6BAE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东江里仁弄洞下屯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浙江恒达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ZJV—V</w:t>
            </w:r>
            <w:r>
              <w:rPr>
                <w:rStyle w:val="23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Ⅲ</w:t>
            </w:r>
            <w:r>
              <w:rPr>
                <w:rStyle w:val="22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Pro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河池市金城江区东江镇里仁村弄洞下屯</w:t>
            </w:r>
          </w:p>
        </w:tc>
      </w:tr>
    </w:tbl>
    <w:p w14:paraId="559FE2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二、酸雨自动监测设备运维服务内容</w:t>
      </w:r>
    </w:p>
    <w:p w14:paraId="237B80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（一）运维</w:t>
      </w:r>
      <w:r>
        <w:rPr>
          <w:rFonts w:hint="eastAsia" w:ascii="楷体" w:hAnsi="楷体" w:eastAsia="楷体" w:cs="楷体"/>
          <w:sz w:val="32"/>
          <w:szCs w:val="32"/>
        </w:rPr>
        <w:t>目标</w:t>
      </w:r>
    </w:p>
    <w:p w14:paraId="0160B68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酸雨自动监测设备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正常运转率达到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%以上；</w:t>
      </w:r>
    </w:p>
    <w:p w14:paraId="7EE59065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酸雨自动监测设备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数据捕获率达到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%以上；</w:t>
      </w:r>
    </w:p>
    <w:p w14:paraId="483960DE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酸雨自动监测设备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每季度质控抽检合格率达到90%以上；</w:t>
      </w:r>
    </w:p>
    <w:p w14:paraId="1100FAC0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）系统异常情况处理率达到100%。</w:t>
      </w:r>
    </w:p>
    <w:p w14:paraId="03FA5A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43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（二）运维内容</w:t>
      </w:r>
    </w:p>
    <w:p w14:paraId="73F5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  <w:lang w:val="en-US" w:eastAsia="zh-CN"/>
        </w:rPr>
        <w:t>1.每日工作</w:t>
      </w:r>
    </w:p>
    <w:p w14:paraId="68C7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 HJ/T165-2004《酸沉降监测技术规范》要求清洗采样瓶，晾干备用；准备冷藏箱、样品标签（标签内容按照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中心的要求填写）。</w:t>
      </w:r>
    </w:p>
    <w:p w14:paraId="6B28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  <w:lang w:val="en-US" w:eastAsia="en-US" w:bidi="ar-SA"/>
        </w:rPr>
        <w:t>按规范收集大气降水样品，填写采样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/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  <w:lang w:val="en-US" w:eastAsia="en-US" w:bidi="ar-SA"/>
        </w:rPr>
        <w:t>送样交接记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录表；查看仪器状态，确定</w:t>
      </w:r>
      <w:r>
        <w:rPr>
          <w:rFonts w:hint="default" w:ascii="Times New Roman" w:hAnsi="Times New Roman" w:eastAsia="仿宋_GB2312" w:cs="Times New Roman"/>
          <w:color w:val="000000"/>
          <w:spacing w:val="1"/>
          <w:sz w:val="32"/>
          <w:szCs w:val="32"/>
          <w:lang w:val="en-US" w:eastAsia="en-US" w:bidi="ar-SA"/>
        </w:rPr>
        <w:t>pH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值、电导率、降雨量是否需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en-US" w:bidi="ar-SA"/>
        </w:rPr>
        <w:t>要实验室分析，并在表格勾选分析项目；观察周围环境，是否存在变化和明显污染源；将采集的样品、采样仪器现场拍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照，照片需有经纬度及采样时间的水印。</w:t>
      </w:r>
    </w:p>
    <w:p w14:paraId="1194B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放置洗涤干净的仪器收集瓶，恢复原始瓶数量。</w:t>
      </w:r>
    </w:p>
    <w:p w14:paraId="0117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仪器自动换瓶后，无论是否收集到样品，都需要清洗采样瓶。</w:t>
      </w:r>
    </w:p>
    <w:p w14:paraId="031C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关闭仪器箱门，并上锁。</w:t>
      </w:r>
    </w:p>
    <w:p w14:paraId="64B4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 w:bidi="ar-SA"/>
        </w:rPr>
        <w:t>2.每半个月工作</w:t>
      </w:r>
    </w:p>
    <w:p w14:paraId="1500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放置洗涤干净的仪器收集瓶，恢复原始瓶数量。</w:t>
      </w:r>
    </w:p>
    <w:p w14:paraId="7984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en-US" w:bidi="ar-SA"/>
        </w:rPr>
        <w:t>至少每两周进行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次在线设备</w:t>
      </w:r>
      <w:r>
        <w:rPr>
          <w:rFonts w:hint="default" w:ascii="Times New Roman" w:hAnsi="Times New Roman" w:eastAsia="仿宋_GB2312" w:cs="Times New Roman"/>
          <w:color w:val="000000"/>
          <w:spacing w:val="1"/>
          <w:sz w:val="32"/>
          <w:szCs w:val="32"/>
          <w:lang w:val="en-US" w:eastAsia="en-US" w:bidi="ar-SA"/>
        </w:rPr>
        <w:t>pH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和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en-US" w:bidi="ar-SA"/>
        </w:rPr>
        <w:t>EC</w:t>
      </w:r>
      <w:r>
        <w:rPr>
          <w:rFonts w:hint="default" w:ascii="Times New Roman" w:hAnsi="Times New Roman" w:eastAsia="仿宋_GB2312" w:cs="Times New Roman"/>
          <w:color w:val="000000"/>
          <w:spacing w:val="-3"/>
          <w:sz w:val="32"/>
          <w:szCs w:val="32"/>
          <w:lang w:val="en-US" w:eastAsia="en-US" w:bidi="ar-SA"/>
        </w:rPr>
        <w:t>校准。先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en-US" w:bidi="ar-SA"/>
        </w:rPr>
        <w:t>进行单点质控，如数据超出理论值允许的范围（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en-US" w:bidi="ar-SA"/>
        </w:rPr>
        <w:t>pH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  <w:lang w:val="en-US" w:eastAsia="en-US" w:bidi="ar-SA"/>
        </w:rPr>
        <w:t>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0.1</w:t>
      </w:r>
      <w:r>
        <w:rPr>
          <w:rFonts w:hint="default" w:ascii="Times New Roman" w:hAnsi="Times New Roman" w:eastAsia="仿宋_GB2312" w:cs="Times New Roman"/>
          <w:color w:val="000000"/>
          <w:spacing w:val="-85"/>
          <w:sz w:val="32"/>
          <w:szCs w:val="32"/>
          <w:lang w:val="en-US" w:eastAsia="en-US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en-US" w:bidi="ar-SA"/>
        </w:rPr>
        <w:t>EC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  <w:lang w:val="en-US" w:eastAsia="en-US" w:bidi="ar-SA"/>
        </w:rPr>
        <w:t>±</w:t>
      </w:r>
      <w:r>
        <w:rPr>
          <w:rFonts w:hint="default" w:ascii="Times New Roman" w:hAnsi="Times New Roman" w:eastAsia="仿宋_GB2312" w:cs="Times New Roman"/>
          <w:color w:val="000000"/>
          <w:spacing w:val="-5"/>
          <w:sz w:val="32"/>
          <w:szCs w:val="32"/>
          <w:lang w:val="en-US" w:eastAsia="en-US" w:bidi="ar-SA"/>
        </w:rPr>
        <w:t>2%F.S</w:t>
      </w:r>
      <w:r>
        <w:rPr>
          <w:rFonts w:hint="default" w:ascii="Times New Roman" w:hAnsi="Times New Roman" w:eastAsia="仿宋_GB2312" w:cs="Times New Roman"/>
          <w:color w:val="000000"/>
          <w:spacing w:val="-9"/>
          <w:sz w:val="32"/>
          <w:szCs w:val="32"/>
          <w:lang w:val="en-US" w:eastAsia="en-US" w:bidi="ar-SA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9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9"/>
          <w:sz w:val="32"/>
          <w:szCs w:val="32"/>
          <w:lang w:val="en-US" w:eastAsia="en-US" w:bidi="ar-SA"/>
        </w:rPr>
        <w:t>则进行仪器校准，并做已知浓度值的标准样品单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点测量，如在范围则校准合格。</w:t>
      </w:r>
    </w:p>
    <w:p w14:paraId="110E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en-US" w:bidi="ar-SA"/>
        </w:rPr>
        <w:t>如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zh-CN" w:bidi="ar-SA"/>
        </w:rPr>
        <w:t>河池监测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en-US" w:bidi="ar-SA"/>
        </w:rPr>
        <w:t>中心未参与校准工作，则将校准原始记录表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格及校准现场照片发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河池监测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中心备案。</w:t>
      </w:r>
    </w:p>
    <w:p w14:paraId="14A7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3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 w:bidi="ar-SA"/>
        </w:rPr>
        <w:t>3.每个月工作</w:t>
      </w:r>
    </w:p>
    <w:p w14:paraId="51D1E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en-US" w:bidi="ar-SA"/>
        </w:rPr>
        <w:t>每个月至少采集一次样品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zh-CN" w:bidi="ar-SA"/>
        </w:rPr>
        <w:t>运输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en-US" w:bidi="ar-SA"/>
        </w:rPr>
        <w:t>空白；做法：取两个样品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en-US" w:bidi="ar-SA"/>
        </w:rPr>
        <w:t>瓶装入去离子水，与降水样品进行同步处理（放入冰箱或加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en-US" w:bidi="ar-SA"/>
        </w:rPr>
        <w:t>国定剂、同步运输等），并在交接记录表中记录采集信息。</w:t>
      </w:r>
    </w:p>
    <w:p w14:paraId="7847B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）每个月按照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河池监测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中心的计划至少开展1场降雨现场比对工作，比对项目包括pH值、电导率，对于比对结果不符合要求，需到现场再次比对或核实。</w:t>
      </w:r>
    </w:p>
    <w:p w14:paraId="42AE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3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 w:bidi="ar-SA"/>
        </w:rPr>
        <w:t>4.每个季度工作</w:t>
      </w:r>
    </w:p>
    <w:p w14:paraId="4E646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每季度至少清洗一次仪器的集雨桶和雨量桶。</w:t>
      </w:r>
    </w:p>
    <w:p w14:paraId="363EF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lang w:val="en-US" w:eastAsia="en-US" w:bidi="ar-SA"/>
        </w:rPr>
        <w:t>清洗干净后采集一个全程序空白样品。做法：实验</w:t>
      </w:r>
      <w:r>
        <w:rPr>
          <w:rFonts w:hint="default" w:ascii="Times New Roman" w:hAnsi="Times New Roman" w:eastAsia="仿宋_GB2312" w:cs="Times New Roman"/>
          <w:color w:val="000000"/>
          <w:spacing w:val="-1"/>
          <w:sz w:val="32"/>
          <w:szCs w:val="32"/>
          <w:lang w:val="en-US" w:eastAsia="en-US" w:bidi="ar-SA"/>
        </w:rPr>
        <w:t>室的去离子水从集雨器进入样品瓶，然后从采样到样品过滤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等操作的全程序空白试验。</w:t>
      </w:r>
    </w:p>
    <w:p w14:paraId="1009B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en-US" w:bidi="ar-SA"/>
        </w:rPr>
        <w:t>填写样品交接记录，注明质控措施内容。</w:t>
      </w:r>
    </w:p>
    <w:p w14:paraId="58CF0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定期更换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所需耗材。</w:t>
      </w:r>
    </w:p>
    <w:p w14:paraId="35F1C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定期更换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所需备品备件。</w:t>
      </w:r>
    </w:p>
    <w:p w14:paraId="730EF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定期检修、保养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，及时对三台降雨自动监测仪进行维护保养。包括及时更换清洁用水、电解液等，感雨器的擦拭保养，测试灵敏度，校准雨量计；PH电极和电导率电极应做到一年更换一次电极。</w:t>
      </w:r>
    </w:p>
    <w:p w14:paraId="7FBE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及时排除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的故障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三台降雨自动监测仪出现故障时应及时维修，更换耗材配件；网络连接出现断网或故障要及时维修、报修。</w:t>
      </w:r>
    </w:p>
    <w:p w14:paraId="4355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质量保证和质量质控工作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随时接受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的工作考核及质量考核。</w:t>
      </w:r>
    </w:p>
    <w:p w14:paraId="10053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认真、及时做好维护记录，每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季度第一个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月15日前将上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季度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所有记录以书面形式报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，书面报告作为运行维护考核依据之一，具体包括：</w:t>
      </w:r>
    </w:p>
    <w:p w14:paraId="75635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现场维护记录。</w:t>
      </w:r>
    </w:p>
    <w:p w14:paraId="5D6A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故障及排除情况登记表、仪器维修后性能审核记录。</w:t>
      </w:r>
    </w:p>
    <w:p w14:paraId="56A35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每月运行情况。</w:t>
      </w:r>
    </w:p>
    <w:p w14:paraId="7C387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备品备件使用管理登记表。</w:t>
      </w:r>
    </w:p>
    <w:p w14:paraId="0915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更换耗材记录表</w:t>
      </w:r>
    </w:p>
    <w:p w14:paraId="246A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（三）样品采集、质控要求</w:t>
      </w:r>
    </w:p>
    <w:p w14:paraId="3786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1.逢雨必采；上午9:00至次日上午9:00的降雨视为一个样品，须在次日15 时前送到实验室。</w:t>
      </w:r>
    </w:p>
    <w:p w14:paraId="677E7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2.样品与采样送样记录同时交接，记录由送样人员留底。</w:t>
      </w:r>
    </w:p>
    <w:p w14:paraId="6D305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.采样人员需给接样人员出示手机拍摄的证明照片，证明样品采集的位置，样品的性状。照片水印信息包括：点位经纬度、点位所在地名称、时间信息。照片内容包括：样品量、样品与仪器的合影、仪器与其周边环境。</w:t>
      </w:r>
    </w:p>
    <w:p w14:paraId="19A6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08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8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8"/>
          <w:sz w:val="32"/>
          <w:szCs w:val="32"/>
          <w:lang w:val="en-US" w:eastAsia="en-US" w:bidi="ar-SA"/>
        </w:rPr>
        <w:t>因不可抗拒原因造成的样品采集延迟，该次样品仍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en-US" w:bidi="ar-SA"/>
        </w:rPr>
        <w:t>需送样，并在送样记录单备注延迟原因。</w:t>
      </w:r>
    </w:p>
    <w:p w14:paraId="1DB6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pacing w:val="-13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6"/>
          <w:sz w:val="32"/>
          <w:szCs w:val="32"/>
          <w:lang w:val="en-US" w:eastAsia="en-US" w:bidi="ar-SA"/>
        </w:rPr>
        <w:t>平台有降雨量，不管多少必须到现场。样品不足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1"/>
          <w:sz w:val="32"/>
          <w:szCs w:val="32"/>
          <w:lang w:val="en-US" w:eastAsia="en-US" w:bidi="ar-SA"/>
        </w:rPr>
        <w:t>50ml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"/>
          <w:sz w:val="32"/>
          <w:szCs w:val="32"/>
          <w:lang w:val="en-US" w:eastAsia="en-US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en-US" w:bidi="ar-SA"/>
        </w:rPr>
        <w:t xml:space="preserve">时，需核实在线数据是否有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1"/>
          <w:sz w:val="32"/>
          <w:szCs w:val="32"/>
          <w:lang w:val="en-US" w:eastAsia="en-US" w:bidi="ar-SA"/>
        </w:rPr>
        <w:t>pH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2"/>
          <w:sz w:val="32"/>
          <w:szCs w:val="32"/>
          <w:lang w:val="en-US" w:eastAsia="en-US" w:bidi="ar-SA"/>
        </w:rPr>
        <w:t xml:space="preserve"> 值、电导率、降雨量数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13"/>
          <w:sz w:val="32"/>
          <w:szCs w:val="32"/>
          <w:lang w:val="en-US" w:eastAsia="en-US" w:bidi="ar-SA"/>
        </w:rPr>
        <w:t>据，如数据有效，当次可不送样，仍需拍照给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13"/>
          <w:sz w:val="32"/>
          <w:szCs w:val="32"/>
          <w:lang w:val="en-US" w:eastAsia="en-US" w:bidi="ar-SA"/>
        </w:rPr>
        <w:t>备查。</w:t>
      </w:r>
    </w:p>
    <w:p w14:paraId="48D7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firstLine="588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13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8"/>
          <w:sz w:val="32"/>
          <w:szCs w:val="32"/>
          <w:lang w:val="en-US" w:eastAsia="en-US" w:bidi="ar-SA"/>
        </w:rPr>
        <w:t>因停电造成仪器无法采集样品，若该点位有备用手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1"/>
          <w:sz w:val="32"/>
          <w:szCs w:val="32"/>
          <w:lang w:val="en-US" w:eastAsia="en-US" w:bidi="ar-SA"/>
        </w:rPr>
        <w:t>工采样器采集的样品，该样品是否由第三方采集送样，由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pacing w:val="-12"/>
          <w:sz w:val="32"/>
          <w:szCs w:val="32"/>
          <w:lang w:val="en-US" w:eastAsia="en-US" w:bidi="ar-SA"/>
        </w:rPr>
        <w:t>确定，第三方公司需备注样品性状为“手工采样样品”。</w:t>
      </w:r>
    </w:p>
    <w:p w14:paraId="0F8F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（四）相关配件耗材技术参数要求</w:t>
      </w:r>
    </w:p>
    <w:p w14:paraId="5DBD7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pH值测量范围 0～14（0～50℃）自动温度补偿；测量分辨率 0.01pH；测量准确度±0.1pH</w:t>
      </w:r>
    </w:p>
    <w:p w14:paraId="686C7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电导率（EC)值测量范围0.1～500μS/cm；测量分辨率 0.01μS/cm；测量准确度≤±2%F.S</w:t>
      </w:r>
    </w:p>
    <w:p w14:paraId="499B1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特别说明：该设备由于长期适用于户外，对pH电极、EC电极要求较高，且电极与主机连接在一起，用于数据传输。要求采购厂家专用电极。</w:t>
      </w:r>
    </w:p>
    <w:p w14:paraId="33DF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</w:rPr>
        <w:t>电、通讯及财产保护</w:t>
      </w:r>
    </w:p>
    <w:p w14:paraId="7F498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.运维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期间仪器运行所需电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通讯及场地租金费用由中标方承担，委托运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及管理的全部资产（包括全部产权和建筑物、设备、软件、配套设施及更换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的配件、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产生的各类数据信息及相关文档资料）属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所有。未经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同意，中标人不得以任何方式对各类财产进行出售、抵押、转移或公开。中标商负责运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维护及管理维护期间水、电、通讯等故障维修及协助费用缴存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保证其畅通。</w:t>
      </w:r>
    </w:p>
    <w:p w14:paraId="3DA5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固定资产的管理、备品配件的登记等工作。</w:t>
      </w:r>
    </w:p>
    <w:p w14:paraId="3C0F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维护及管理期间，中标人必须遵守国家的有关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法律法规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及其他规定，本着为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负责的精神，依照规范，科学管理，使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酸雨自动监测设备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运行达到国家及行业颁布的技术标准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要求的考核指标要求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及区生态环境监测中心的质控要求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A225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sz w:val="32"/>
          <w:szCs w:val="32"/>
        </w:rPr>
        <w:t>系统故障维修</w:t>
      </w:r>
    </w:p>
    <w:p w14:paraId="7B3F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仪器、设备出现故障，必须获得故障通知后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小时内赶赴现场对事故进行处理并恢复正常运行。</w:t>
      </w:r>
    </w:p>
    <w:p w14:paraId="616BD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系统重大、系统性故障无法修复，确需对系统或构成系统的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仪器、设备进行整体更换才能恢复系统正常运行时，中标单位须及时报告，提出解决方案并形成书面材料呈报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河池监测中心。</w:t>
      </w:r>
    </w:p>
    <w:p w14:paraId="0339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维修、更换主要部件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须进行准确度检查确认正常后才能恢复报数使用。</w:t>
      </w:r>
    </w:p>
    <w:p w14:paraId="68BE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仪器、设备故障维修按照最有利于系统正常运行原则，中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标商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负责仪器维修；对造成故障的零配件、部件需要更换的，由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河池监测中心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确认。</w:t>
      </w:r>
    </w:p>
    <w:p w14:paraId="5701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如故障严重中标商无法维修的，应在出现故障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日内书面报告并协助返厂维修。</w:t>
      </w:r>
    </w:p>
    <w:p w14:paraId="4FCC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中标方负责提供故障需更换的零配件。</w:t>
      </w:r>
    </w:p>
    <w:p w14:paraId="0EBF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sz w:val="32"/>
          <w:szCs w:val="32"/>
        </w:rPr>
        <w:t>培训</w:t>
      </w:r>
    </w:p>
    <w:p w14:paraId="21201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根据业主需要提供现场培训。</w:t>
      </w:r>
    </w:p>
    <w:p w14:paraId="1836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免费安排外部培训1次，2-3人。</w:t>
      </w:r>
    </w:p>
    <w:sectPr>
      <w:footerReference r:id="rId3" w:type="default"/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14025"/>
    </w:sdtPr>
    <w:sdtContent>
      <w:p w14:paraId="1E479059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3BBD88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86BEF"/>
    <w:rsid w:val="00001928"/>
    <w:rsid w:val="000437AC"/>
    <w:rsid w:val="00072D1C"/>
    <w:rsid w:val="00090B3E"/>
    <w:rsid w:val="000F27F8"/>
    <w:rsid w:val="000F64CE"/>
    <w:rsid w:val="0018047A"/>
    <w:rsid w:val="00181534"/>
    <w:rsid w:val="00186BEF"/>
    <w:rsid w:val="001D3042"/>
    <w:rsid w:val="001D5B09"/>
    <w:rsid w:val="001F596D"/>
    <w:rsid w:val="002311B9"/>
    <w:rsid w:val="00252B55"/>
    <w:rsid w:val="0028020B"/>
    <w:rsid w:val="002945E4"/>
    <w:rsid w:val="00336BEC"/>
    <w:rsid w:val="00376276"/>
    <w:rsid w:val="003B4BEF"/>
    <w:rsid w:val="003D1AFA"/>
    <w:rsid w:val="003F4ECC"/>
    <w:rsid w:val="004214D0"/>
    <w:rsid w:val="004402C4"/>
    <w:rsid w:val="00451307"/>
    <w:rsid w:val="004C14AA"/>
    <w:rsid w:val="00504304"/>
    <w:rsid w:val="005526E2"/>
    <w:rsid w:val="005634D3"/>
    <w:rsid w:val="005718CF"/>
    <w:rsid w:val="0059076A"/>
    <w:rsid w:val="005B452F"/>
    <w:rsid w:val="005C05F6"/>
    <w:rsid w:val="006128A2"/>
    <w:rsid w:val="00615F96"/>
    <w:rsid w:val="006706A0"/>
    <w:rsid w:val="006A2281"/>
    <w:rsid w:val="00766961"/>
    <w:rsid w:val="00780D29"/>
    <w:rsid w:val="007C3984"/>
    <w:rsid w:val="007C451A"/>
    <w:rsid w:val="008A59AC"/>
    <w:rsid w:val="00914C28"/>
    <w:rsid w:val="00914D83"/>
    <w:rsid w:val="00940139"/>
    <w:rsid w:val="00975497"/>
    <w:rsid w:val="00987ADD"/>
    <w:rsid w:val="009942BD"/>
    <w:rsid w:val="009C2813"/>
    <w:rsid w:val="009D2695"/>
    <w:rsid w:val="009F3B48"/>
    <w:rsid w:val="00A13B19"/>
    <w:rsid w:val="00A16571"/>
    <w:rsid w:val="00A452C2"/>
    <w:rsid w:val="00A6255A"/>
    <w:rsid w:val="00A66B6D"/>
    <w:rsid w:val="00AB71D0"/>
    <w:rsid w:val="00AF11BF"/>
    <w:rsid w:val="00B24161"/>
    <w:rsid w:val="00B310C0"/>
    <w:rsid w:val="00BC1754"/>
    <w:rsid w:val="00BE25D6"/>
    <w:rsid w:val="00BE54AB"/>
    <w:rsid w:val="00C10941"/>
    <w:rsid w:val="00C40721"/>
    <w:rsid w:val="00C6637C"/>
    <w:rsid w:val="00C97148"/>
    <w:rsid w:val="00D27578"/>
    <w:rsid w:val="00D451A2"/>
    <w:rsid w:val="00D917DC"/>
    <w:rsid w:val="00DA3B93"/>
    <w:rsid w:val="00DF3893"/>
    <w:rsid w:val="00E12F21"/>
    <w:rsid w:val="00E259BC"/>
    <w:rsid w:val="00E359A6"/>
    <w:rsid w:val="00E75B3F"/>
    <w:rsid w:val="00E80DD7"/>
    <w:rsid w:val="00E82719"/>
    <w:rsid w:val="00EC2C9A"/>
    <w:rsid w:val="00F5465A"/>
    <w:rsid w:val="00F65C1A"/>
    <w:rsid w:val="00FA116F"/>
    <w:rsid w:val="00FD494C"/>
    <w:rsid w:val="00FD7B66"/>
    <w:rsid w:val="0F4D5AE9"/>
    <w:rsid w:val="100C2D03"/>
    <w:rsid w:val="16931AAD"/>
    <w:rsid w:val="1CB44D85"/>
    <w:rsid w:val="23AA696C"/>
    <w:rsid w:val="324C301E"/>
    <w:rsid w:val="417E7C57"/>
    <w:rsid w:val="43584BD8"/>
    <w:rsid w:val="4B3F3D2E"/>
    <w:rsid w:val="4D3A3F18"/>
    <w:rsid w:val="53893DE8"/>
    <w:rsid w:val="540F12BC"/>
    <w:rsid w:val="54C61EF0"/>
    <w:rsid w:val="56AD0001"/>
    <w:rsid w:val="5AE22C0A"/>
    <w:rsid w:val="5B300132"/>
    <w:rsid w:val="65B71862"/>
    <w:rsid w:val="70245DD1"/>
    <w:rsid w:val="718F406B"/>
    <w:rsid w:val="72F5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3">
    <w:name w:val="heading 4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5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2">
    <w:name w:val="*正文"/>
    <w:basedOn w:val="1"/>
    <w:qFormat/>
    <w:uiPriority w:val="0"/>
    <w:pPr>
      <w:snapToGrid w:val="0"/>
      <w:spacing w:line="360" w:lineRule="auto"/>
    </w:pPr>
    <w:rPr>
      <w:rFonts w:ascii="Times New Roman" w:hAnsi="Times New Roman" w:eastAsia="宋体" w:cs="新宋体"/>
      <w:sz w:val="24"/>
    </w:rPr>
  </w:style>
  <w:style w:type="character" w:customStyle="1" w:styleId="13">
    <w:name w:val="标题 4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标题 5 Char"/>
    <w:basedOn w:val="10"/>
    <w:link w:val="4"/>
    <w:semiHidden/>
    <w:qFormat/>
    <w:uiPriority w:val="9"/>
    <w:rPr>
      <w:b/>
      <w:bCs/>
      <w:sz w:val="28"/>
      <w:szCs w:val="28"/>
    </w:rPr>
  </w:style>
  <w:style w:type="character" w:customStyle="1" w:styleId="15">
    <w:name w:val="标准正文 Char"/>
    <w:link w:val="16"/>
    <w:qFormat/>
    <w:locked/>
    <w:uiPriority w:val="0"/>
    <w:rPr>
      <w:sz w:val="28"/>
    </w:rPr>
  </w:style>
  <w:style w:type="paragraph" w:customStyle="1" w:styleId="16">
    <w:name w:val="标准正文"/>
    <w:basedOn w:val="1"/>
    <w:link w:val="15"/>
    <w:qFormat/>
    <w:uiPriority w:val="0"/>
    <w:pPr>
      <w:snapToGrid w:val="0"/>
      <w:spacing w:line="360" w:lineRule="auto"/>
      <w:ind w:firstLine="420" w:firstLineChars="200"/>
    </w:pPr>
    <w:rPr>
      <w:sz w:val="28"/>
    </w:rPr>
  </w:style>
  <w:style w:type="character" w:customStyle="1" w:styleId="17">
    <w:name w:val="无间隔 Char"/>
    <w:link w:val="18"/>
    <w:qFormat/>
    <w:uiPriority w:val="1"/>
    <w:rPr>
      <w:szCs w:val="24"/>
    </w:rPr>
  </w:style>
  <w:style w:type="paragraph" w:customStyle="1" w:styleId="18">
    <w:name w:val="无间隔1"/>
    <w:basedOn w:val="1"/>
    <w:link w:val="17"/>
    <w:qFormat/>
    <w:uiPriority w:val="1"/>
    <w:rPr>
      <w:szCs w:val="24"/>
    </w:rPr>
  </w:style>
  <w:style w:type="character" w:customStyle="1" w:styleId="19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21">
    <w:name w:val="表格标题"/>
    <w:basedOn w:val="1"/>
    <w:qFormat/>
    <w:uiPriority w:val="0"/>
    <w:pPr>
      <w:spacing w:line="276" w:lineRule="auto"/>
      <w:jc w:val="center"/>
    </w:pPr>
    <w:rPr>
      <w:rFonts w:ascii="Calibri" w:hAnsi="Calibri" w:eastAsia="宋体" w:cs="Times New Roman"/>
      <w:b/>
    </w:rPr>
  </w:style>
  <w:style w:type="character" w:customStyle="1" w:styleId="22">
    <w:name w:val="font01"/>
    <w:basedOn w:val="10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3EB0D-A326-4E76-8359-76A76582D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2505</Words>
  <Characters>2650</Characters>
  <Lines>24</Lines>
  <Paragraphs>6</Paragraphs>
  <TotalTime>3</TotalTime>
  <ScaleCrop>false</ScaleCrop>
  <LinksUpToDate>false</LinksUpToDate>
  <CharactersWithSpaces>2661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2020-04-15T07:42:00Z</dcterms:created>
  <dc:creator>LQF</dc:creator>
  <cp:lastModifiedBy></cp:lastModifiedBy>
  <cp:lastPrinted>2022-07-11T07:00:00Z</cp:lastPrinted>
  <dcterms:modified xsi:type="dcterms:W3CDTF">2025-03-07T01:55:53Z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C3034CAC895048A4B9349137505D43BA</vt:lpwstr>
  </property>
  <property fmtid="{D5CDD505-2E9C-101B-9397-08002B2CF9AE}" pid="4" name="KSOTemplateDocerSaveRecord">
    <vt:lpwstr>eyJoZGlkIjoiZGNhN2YyZTk1NWZhOTUwODI2Y2E1YWI4OTUxN2E1OGYiLCJ1c2VySWQiOiIzMDI3OTUwMTgifQ==</vt:lpwstr>
  </property>
</Properties>
</file>