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endnotes.xml" ContentType="application/vnd.openxmlformats-officedocument.wordprocessingml.endnotes+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notes.xml" ContentType="application/vnd.openxmlformats-officedocument.wordprocessingml.footnotes+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274BD167">
      <w:pPr>
        <w:tabs>
          <w:tab w:val="left" w:pos="0"/>
        </w:tabs>
        <w:spacing w:line="600" w:lineRule="exact"/>
        <w:jc w:val="center"/>
        <w:rPr>
          <w:rFonts w:ascii="仿宋_GB2312" w:hAnsi="仿宋_GB2312" w:eastAsia="仿宋_GB2312" w:cs="仿宋_GB2312"/>
          <w:b/>
          <w:bCs/>
          <w:sz w:val="32"/>
          <w:szCs w:val="32"/>
        </w:rPr>
      </w:pPr>
      <w:bookmarkStart w:id="0" w:name="_Toc97390416"/>
      <w:r>
        <w:rPr>
          <w:rFonts w:hint="eastAsia" w:ascii="仿宋_GB2312" w:hAnsi="仿宋_GB2312" w:eastAsia="仿宋_GB2312" w:cs="仿宋_GB2312"/>
          <w:b/>
          <w:bCs/>
          <w:sz w:val="32"/>
          <w:szCs w:val="32"/>
          <w:lang w:val="en-US" w:eastAsia="zh-CN"/>
        </w:rPr>
        <w:t>酸雨自动监测系统</w:t>
      </w:r>
      <w:r>
        <w:rPr>
          <w:rFonts w:hint="eastAsia" w:ascii="仿宋_GB2312" w:hAnsi="仿宋_GB2312" w:eastAsia="仿宋_GB2312" w:cs="仿宋_GB2312"/>
          <w:b/>
          <w:bCs/>
          <w:sz w:val="32"/>
          <w:szCs w:val="32"/>
        </w:rPr>
        <w:t>运维服务供应商考核评分办法</w:t>
      </w:r>
    </w:p>
    <w:p w14:paraId="06AAB72F">
      <w:pPr>
        <w:tabs>
          <w:tab w:val="left" w:pos="0"/>
        </w:tabs>
        <w:spacing w:line="600" w:lineRule="exact"/>
        <w:rPr>
          <w:rFonts w:ascii="仿宋" w:hAnsi="仿宋" w:eastAsia="仿宋" w:cs="仿宋"/>
          <w:b/>
          <w:bCs/>
          <w:sz w:val="28"/>
          <w:szCs w:val="28"/>
        </w:rPr>
      </w:pPr>
      <w:r>
        <w:rPr>
          <w:rFonts w:hint="eastAsia" w:ascii="仿宋" w:hAnsi="仿宋" w:eastAsia="仿宋" w:cs="仿宋"/>
          <w:b/>
          <w:bCs/>
          <w:sz w:val="28"/>
          <w:szCs w:val="28"/>
        </w:rPr>
        <w:t>1、评标方法</w:t>
      </w:r>
      <w:bookmarkEnd w:id="0"/>
    </w:p>
    <w:p w14:paraId="3C767864">
      <w:pPr>
        <w:pStyle w:val="60"/>
        <w:keepNext w:val="0"/>
        <w:keepLines w:val="0"/>
        <w:pageBreakBefore w:val="0"/>
        <w:widowControl w:val="0"/>
        <w:kinsoku/>
        <w:wordWrap/>
        <w:overflowPunct/>
        <w:topLinePunct w:val="0"/>
        <w:autoSpaceDE/>
        <w:autoSpaceDN/>
        <w:bidi w:val="0"/>
        <w:adjustRightInd/>
        <w:snapToGrid/>
        <w:spacing w:line="280" w:lineRule="exact"/>
        <w:textAlignment w:val="auto"/>
        <w:rPr>
          <w:rFonts w:ascii="仿宋" w:hAnsi="仿宋" w:eastAsia="仿宋" w:cs="仿宋"/>
          <w:color w:val="000000"/>
          <w:szCs w:val="21"/>
        </w:rPr>
      </w:pPr>
      <w:r>
        <w:rPr>
          <w:rFonts w:hint="eastAsia" w:ascii="仿宋" w:hAnsi="仿宋" w:eastAsia="仿宋" w:cs="仿宋"/>
          <w:color w:val="000000"/>
          <w:szCs w:val="21"/>
        </w:rPr>
        <w:t>本次评标采用综合评分法。</w:t>
      </w:r>
      <w:r>
        <w:rPr>
          <w:rFonts w:hint="eastAsia" w:ascii="仿宋" w:hAnsi="仿宋" w:eastAsia="仿宋" w:cs="仿宋"/>
          <w:szCs w:val="21"/>
        </w:rPr>
        <w:t>评审小组由采购单位人员组建，成员包含技术、经济等方</w:t>
      </w:r>
      <w:bookmarkStart w:id="2" w:name="_GoBack"/>
      <w:r>
        <w:rPr>
          <w:rFonts w:hint="eastAsia" w:ascii="仿宋" w:hAnsi="仿宋" w:eastAsia="仿宋" w:cs="仿宋"/>
          <w:szCs w:val="21"/>
          <w:lang w:eastAsia="zh-CN"/>
        </w:rPr>
        <w:t>面的</w:t>
      </w:r>
      <w:bookmarkEnd w:id="2"/>
      <w:r>
        <w:rPr>
          <w:rFonts w:hint="eastAsia" w:ascii="仿宋" w:hAnsi="仿宋" w:eastAsia="仿宋" w:cs="仿宋"/>
          <w:szCs w:val="21"/>
        </w:rPr>
        <w:t>专业人员，成员人数为三人以上（含三人）单数，</w:t>
      </w:r>
      <w:r>
        <w:rPr>
          <w:rFonts w:hint="eastAsia" w:ascii="仿宋" w:hAnsi="仿宋" w:eastAsia="仿宋" w:cs="仿宋"/>
          <w:color w:val="000000"/>
          <w:szCs w:val="21"/>
        </w:rPr>
        <w:t>每一投标人的最终得分为参加评审的全部评审人员给其评分的算术平均值。</w:t>
      </w:r>
    </w:p>
    <w:p w14:paraId="6F342692">
      <w:pPr>
        <w:pStyle w:val="60"/>
        <w:spacing w:line="360" w:lineRule="auto"/>
        <w:ind w:firstLine="0" w:firstLineChars="0"/>
        <w:rPr>
          <w:rFonts w:ascii="仿宋" w:hAnsi="仿宋" w:eastAsia="仿宋" w:cs="仿宋"/>
          <w:color w:val="000000"/>
          <w:sz w:val="28"/>
          <w:szCs w:val="28"/>
        </w:rPr>
      </w:pPr>
      <w:r>
        <w:rPr>
          <w:rFonts w:hint="eastAsia" w:ascii="仿宋" w:hAnsi="仿宋" w:eastAsia="仿宋" w:cs="仿宋"/>
          <w:color w:val="000000"/>
          <w:sz w:val="28"/>
          <w:szCs w:val="28"/>
        </w:rPr>
        <w:t>2、分值分配表</w:t>
      </w:r>
    </w:p>
    <w:tbl>
      <w:tblPr>
        <w:tblStyle w:val="28"/>
        <w:tblW w:w="8001" w:type="dxa"/>
        <w:jc w:val="center"/>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108" w:type="dxa"/>
          <w:bottom w:w="0" w:type="dxa"/>
          <w:right w:w="108" w:type="dxa"/>
        </w:tblCellMar>
      </w:tblPr>
      <w:tblGrid>
        <w:gridCol w:w="779"/>
        <w:gridCol w:w="2948"/>
        <w:gridCol w:w="4274"/>
      </w:tblGrid>
      <w:tr w14:paraId="6F6A6BD8">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jc w:val="center"/>
        </w:trPr>
        <w:tc>
          <w:tcPr>
            <w:tcW w:w="779" w:type="dxa"/>
            <w:tcBorders>
              <w:right w:val="single" w:color="auto" w:sz="4" w:space="0"/>
            </w:tcBorders>
            <w:vAlign w:val="center"/>
          </w:tcPr>
          <w:p w14:paraId="185FD435">
            <w:pPr>
              <w:spacing w:line="276" w:lineRule="auto"/>
              <w:jc w:val="center"/>
              <w:rPr>
                <w:rFonts w:ascii="仿宋" w:hAnsi="仿宋" w:eastAsia="仿宋" w:cs="仿宋"/>
                <w:b/>
                <w:color w:val="000000"/>
                <w:szCs w:val="21"/>
              </w:rPr>
            </w:pPr>
            <w:r>
              <w:rPr>
                <w:rFonts w:hint="eastAsia" w:ascii="仿宋" w:hAnsi="仿宋" w:eastAsia="仿宋" w:cs="仿宋"/>
                <w:b/>
                <w:color w:val="000000"/>
                <w:szCs w:val="21"/>
              </w:rPr>
              <w:t>序号</w:t>
            </w:r>
          </w:p>
        </w:tc>
        <w:tc>
          <w:tcPr>
            <w:tcW w:w="2948" w:type="dxa"/>
            <w:tcBorders>
              <w:left w:val="single" w:color="auto" w:sz="4" w:space="0"/>
            </w:tcBorders>
            <w:vAlign w:val="center"/>
          </w:tcPr>
          <w:p w14:paraId="260C42E9">
            <w:pPr>
              <w:spacing w:line="276" w:lineRule="auto"/>
              <w:jc w:val="center"/>
              <w:rPr>
                <w:rFonts w:ascii="仿宋" w:hAnsi="仿宋" w:eastAsia="仿宋" w:cs="仿宋"/>
                <w:b/>
                <w:color w:val="000000"/>
                <w:szCs w:val="21"/>
              </w:rPr>
            </w:pPr>
            <w:r>
              <w:rPr>
                <w:rFonts w:hint="eastAsia" w:ascii="仿宋" w:hAnsi="仿宋" w:eastAsia="仿宋" w:cs="仿宋"/>
                <w:b/>
                <w:color w:val="000000"/>
                <w:szCs w:val="21"/>
              </w:rPr>
              <w:t>评分因素</w:t>
            </w:r>
          </w:p>
        </w:tc>
        <w:tc>
          <w:tcPr>
            <w:tcW w:w="4274" w:type="dxa"/>
            <w:vAlign w:val="center"/>
          </w:tcPr>
          <w:p w14:paraId="762525B3">
            <w:pPr>
              <w:spacing w:line="276" w:lineRule="auto"/>
              <w:jc w:val="center"/>
              <w:rPr>
                <w:rFonts w:ascii="仿宋" w:hAnsi="仿宋" w:eastAsia="仿宋" w:cs="仿宋"/>
                <w:b/>
                <w:color w:val="000000"/>
                <w:szCs w:val="21"/>
              </w:rPr>
            </w:pPr>
            <w:r>
              <w:rPr>
                <w:rFonts w:hint="eastAsia" w:ascii="仿宋" w:hAnsi="仿宋" w:eastAsia="仿宋" w:cs="仿宋"/>
                <w:b/>
                <w:color w:val="000000"/>
                <w:szCs w:val="21"/>
              </w:rPr>
              <w:t>分值分配</w:t>
            </w:r>
          </w:p>
        </w:tc>
      </w:tr>
      <w:tr w14:paraId="31FDB6FB">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jc w:val="center"/>
        </w:trPr>
        <w:tc>
          <w:tcPr>
            <w:tcW w:w="779" w:type="dxa"/>
            <w:tcBorders>
              <w:right w:val="single" w:color="auto" w:sz="4" w:space="0"/>
            </w:tcBorders>
            <w:vAlign w:val="center"/>
          </w:tcPr>
          <w:p w14:paraId="29C63A97">
            <w:pPr>
              <w:spacing w:line="276" w:lineRule="auto"/>
              <w:jc w:val="center"/>
              <w:rPr>
                <w:rFonts w:ascii="仿宋" w:hAnsi="仿宋" w:eastAsia="仿宋" w:cs="仿宋"/>
                <w:color w:val="000000"/>
                <w:szCs w:val="21"/>
              </w:rPr>
            </w:pPr>
            <w:r>
              <w:rPr>
                <w:rFonts w:hint="eastAsia" w:ascii="仿宋" w:hAnsi="仿宋" w:eastAsia="仿宋" w:cs="仿宋"/>
                <w:color w:val="000000"/>
                <w:szCs w:val="21"/>
              </w:rPr>
              <w:t>一</w:t>
            </w:r>
          </w:p>
        </w:tc>
        <w:tc>
          <w:tcPr>
            <w:tcW w:w="2948" w:type="dxa"/>
            <w:tcBorders>
              <w:left w:val="single" w:color="auto" w:sz="4" w:space="0"/>
            </w:tcBorders>
            <w:vAlign w:val="center"/>
          </w:tcPr>
          <w:p w14:paraId="2FCC96C6">
            <w:pPr>
              <w:spacing w:line="276" w:lineRule="auto"/>
              <w:jc w:val="center"/>
              <w:rPr>
                <w:rFonts w:ascii="仿宋" w:hAnsi="仿宋" w:eastAsia="仿宋" w:cs="仿宋"/>
                <w:color w:val="000000"/>
                <w:szCs w:val="21"/>
              </w:rPr>
            </w:pPr>
            <w:r>
              <w:rPr>
                <w:rFonts w:hint="eastAsia" w:ascii="仿宋" w:hAnsi="仿宋" w:eastAsia="仿宋" w:cs="仿宋"/>
                <w:color w:val="000000"/>
                <w:szCs w:val="21"/>
              </w:rPr>
              <w:t>价格分</w:t>
            </w:r>
          </w:p>
        </w:tc>
        <w:tc>
          <w:tcPr>
            <w:tcW w:w="4274" w:type="dxa"/>
            <w:vAlign w:val="center"/>
          </w:tcPr>
          <w:p w14:paraId="32F6627D">
            <w:pPr>
              <w:spacing w:line="276" w:lineRule="auto"/>
              <w:jc w:val="center"/>
              <w:rPr>
                <w:rFonts w:ascii="仿宋" w:hAnsi="仿宋" w:eastAsia="仿宋" w:cs="仿宋"/>
                <w:color w:val="auto"/>
                <w:szCs w:val="21"/>
              </w:rPr>
            </w:pPr>
            <w:r>
              <w:rPr>
                <w:rFonts w:hint="eastAsia" w:ascii="仿宋" w:hAnsi="仿宋" w:eastAsia="仿宋" w:cs="仿宋"/>
                <w:color w:val="auto"/>
                <w:szCs w:val="21"/>
                <w:lang w:val="en-US" w:eastAsia="zh-CN"/>
              </w:rPr>
              <w:t>2</w:t>
            </w:r>
            <w:r>
              <w:rPr>
                <w:rFonts w:hint="eastAsia" w:ascii="仿宋" w:hAnsi="仿宋" w:eastAsia="仿宋" w:cs="仿宋"/>
                <w:color w:val="auto"/>
                <w:szCs w:val="21"/>
              </w:rPr>
              <w:t>0分</w:t>
            </w:r>
          </w:p>
        </w:tc>
      </w:tr>
      <w:tr w14:paraId="199134E1">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jc w:val="center"/>
        </w:trPr>
        <w:tc>
          <w:tcPr>
            <w:tcW w:w="779" w:type="dxa"/>
            <w:tcBorders>
              <w:right w:val="single" w:color="auto" w:sz="4" w:space="0"/>
            </w:tcBorders>
            <w:vAlign w:val="center"/>
          </w:tcPr>
          <w:p w14:paraId="41BA59C9">
            <w:pPr>
              <w:spacing w:line="276" w:lineRule="auto"/>
              <w:jc w:val="center"/>
              <w:rPr>
                <w:rFonts w:ascii="仿宋" w:hAnsi="仿宋" w:eastAsia="仿宋" w:cs="仿宋"/>
                <w:color w:val="000000"/>
                <w:szCs w:val="21"/>
              </w:rPr>
            </w:pPr>
            <w:r>
              <w:rPr>
                <w:rFonts w:hint="eastAsia" w:ascii="仿宋" w:hAnsi="仿宋" w:eastAsia="仿宋" w:cs="仿宋"/>
                <w:color w:val="000000"/>
                <w:szCs w:val="21"/>
              </w:rPr>
              <w:t>二</w:t>
            </w:r>
          </w:p>
        </w:tc>
        <w:tc>
          <w:tcPr>
            <w:tcW w:w="2948" w:type="dxa"/>
            <w:tcBorders>
              <w:left w:val="single" w:color="auto" w:sz="4" w:space="0"/>
            </w:tcBorders>
            <w:vAlign w:val="center"/>
          </w:tcPr>
          <w:p w14:paraId="3273EF4F">
            <w:pPr>
              <w:spacing w:line="276" w:lineRule="auto"/>
              <w:jc w:val="center"/>
              <w:rPr>
                <w:rFonts w:ascii="仿宋" w:hAnsi="仿宋" w:eastAsia="仿宋" w:cs="仿宋"/>
                <w:color w:val="000000"/>
                <w:szCs w:val="21"/>
              </w:rPr>
            </w:pPr>
            <w:r>
              <w:rPr>
                <w:rFonts w:hint="eastAsia" w:ascii="仿宋" w:hAnsi="仿宋" w:eastAsia="仿宋" w:cs="仿宋"/>
                <w:color w:val="000000"/>
                <w:szCs w:val="21"/>
              </w:rPr>
              <w:t>技术分</w:t>
            </w:r>
          </w:p>
        </w:tc>
        <w:tc>
          <w:tcPr>
            <w:tcW w:w="4274" w:type="dxa"/>
            <w:vAlign w:val="center"/>
          </w:tcPr>
          <w:p w14:paraId="6AEE7286">
            <w:pPr>
              <w:spacing w:line="276" w:lineRule="auto"/>
              <w:jc w:val="center"/>
              <w:rPr>
                <w:rFonts w:ascii="仿宋" w:hAnsi="仿宋" w:eastAsia="仿宋" w:cs="仿宋"/>
                <w:color w:val="auto"/>
                <w:szCs w:val="21"/>
              </w:rPr>
            </w:pPr>
            <w:r>
              <w:rPr>
                <w:rFonts w:hint="eastAsia" w:ascii="仿宋" w:hAnsi="仿宋" w:eastAsia="仿宋" w:cs="仿宋"/>
                <w:color w:val="auto"/>
                <w:szCs w:val="21"/>
              </w:rPr>
              <w:t>2</w:t>
            </w:r>
            <w:r>
              <w:rPr>
                <w:rFonts w:hint="eastAsia" w:ascii="仿宋" w:hAnsi="仿宋" w:eastAsia="仿宋" w:cs="仿宋"/>
                <w:color w:val="auto"/>
                <w:szCs w:val="21"/>
                <w:lang w:val="en-US" w:eastAsia="zh-CN"/>
              </w:rPr>
              <w:t>5</w:t>
            </w:r>
            <w:r>
              <w:rPr>
                <w:rFonts w:hint="eastAsia" w:ascii="仿宋" w:hAnsi="仿宋" w:eastAsia="仿宋" w:cs="仿宋"/>
                <w:color w:val="auto"/>
                <w:szCs w:val="21"/>
              </w:rPr>
              <w:t>分</w:t>
            </w:r>
          </w:p>
        </w:tc>
      </w:tr>
      <w:tr w14:paraId="0B9D44BA">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jc w:val="center"/>
        </w:trPr>
        <w:tc>
          <w:tcPr>
            <w:tcW w:w="779" w:type="dxa"/>
            <w:tcBorders>
              <w:right w:val="single" w:color="auto" w:sz="4" w:space="0"/>
            </w:tcBorders>
            <w:vAlign w:val="center"/>
          </w:tcPr>
          <w:p w14:paraId="38C20394">
            <w:pPr>
              <w:spacing w:line="276" w:lineRule="auto"/>
              <w:jc w:val="center"/>
              <w:rPr>
                <w:rFonts w:ascii="仿宋" w:hAnsi="仿宋" w:eastAsia="仿宋" w:cs="仿宋"/>
                <w:color w:val="000000"/>
                <w:szCs w:val="21"/>
              </w:rPr>
            </w:pPr>
            <w:r>
              <w:rPr>
                <w:rFonts w:hint="eastAsia" w:ascii="仿宋" w:hAnsi="仿宋" w:eastAsia="仿宋" w:cs="仿宋"/>
                <w:color w:val="000000"/>
                <w:szCs w:val="21"/>
              </w:rPr>
              <w:t>三</w:t>
            </w:r>
          </w:p>
        </w:tc>
        <w:tc>
          <w:tcPr>
            <w:tcW w:w="2948" w:type="dxa"/>
            <w:tcBorders>
              <w:left w:val="single" w:color="auto" w:sz="4" w:space="0"/>
            </w:tcBorders>
            <w:vAlign w:val="center"/>
          </w:tcPr>
          <w:p w14:paraId="5970D578">
            <w:pPr>
              <w:spacing w:line="276" w:lineRule="auto"/>
              <w:jc w:val="center"/>
              <w:rPr>
                <w:rFonts w:ascii="仿宋" w:hAnsi="仿宋" w:eastAsia="仿宋" w:cs="仿宋"/>
                <w:color w:val="000000"/>
                <w:szCs w:val="21"/>
              </w:rPr>
            </w:pPr>
            <w:r>
              <w:rPr>
                <w:rFonts w:hint="eastAsia" w:ascii="仿宋" w:hAnsi="仿宋" w:eastAsia="仿宋" w:cs="仿宋"/>
                <w:color w:val="000000"/>
                <w:szCs w:val="21"/>
              </w:rPr>
              <w:t>技术支持分</w:t>
            </w:r>
          </w:p>
        </w:tc>
        <w:tc>
          <w:tcPr>
            <w:tcW w:w="4274" w:type="dxa"/>
            <w:vAlign w:val="center"/>
          </w:tcPr>
          <w:p w14:paraId="5A340D99">
            <w:pPr>
              <w:spacing w:line="276" w:lineRule="auto"/>
              <w:jc w:val="center"/>
              <w:rPr>
                <w:rFonts w:ascii="仿宋" w:hAnsi="仿宋" w:eastAsia="仿宋" w:cs="仿宋"/>
                <w:color w:val="auto"/>
                <w:szCs w:val="21"/>
              </w:rPr>
            </w:pPr>
            <w:r>
              <w:rPr>
                <w:rFonts w:hint="eastAsia" w:ascii="仿宋" w:hAnsi="仿宋" w:eastAsia="仿宋" w:cs="仿宋"/>
                <w:color w:val="auto"/>
                <w:szCs w:val="21"/>
                <w:lang w:val="en-US" w:eastAsia="zh-CN"/>
              </w:rPr>
              <w:t>35</w:t>
            </w:r>
            <w:r>
              <w:rPr>
                <w:rFonts w:hint="eastAsia" w:ascii="仿宋" w:hAnsi="仿宋" w:eastAsia="仿宋" w:cs="仿宋"/>
                <w:color w:val="auto"/>
                <w:szCs w:val="21"/>
              </w:rPr>
              <w:t>分</w:t>
            </w:r>
          </w:p>
        </w:tc>
      </w:tr>
      <w:tr w14:paraId="39FA70BE">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jc w:val="center"/>
        </w:trPr>
        <w:tc>
          <w:tcPr>
            <w:tcW w:w="779" w:type="dxa"/>
            <w:tcBorders>
              <w:right w:val="single" w:color="auto" w:sz="4" w:space="0"/>
            </w:tcBorders>
            <w:vAlign w:val="center"/>
          </w:tcPr>
          <w:p w14:paraId="02B10C2B">
            <w:pPr>
              <w:spacing w:line="276" w:lineRule="auto"/>
              <w:jc w:val="center"/>
              <w:rPr>
                <w:rFonts w:ascii="仿宋" w:hAnsi="仿宋" w:eastAsia="仿宋" w:cs="仿宋"/>
                <w:color w:val="000000"/>
                <w:szCs w:val="21"/>
              </w:rPr>
            </w:pPr>
            <w:r>
              <w:rPr>
                <w:rFonts w:hint="eastAsia" w:ascii="仿宋" w:hAnsi="仿宋" w:eastAsia="仿宋" w:cs="仿宋"/>
                <w:color w:val="000000"/>
                <w:szCs w:val="21"/>
              </w:rPr>
              <w:t>四</w:t>
            </w:r>
          </w:p>
        </w:tc>
        <w:tc>
          <w:tcPr>
            <w:tcW w:w="2948" w:type="dxa"/>
            <w:tcBorders>
              <w:left w:val="single" w:color="auto" w:sz="4" w:space="0"/>
            </w:tcBorders>
            <w:vAlign w:val="center"/>
          </w:tcPr>
          <w:p w14:paraId="6889084A">
            <w:pPr>
              <w:spacing w:line="276" w:lineRule="auto"/>
              <w:jc w:val="center"/>
              <w:rPr>
                <w:rFonts w:ascii="仿宋" w:hAnsi="仿宋" w:eastAsia="仿宋" w:cs="仿宋"/>
                <w:color w:val="000000"/>
                <w:szCs w:val="21"/>
              </w:rPr>
            </w:pPr>
            <w:r>
              <w:rPr>
                <w:rFonts w:hint="eastAsia" w:ascii="仿宋" w:hAnsi="仿宋" w:eastAsia="仿宋" w:cs="仿宋"/>
                <w:color w:val="000000"/>
                <w:szCs w:val="21"/>
              </w:rPr>
              <w:t>商务分</w:t>
            </w:r>
          </w:p>
        </w:tc>
        <w:tc>
          <w:tcPr>
            <w:tcW w:w="4274" w:type="dxa"/>
            <w:vAlign w:val="center"/>
          </w:tcPr>
          <w:p w14:paraId="44888FEF">
            <w:pPr>
              <w:spacing w:line="276" w:lineRule="auto"/>
              <w:jc w:val="center"/>
              <w:rPr>
                <w:rFonts w:ascii="仿宋" w:hAnsi="仿宋" w:eastAsia="仿宋" w:cs="仿宋"/>
                <w:color w:val="auto"/>
                <w:szCs w:val="21"/>
              </w:rPr>
            </w:pPr>
            <w:r>
              <w:rPr>
                <w:rFonts w:hint="eastAsia" w:ascii="仿宋" w:hAnsi="仿宋" w:eastAsia="仿宋" w:cs="仿宋"/>
                <w:color w:val="auto"/>
                <w:szCs w:val="21"/>
              </w:rPr>
              <w:t>2</w:t>
            </w:r>
            <w:r>
              <w:rPr>
                <w:rFonts w:hint="eastAsia" w:ascii="仿宋" w:hAnsi="仿宋" w:eastAsia="仿宋" w:cs="仿宋"/>
                <w:color w:val="auto"/>
                <w:szCs w:val="21"/>
                <w:lang w:val="en-US" w:eastAsia="zh-CN"/>
              </w:rPr>
              <w:t>0</w:t>
            </w:r>
            <w:r>
              <w:rPr>
                <w:rFonts w:hint="eastAsia" w:ascii="仿宋" w:hAnsi="仿宋" w:eastAsia="仿宋" w:cs="仿宋"/>
                <w:color w:val="auto"/>
                <w:szCs w:val="21"/>
              </w:rPr>
              <w:t>分</w:t>
            </w:r>
          </w:p>
        </w:tc>
      </w:tr>
      <w:tr w14:paraId="3270DB9E">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jc w:val="center"/>
        </w:trPr>
        <w:tc>
          <w:tcPr>
            <w:tcW w:w="779" w:type="dxa"/>
            <w:tcBorders>
              <w:right w:val="single" w:color="auto" w:sz="4" w:space="0"/>
            </w:tcBorders>
            <w:vAlign w:val="center"/>
          </w:tcPr>
          <w:p w14:paraId="5E92FA3C">
            <w:pPr>
              <w:spacing w:line="276" w:lineRule="auto"/>
              <w:jc w:val="center"/>
              <w:rPr>
                <w:rFonts w:ascii="仿宋" w:hAnsi="仿宋" w:eastAsia="仿宋" w:cs="仿宋"/>
                <w:color w:val="000000"/>
                <w:szCs w:val="21"/>
              </w:rPr>
            </w:pPr>
            <w:r>
              <w:rPr>
                <w:rFonts w:hint="eastAsia" w:ascii="仿宋" w:hAnsi="仿宋" w:eastAsia="仿宋" w:cs="仿宋"/>
                <w:color w:val="000000"/>
                <w:szCs w:val="21"/>
              </w:rPr>
              <w:t>五</w:t>
            </w:r>
          </w:p>
        </w:tc>
        <w:tc>
          <w:tcPr>
            <w:tcW w:w="2948" w:type="dxa"/>
            <w:tcBorders>
              <w:left w:val="single" w:color="auto" w:sz="4" w:space="0"/>
            </w:tcBorders>
            <w:vAlign w:val="center"/>
          </w:tcPr>
          <w:p w14:paraId="093024C9">
            <w:pPr>
              <w:spacing w:line="276" w:lineRule="auto"/>
              <w:jc w:val="center"/>
              <w:rPr>
                <w:rFonts w:ascii="仿宋" w:hAnsi="仿宋" w:eastAsia="仿宋" w:cs="仿宋"/>
                <w:color w:val="000000"/>
                <w:szCs w:val="21"/>
              </w:rPr>
            </w:pPr>
            <w:r>
              <w:rPr>
                <w:rFonts w:hint="eastAsia" w:ascii="仿宋" w:hAnsi="仿宋" w:eastAsia="仿宋" w:cs="仿宋"/>
                <w:color w:val="000000"/>
                <w:szCs w:val="21"/>
              </w:rPr>
              <w:t>合计</w:t>
            </w:r>
          </w:p>
        </w:tc>
        <w:tc>
          <w:tcPr>
            <w:tcW w:w="4274" w:type="dxa"/>
            <w:vAlign w:val="center"/>
          </w:tcPr>
          <w:p w14:paraId="44CB6D70">
            <w:pPr>
              <w:spacing w:line="276" w:lineRule="auto"/>
              <w:jc w:val="center"/>
              <w:rPr>
                <w:rFonts w:ascii="仿宋" w:hAnsi="仿宋" w:eastAsia="仿宋" w:cs="仿宋"/>
                <w:color w:val="000000"/>
                <w:szCs w:val="21"/>
              </w:rPr>
            </w:pPr>
            <w:r>
              <w:rPr>
                <w:rFonts w:hint="eastAsia" w:ascii="仿宋" w:hAnsi="仿宋" w:eastAsia="仿宋" w:cs="仿宋"/>
                <w:color w:val="000000"/>
                <w:szCs w:val="21"/>
              </w:rPr>
              <w:t>100分</w:t>
            </w:r>
          </w:p>
        </w:tc>
      </w:tr>
    </w:tbl>
    <w:p w14:paraId="4CCBD3C4">
      <w:pPr>
        <w:pStyle w:val="60"/>
        <w:spacing w:line="360" w:lineRule="auto"/>
        <w:ind w:firstLine="0" w:firstLineChars="0"/>
        <w:rPr>
          <w:rFonts w:ascii="仿宋" w:hAnsi="仿宋" w:eastAsia="仿宋" w:cs="仿宋"/>
          <w:color w:val="000000"/>
          <w:sz w:val="28"/>
          <w:szCs w:val="28"/>
        </w:rPr>
      </w:pPr>
      <w:r>
        <w:rPr>
          <w:rFonts w:hint="eastAsia" w:ascii="仿宋" w:hAnsi="仿宋" w:eastAsia="仿宋" w:cs="仿宋"/>
          <w:color w:val="000000"/>
          <w:sz w:val="28"/>
          <w:szCs w:val="28"/>
        </w:rPr>
        <w:t>3、评分细则表</w:t>
      </w:r>
    </w:p>
    <w:tbl>
      <w:tblPr>
        <w:tblStyle w:val="28"/>
        <w:tblW w:w="9336" w:type="dxa"/>
        <w:jc w:val="center"/>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57" w:type="dxa"/>
          <w:left w:w="108" w:type="dxa"/>
          <w:bottom w:w="57" w:type="dxa"/>
          <w:right w:w="108" w:type="dxa"/>
        </w:tblCellMar>
      </w:tblPr>
      <w:tblGrid>
        <w:gridCol w:w="799"/>
        <w:gridCol w:w="37"/>
        <w:gridCol w:w="1239"/>
        <w:gridCol w:w="37"/>
        <w:gridCol w:w="6520"/>
        <w:gridCol w:w="704"/>
      </w:tblGrid>
      <w:tr w14:paraId="7895B082">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57" w:type="dxa"/>
            <w:left w:w="108" w:type="dxa"/>
            <w:bottom w:w="57" w:type="dxa"/>
            <w:right w:w="108" w:type="dxa"/>
          </w:tblCellMar>
        </w:tblPrEx>
        <w:trPr>
          <w:trHeight w:val="238" w:hRule="atLeast"/>
          <w:jc w:val="center"/>
        </w:trPr>
        <w:tc>
          <w:tcPr>
            <w:tcW w:w="836" w:type="dxa"/>
            <w:gridSpan w:val="2"/>
            <w:vAlign w:val="center"/>
          </w:tcPr>
          <w:p w14:paraId="2BD91D9D">
            <w:pPr>
              <w:tabs>
                <w:tab w:val="center" w:pos="4153"/>
                <w:tab w:val="right" w:pos="8306"/>
              </w:tabs>
              <w:autoSpaceDE w:val="0"/>
              <w:autoSpaceDN w:val="0"/>
              <w:adjustRightInd w:val="0"/>
              <w:snapToGrid w:val="0"/>
              <w:spacing w:line="240" w:lineRule="atLeast"/>
              <w:jc w:val="center"/>
              <w:rPr>
                <w:rFonts w:ascii="仿宋" w:hAnsi="仿宋" w:eastAsia="仿宋" w:cs="仿宋"/>
                <w:b/>
                <w:color w:val="000000"/>
                <w:szCs w:val="21"/>
              </w:rPr>
            </w:pPr>
            <w:r>
              <w:rPr>
                <w:rFonts w:hint="eastAsia" w:ascii="仿宋" w:hAnsi="仿宋" w:eastAsia="仿宋" w:cs="仿宋"/>
                <w:b/>
                <w:color w:val="000000"/>
                <w:szCs w:val="21"/>
              </w:rPr>
              <w:t>序号</w:t>
            </w:r>
          </w:p>
        </w:tc>
        <w:tc>
          <w:tcPr>
            <w:tcW w:w="1276" w:type="dxa"/>
            <w:gridSpan w:val="2"/>
            <w:vAlign w:val="center"/>
          </w:tcPr>
          <w:p w14:paraId="338D3BEC">
            <w:pPr>
              <w:tabs>
                <w:tab w:val="center" w:pos="4153"/>
                <w:tab w:val="right" w:pos="8306"/>
              </w:tabs>
              <w:autoSpaceDE w:val="0"/>
              <w:autoSpaceDN w:val="0"/>
              <w:adjustRightInd w:val="0"/>
              <w:snapToGrid w:val="0"/>
              <w:spacing w:line="240" w:lineRule="atLeast"/>
              <w:jc w:val="center"/>
              <w:rPr>
                <w:rFonts w:ascii="仿宋" w:hAnsi="仿宋" w:eastAsia="仿宋" w:cs="仿宋"/>
                <w:b/>
                <w:color w:val="000000"/>
                <w:szCs w:val="21"/>
              </w:rPr>
            </w:pPr>
            <w:r>
              <w:rPr>
                <w:rFonts w:hint="eastAsia" w:ascii="仿宋" w:hAnsi="仿宋" w:eastAsia="仿宋" w:cs="仿宋"/>
                <w:b/>
                <w:color w:val="000000"/>
                <w:szCs w:val="21"/>
              </w:rPr>
              <w:t>评审内容</w:t>
            </w:r>
          </w:p>
        </w:tc>
        <w:tc>
          <w:tcPr>
            <w:tcW w:w="6520" w:type="dxa"/>
            <w:vAlign w:val="center"/>
          </w:tcPr>
          <w:p w14:paraId="1F62BBBC">
            <w:pPr>
              <w:tabs>
                <w:tab w:val="center" w:pos="4153"/>
                <w:tab w:val="right" w:pos="8306"/>
              </w:tabs>
              <w:autoSpaceDE w:val="0"/>
              <w:autoSpaceDN w:val="0"/>
              <w:adjustRightInd w:val="0"/>
              <w:snapToGrid w:val="0"/>
              <w:spacing w:line="240" w:lineRule="atLeast"/>
              <w:ind w:firstLine="482"/>
              <w:jc w:val="center"/>
              <w:rPr>
                <w:rFonts w:ascii="仿宋" w:hAnsi="仿宋" w:eastAsia="仿宋" w:cs="仿宋"/>
                <w:b/>
                <w:color w:val="000000"/>
                <w:szCs w:val="21"/>
              </w:rPr>
            </w:pPr>
            <w:r>
              <w:rPr>
                <w:rFonts w:hint="eastAsia" w:ascii="仿宋" w:hAnsi="仿宋" w:eastAsia="仿宋" w:cs="仿宋"/>
                <w:b/>
                <w:color w:val="000000"/>
                <w:szCs w:val="21"/>
              </w:rPr>
              <w:t>评审标准</w:t>
            </w:r>
          </w:p>
        </w:tc>
        <w:tc>
          <w:tcPr>
            <w:tcW w:w="704" w:type="dxa"/>
            <w:vAlign w:val="center"/>
          </w:tcPr>
          <w:p w14:paraId="10F867A3">
            <w:pPr>
              <w:tabs>
                <w:tab w:val="center" w:pos="4153"/>
                <w:tab w:val="right" w:pos="8306"/>
              </w:tabs>
              <w:autoSpaceDE w:val="0"/>
              <w:autoSpaceDN w:val="0"/>
              <w:adjustRightInd w:val="0"/>
              <w:snapToGrid w:val="0"/>
              <w:spacing w:line="240" w:lineRule="atLeast"/>
              <w:jc w:val="center"/>
              <w:rPr>
                <w:rFonts w:ascii="仿宋" w:hAnsi="仿宋" w:eastAsia="仿宋" w:cs="仿宋"/>
                <w:b/>
                <w:color w:val="000000"/>
                <w:szCs w:val="21"/>
              </w:rPr>
            </w:pPr>
            <w:r>
              <w:rPr>
                <w:rFonts w:hint="eastAsia" w:ascii="仿宋" w:hAnsi="仿宋" w:eastAsia="仿宋" w:cs="仿宋"/>
                <w:b/>
                <w:color w:val="000000"/>
                <w:szCs w:val="21"/>
              </w:rPr>
              <w:t>得分</w:t>
            </w:r>
          </w:p>
        </w:tc>
      </w:tr>
      <w:tr w14:paraId="5B40AEDC">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57" w:type="dxa"/>
            <w:left w:w="108" w:type="dxa"/>
            <w:bottom w:w="57" w:type="dxa"/>
            <w:right w:w="108" w:type="dxa"/>
          </w:tblCellMar>
        </w:tblPrEx>
        <w:trPr>
          <w:jc w:val="center"/>
        </w:trPr>
        <w:tc>
          <w:tcPr>
            <w:tcW w:w="9336" w:type="dxa"/>
            <w:gridSpan w:val="6"/>
            <w:vAlign w:val="center"/>
          </w:tcPr>
          <w:p w14:paraId="64A3EC20">
            <w:pPr>
              <w:tabs>
                <w:tab w:val="center" w:pos="4153"/>
                <w:tab w:val="right" w:pos="8306"/>
              </w:tabs>
              <w:autoSpaceDE w:val="0"/>
              <w:autoSpaceDN w:val="0"/>
              <w:adjustRightInd w:val="0"/>
              <w:snapToGrid w:val="0"/>
              <w:spacing w:line="240" w:lineRule="atLeast"/>
              <w:ind w:firstLine="482"/>
              <w:jc w:val="center"/>
              <w:rPr>
                <w:rFonts w:ascii="仿宋" w:hAnsi="仿宋" w:eastAsia="仿宋" w:cs="仿宋"/>
                <w:b/>
                <w:color w:val="000000"/>
                <w:szCs w:val="21"/>
              </w:rPr>
            </w:pPr>
            <w:r>
              <w:rPr>
                <w:rFonts w:hint="eastAsia" w:ascii="仿宋" w:hAnsi="仿宋" w:eastAsia="仿宋" w:cs="仿宋"/>
                <w:b/>
                <w:color w:val="000000"/>
                <w:szCs w:val="21"/>
              </w:rPr>
              <w:t>一、价格部分（</w:t>
            </w:r>
            <w:r>
              <w:rPr>
                <w:rFonts w:hint="eastAsia" w:ascii="仿宋" w:hAnsi="仿宋" w:eastAsia="仿宋" w:cs="仿宋"/>
                <w:b/>
                <w:color w:val="000000"/>
                <w:szCs w:val="21"/>
                <w:lang w:val="en-US" w:eastAsia="zh-CN"/>
              </w:rPr>
              <w:t>2</w:t>
            </w:r>
            <w:r>
              <w:rPr>
                <w:rFonts w:hint="eastAsia" w:ascii="仿宋" w:hAnsi="仿宋" w:eastAsia="仿宋" w:cs="仿宋"/>
                <w:b/>
                <w:color w:val="000000"/>
                <w:szCs w:val="21"/>
              </w:rPr>
              <w:t>0分）</w:t>
            </w:r>
          </w:p>
        </w:tc>
      </w:tr>
      <w:tr w14:paraId="2BC1676D">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57" w:type="dxa"/>
            <w:left w:w="108" w:type="dxa"/>
            <w:bottom w:w="57" w:type="dxa"/>
            <w:right w:w="108" w:type="dxa"/>
          </w:tblCellMar>
        </w:tblPrEx>
        <w:trPr>
          <w:trHeight w:val="354" w:hRule="atLeast"/>
          <w:jc w:val="center"/>
        </w:trPr>
        <w:tc>
          <w:tcPr>
            <w:tcW w:w="836" w:type="dxa"/>
            <w:gridSpan w:val="2"/>
            <w:vAlign w:val="center"/>
          </w:tcPr>
          <w:p w14:paraId="31B57AAE">
            <w:pPr>
              <w:spacing w:line="240" w:lineRule="atLeast"/>
              <w:ind w:firstLine="8" w:firstLineChars="4"/>
              <w:jc w:val="center"/>
              <w:rPr>
                <w:rFonts w:ascii="仿宋" w:hAnsi="仿宋" w:eastAsia="仿宋" w:cs="仿宋"/>
                <w:b/>
                <w:bCs/>
                <w:szCs w:val="21"/>
              </w:rPr>
            </w:pPr>
            <w:r>
              <w:rPr>
                <w:rFonts w:hint="eastAsia" w:ascii="仿宋" w:hAnsi="仿宋" w:eastAsia="仿宋" w:cs="仿宋"/>
                <w:b/>
                <w:bCs/>
                <w:szCs w:val="21"/>
              </w:rPr>
              <w:t>1</w:t>
            </w:r>
          </w:p>
        </w:tc>
        <w:tc>
          <w:tcPr>
            <w:tcW w:w="1276" w:type="dxa"/>
            <w:gridSpan w:val="2"/>
            <w:vAlign w:val="center"/>
          </w:tcPr>
          <w:p w14:paraId="268EC81B">
            <w:pPr>
              <w:keepNext w:val="0"/>
              <w:keepLines w:val="0"/>
              <w:pageBreakBefore w:val="0"/>
              <w:widowControl w:val="0"/>
              <w:kinsoku/>
              <w:wordWrap/>
              <w:overflowPunct/>
              <w:topLinePunct w:val="0"/>
              <w:bidi w:val="0"/>
              <w:spacing w:line="280" w:lineRule="exact"/>
              <w:ind w:firstLine="8" w:firstLineChars="4"/>
              <w:jc w:val="center"/>
              <w:textAlignment w:val="auto"/>
              <w:rPr>
                <w:rFonts w:ascii="仿宋" w:hAnsi="仿宋" w:eastAsia="仿宋" w:cs="仿宋"/>
                <w:b/>
                <w:bCs/>
                <w:kern w:val="0"/>
                <w:szCs w:val="21"/>
              </w:rPr>
            </w:pPr>
            <w:r>
              <w:rPr>
                <w:rFonts w:hint="eastAsia" w:ascii="仿宋" w:hAnsi="仿宋" w:eastAsia="仿宋" w:cs="仿宋"/>
                <w:b/>
                <w:bCs/>
                <w:kern w:val="0"/>
                <w:szCs w:val="21"/>
              </w:rPr>
              <w:t>投标报价</w:t>
            </w:r>
          </w:p>
          <w:p w14:paraId="1EB91575">
            <w:pPr>
              <w:keepNext w:val="0"/>
              <w:keepLines w:val="0"/>
              <w:pageBreakBefore w:val="0"/>
              <w:widowControl w:val="0"/>
              <w:kinsoku/>
              <w:wordWrap/>
              <w:overflowPunct/>
              <w:topLinePunct w:val="0"/>
              <w:bidi w:val="0"/>
              <w:spacing w:line="280" w:lineRule="exact"/>
              <w:ind w:firstLine="8" w:firstLineChars="4"/>
              <w:jc w:val="center"/>
              <w:textAlignment w:val="auto"/>
              <w:rPr>
                <w:rFonts w:ascii="仿宋" w:hAnsi="仿宋" w:eastAsia="仿宋" w:cs="仿宋"/>
              </w:rPr>
            </w:pPr>
            <w:r>
              <w:rPr>
                <w:rFonts w:hint="eastAsia" w:ascii="仿宋" w:hAnsi="仿宋" w:eastAsia="仿宋" w:cs="仿宋"/>
                <w:b/>
                <w:bCs/>
                <w:kern w:val="0"/>
                <w:szCs w:val="21"/>
              </w:rPr>
              <w:t>（</w:t>
            </w:r>
            <w:r>
              <w:rPr>
                <w:rFonts w:hint="eastAsia" w:ascii="仿宋" w:hAnsi="仿宋" w:eastAsia="仿宋" w:cs="仿宋"/>
                <w:b/>
                <w:bCs/>
                <w:kern w:val="0"/>
                <w:szCs w:val="21"/>
                <w:lang w:val="en-US" w:eastAsia="zh-CN"/>
              </w:rPr>
              <w:t>2</w:t>
            </w:r>
            <w:r>
              <w:rPr>
                <w:rFonts w:hint="eastAsia" w:ascii="仿宋" w:hAnsi="仿宋" w:eastAsia="仿宋" w:cs="仿宋"/>
                <w:b/>
                <w:bCs/>
                <w:kern w:val="0"/>
                <w:szCs w:val="21"/>
              </w:rPr>
              <w:t>0分）</w:t>
            </w:r>
          </w:p>
        </w:tc>
        <w:tc>
          <w:tcPr>
            <w:tcW w:w="6520" w:type="dxa"/>
            <w:vAlign w:val="center"/>
          </w:tcPr>
          <w:p w14:paraId="6DC2110B">
            <w:pPr>
              <w:keepNext w:val="0"/>
              <w:keepLines w:val="0"/>
              <w:pageBreakBefore w:val="0"/>
              <w:widowControl w:val="0"/>
              <w:kinsoku/>
              <w:wordWrap/>
              <w:overflowPunct/>
              <w:topLinePunct w:val="0"/>
              <w:bidi w:val="0"/>
              <w:spacing w:line="280" w:lineRule="exact"/>
              <w:jc w:val="left"/>
              <w:textAlignment w:val="auto"/>
              <w:rPr>
                <w:rFonts w:ascii="仿宋" w:hAnsi="仿宋" w:eastAsia="仿宋" w:cs="仿宋"/>
                <w:color w:val="000000"/>
                <w:szCs w:val="21"/>
              </w:rPr>
            </w:pPr>
            <w:r>
              <w:rPr>
                <w:rFonts w:hint="eastAsia" w:ascii="仿宋" w:hAnsi="仿宋" w:eastAsia="仿宋" w:cs="仿宋"/>
                <w:color w:val="000000"/>
                <w:szCs w:val="21"/>
              </w:rPr>
              <w:t>投标报价得分=（全部供应商中的最低报价/某供应商投标报价）×</w:t>
            </w:r>
            <w:r>
              <w:rPr>
                <w:rFonts w:hint="eastAsia" w:ascii="仿宋" w:hAnsi="仿宋" w:eastAsia="仿宋" w:cs="仿宋"/>
                <w:color w:val="000000"/>
                <w:szCs w:val="21"/>
                <w:lang w:val="en-US" w:eastAsia="zh-CN"/>
              </w:rPr>
              <w:t>2</w:t>
            </w:r>
            <w:r>
              <w:rPr>
                <w:rFonts w:hint="eastAsia" w:ascii="仿宋" w:hAnsi="仿宋" w:eastAsia="仿宋" w:cs="仿宋"/>
                <w:color w:val="000000"/>
                <w:szCs w:val="21"/>
              </w:rPr>
              <w:t>0</w:t>
            </w:r>
          </w:p>
          <w:p w14:paraId="1CC7BDE7">
            <w:pPr>
              <w:keepNext w:val="0"/>
              <w:keepLines w:val="0"/>
              <w:pageBreakBefore w:val="0"/>
              <w:widowControl w:val="0"/>
              <w:kinsoku/>
              <w:wordWrap/>
              <w:overflowPunct/>
              <w:topLinePunct w:val="0"/>
              <w:bidi w:val="0"/>
              <w:spacing w:line="280" w:lineRule="exact"/>
              <w:jc w:val="left"/>
              <w:textAlignment w:val="auto"/>
              <w:rPr>
                <w:rFonts w:ascii="仿宋" w:hAnsi="仿宋" w:eastAsia="仿宋" w:cs="仿宋"/>
                <w:bCs/>
                <w:szCs w:val="21"/>
              </w:rPr>
            </w:pPr>
            <w:r>
              <w:rPr>
                <w:rFonts w:hint="eastAsia" w:ascii="仿宋" w:hAnsi="仿宋" w:eastAsia="仿宋" w:cs="仿宋"/>
                <w:bCs/>
                <w:szCs w:val="21"/>
              </w:rPr>
              <w:t>1、根据《政府采购促进中小企业发展管理办法》（财库﹝2020﹞46 号）第九条要求，对小型和微型企业报价给予6%的扣除，用扣除后的投标报价参与评审。</w:t>
            </w:r>
          </w:p>
          <w:p w14:paraId="40731143">
            <w:pPr>
              <w:keepNext w:val="0"/>
              <w:keepLines w:val="0"/>
              <w:pageBreakBefore w:val="0"/>
              <w:widowControl w:val="0"/>
              <w:kinsoku/>
              <w:wordWrap/>
              <w:overflowPunct/>
              <w:topLinePunct w:val="0"/>
              <w:bidi w:val="0"/>
              <w:spacing w:line="280" w:lineRule="exact"/>
              <w:jc w:val="left"/>
              <w:textAlignment w:val="auto"/>
              <w:rPr>
                <w:rFonts w:ascii="仿宋" w:hAnsi="仿宋" w:eastAsia="仿宋" w:cs="仿宋"/>
                <w:bCs/>
                <w:szCs w:val="21"/>
              </w:rPr>
            </w:pPr>
            <w:r>
              <w:rPr>
                <w:rFonts w:hint="eastAsia" w:ascii="仿宋" w:hAnsi="仿宋" w:eastAsia="仿宋" w:cs="仿宋"/>
                <w:bCs/>
                <w:szCs w:val="21"/>
              </w:rPr>
              <w:t>2、根据《关于政府采购支持监狱企业发展有关问题的通知》（财库</w:t>
            </w:r>
            <w:r>
              <w:rPr>
                <w:rFonts w:hint="eastAsia" w:ascii="仿宋" w:hAnsi="仿宋" w:eastAsia="仿宋" w:cs="仿宋"/>
                <w:bCs/>
                <w:szCs w:val="21"/>
                <w:lang w:eastAsia="zh-CN"/>
              </w:rPr>
              <w:t>〔2014〕68号</w:t>
            </w:r>
            <w:r>
              <w:rPr>
                <w:rFonts w:hint="eastAsia" w:ascii="仿宋" w:hAnsi="仿宋" w:eastAsia="仿宋" w:cs="仿宋"/>
                <w:bCs/>
                <w:szCs w:val="21"/>
              </w:rPr>
              <w:t>）的要求，监狱和戒毒企业（以下简称监狱企业）视同小型、微型企业。须提供由省级以上监狱管理局、戒毒管理局（含新疆生产建设兵团）出具的属于监狱企业的证明文件。</w:t>
            </w:r>
          </w:p>
          <w:p w14:paraId="4B225A77">
            <w:pPr>
              <w:keepNext w:val="0"/>
              <w:keepLines w:val="0"/>
              <w:pageBreakBefore w:val="0"/>
              <w:widowControl w:val="0"/>
              <w:kinsoku/>
              <w:wordWrap/>
              <w:overflowPunct/>
              <w:topLinePunct w:val="0"/>
              <w:bidi w:val="0"/>
              <w:spacing w:line="280" w:lineRule="exact"/>
              <w:ind w:firstLine="8" w:firstLineChars="4"/>
              <w:textAlignment w:val="auto"/>
              <w:rPr>
                <w:rFonts w:ascii="仿宋" w:hAnsi="仿宋" w:eastAsia="仿宋" w:cs="仿宋"/>
                <w:bCs/>
                <w:szCs w:val="21"/>
              </w:rPr>
            </w:pPr>
            <w:r>
              <w:rPr>
                <w:rFonts w:hint="eastAsia" w:ascii="仿宋" w:hAnsi="仿宋" w:eastAsia="仿宋" w:cs="仿宋"/>
                <w:bCs/>
                <w:szCs w:val="21"/>
              </w:rPr>
              <w:t>3、根据《三部门联合发布关于促进残疾人就业政府采购政策的通知》（财库</w:t>
            </w:r>
            <w:r>
              <w:rPr>
                <w:rFonts w:hint="eastAsia" w:ascii="仿宋" w:hAnsi="仿宋" w:eastAsia="仿宋" w:cs="仿宋"/>
                <w:bCs/>
                <w:szCs w:val="21"/>
                <w:lang w:eastAsia="zh-CN"/>
              </w:rPr>
              <w:t>〔2017〕141号</w:t>
            </w:r>
            <w:r>
              <w:rPr>
                <w:rFonts w:hint="eastAsia" w:ascii="仿宋" w:hAnsi="仿宋" w:eastAsia="仿宋" w:cs="仿宋"/>
                <w:bCs/>
                <w:szCs w:val="21"/>
              </w:rPr>
              <w:t>），残疾人福利性单位视同小型、微型企业，须提供《残疾人福利性单位声明函》，未提供声明函者不予认定。</w:t>
            </w:r>
          </w:p>
        </w:tc>
        <w:tc>
          <w:tcPr>
            <w:tcW w:w="704" w:type="dxa"/>
            <w:vAlign w:val="center"/>
          </w:tcPr>
          <w:p w14:paraId="6D03C416">
            <w:pPr>
              <w:tabs>
                <w:tab w:val="center" w:pos="4153"/>
                <w:tab w:val="right" w:pos="8306"/>
              </w:tabs>
              <w:snapToGrid w:val="0"/>
              <w:spacing w:line="240" w:lineRule="atLeast"/>
              <w:jc w:val="center"/>
              <w:rPr>
                <w:rFonts w:ascii="仿宋" w:hAnsi="仿宋" w:eastAsia="仿宋" w:cs="仿宋"/>
                <w:color w:val="000000"/>
                <w:szCs w:val="21"/>
              </w:rPr>
            </w:pPr>
          </w:p>
        </w:tc>
      </w:tr>
      <w:tr w14:paraId="1371501B">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57" w:type="dxa"/>
            <w:left w:w="108" w:type="dxa"/>
            <w:bottom w:w="57" w:type="dxa"/>
            <w:right w:w="108" w:type="dxa"/>
          </w:tblCellMar>
        </w:tblPrEx>
        <w:trPr>
          <w:trHeight w:val="351" w:hRule="atLeast"/>
          <w:jc w:val="center"/>
        </w:trPr>
        <w:tc>
          <w:tcPr>
            <w:tcW w:w="9336" w:type="dxa"/>
            <w:gridSpan w:val="6"/>
            <w:vAlign w:val="center"/>
          </w:tcPr>
          <w:p w14:paraId="61AA5A75">
            <w:pPr>
              <w:keepNext w:val="0"/>
              <w:keepLines w:val="0"/>
              <w:pageBreakBefore w:val="0"/>
              <w:widowControl w:val="0"/>
              <w:tabs>
                <w:tab w:val="center" w:pos="4153"/>
                <w:tab w:val="right" w:pos="8306"/>
              </w:tabs>
              <w:kinsoku/>
              <w:wordWrap/>
              <w:overflowPunct/>
              <w:topLinePunct w:val="0"/>
              <w:autoSpaceDE w:val="0"/>
              <w:autoSpaceDN w:val="0"/>
              <w:bidi w:val="0"/>
              <w:adjustRightInd w:val="0"/>
              <w:snapToGrid w:val="0"/>
              <w:spacing w:line="280" w:lineRule="exact"/>
              <w:ind w:firstLine="482"/>
              <w:jc w:val="center"/>
              <w:textAlignment w:val="auto"/>
              <w:rPr>
                <w:rFonts w:ascii="仿宋" w:hAnsi="仿宋" w:eastAsia="仿宋" w:cs="仿宋"/>
                <w:b/>
                <w:bCs/>
                <w:color w:val="000000"/>
                <w:szCs w:val="21"/>
              </w:rPr>
            </w:pPr>
            <w:r>
              <w:rPr>
                <w:rFonts w:hint="eastAsia" w:ascii="仿宋" w:hAnsi="仿宋" w:eastAsia="仿宋" w:cs="仿宋"/>
                <w:b/>
                <w:bCs/>
                <w:color w:val="000000"/>
                <w:szCs w:val="21"/>
              </w:rPr>
              <w:t>二、技术部分（2</w:t>
            </w:r>
            <w:r>
              <w:rPr>
                <w:rFonts w:hint="eastAsia" w:ascii="仿宋" w:hAnsi="仿宋" w:eastAsia="仿宋" w:cs="仿宋"/>
                <w:b/>
                <w:bCs/>
                <w:color w:val="000000"/>
                <w:szCs w:val="21"/>
                <w:lang w:val="en-US" w:eastAsia="zh-CN"/>
              </w:rPr>
              <w:t>5</w:t>
            </w:r>
            <w:r>
              <w:rPr>
                <w:rFonts w:hint="eastAsia" w:ascii="仿宋" w:hAnsi="仿宋" w:eastAsia="仿宋" w:cs="仿宋"/>
                <w:b/>
                <w:bCs/>
                <w:color w:val="000000"/>
                <w:szCs w:val="21"/>
              </w:rPr>
              <w:t>分）</w:t>
            </w:r>
          </w:p>
        </w:tc>
      </w:tr>
      <w:tr w14:paraId="41216496">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57" w:type="dxa"/>
            <w:left w:w="108" w:type="dxa"/>
            <w:bottom w:w="57" w:type="dxa"/>
            <w:right w:w="108" w:type="dxa"/>
          </w:tblCellMar>
        </w:tblPrEx>
        <w:trPr>
          <w:trHeight w:val="504" w:hRule="atLeast"/>
          <w:jc w:val="center"/>
        </w:trPr>
        <w:tc>
          <w:tcPr>
            <w:tcW w:w="836" w:type="dxa"/>
            <w:gridSpan w:val="2"/>
            <w:vAlign w:val="center"/>
          </w:tcPr>
          <w:p w14:paraId="41B43C2F">
            <w:pPr>
              <w:spacing w:line="240" w:lineRule="atLeast"/>
              <w:ind w:firstLine="8" w:firstLineChars="4"/>
              <w:jc w:val="center"/>
              <w:rPr>
                <w:rFonts w:ascii="仿宋" w:hAnsi="仿宋" w:eastAsia="仿宋" w:cs="仿宋"/>
                <w:b/>
                <w:bCs/>
                <w:szCs w:val="21"/>
              </w:rPr>
            </w:pPr>
            <w:r>
              <w:rPr>
                <w:rFonts w:hint="eastAsia" w:ascii="仿宋" w:hAnsi="仿宋" w:eastAsia="仿宋" w:cs="仿宋"/>
                <w:b/>
                <w:bCs/>
                <w:szCs w:val="21"/>
              </w:rPr>
              <w:t>1</w:t>
            </w:r>
          </w:p>
        </w:tc>
        <w:tc>
          <w:tcPr>
            <w:tcW w:w="1276" w:type="dxa"/>
            <w:gridSpan w:val="2"/>
            <w:vAlign w:val="center"/>
          </w:tcPr>
          <w:p w14:paraId="38C12028">
            <w:pPr>
              <w:keepNext w:val="0"/>
              <w:keepLines w:val="0"/>
              <w:pageBreakBefore w:val="0"/>
              <w:widowControl w:val="0"/>
              <w:kinsoku/>
              <w:wordWrap/>
              <w:overflowPunct/>
              <w:topLinePunct w:val="0"/>
              <w:bidi w:val="0"/>
              <w:spacing w:line="280" w:lineRule="exact"/>
              <w:ind w:firstLine="8" w:firstLineChars="4"/>
              <w:jc w:val="center"/>
              <w:textAlignment w:val="auto"/>
              <w:rPr>
                <w:rFonts w:ascii="仿宋" w:hAnsi="仿宋" w:eastAsia="仿宋" w:cs="仿宋"/>
                <w:b/>
                <w:bCs/>
                <w:kern w:val="0"/>
                <w:szCs w:val="21"/>
              </w:rPr>
            </w:pPr>
            <w:r>
              <w:rPr>
                <w:rFonts w:hint="eastAsia" w:ascii="仿宋" w:hAnsi="仿宋" w:eastAsia="仿宋" w:cs="仿宋"/>
                <w:b/>
                <w:bCs/>
                <w:kern w:val="0"/>
                <w:szCs w:val="21"/>
              </w:rPr>
              <w:t>服务工作方案分（</w:t>
            </w:r>
            <w:r>
              <w:rPr>
                <w:rFonts w:hint="eastAsia" w:ascii="仿宋" w:hAnsi="仿宋" w:eastAsia="仿宋" w:cs="仿宋"/>
                <w:b/>
                <w:bCs/>
                <w:kern w:val="0"/>
                <w:szCs w:val="21"/>
                <w:lang w:val="en-US" w:eastAsia="zh-CN"/>
              </w:rPr>
              <w:t>25</w:t>
            </w:r>
            <w:r>
              <w:rPr>
                <w:rFonts w:hint="eastAsia" w:ascii="仿宋" w:hAnsi="仿宋" w:eastAsia="仿宋" w:cs="仿宋"/>
                <w:b/>
                <w:bCs/>
                <w:kern w:val="0"/>
                <w:szCs w:val="21"/>
              </w:rPr>
              <w:t>分）</w:t>
            </w:r>
          </w:p>
          <w:p w14:paraId="77AD9273">
            <w:pPr>
              <w:keepNext w:val="0"/>
              <w:keepLines w:val="0"/>
              <w:pageBreakBefore w:val="0"/>
              <w:widowControl w:val="0"/>
              <w:kinsoku/>
              <w:wordWrap/>
              <w:overflowPunct/>
              <w:topLinePunct w:val="0"/>
              <w:bidi w:val="0"/>
              <w:spacing w:line="280" w:lineRule="exact"/>
              <w:ind w:firstLine="8" w:firstLineChars="4"/>
              <w:jc w:val="center"/>
              <w:textAlignment w:val="auto"/>
              <w:rPr>
                <w:rFonts w:ascii="仿宋" w:hAnsi="仿宋" w:eastAsia="仿宋" w:cs="仿宋"/>
                <w:b/>
                <w:bCs/>
                <w:szCs w:val="21"/>
              </w:rPr>
            </w:pPr>
          </w:p>
        </w:tc>
        <w:tc>
          <w:tcPr>
            <w:tcW w:w="6520" w:type="dxa"/>
            <w:vAlign w:val="center"/>
          </w:tcPr>
          <w:p w14:paraId="4C4C6FC6">
            <w:pPr>
              <w:pStyle w:val="27"/>
              <w:keepNext w:val="0"/>
              <w:keepLines w:val="0"/>
              <w:pageBreakBefore w:val="0"/>
              <w:widowControl w:val="0"/>
              <w:kinsoku/>
              <w:wordWrap/>
              <w:overflowPunct/>
              <w:topLinePunct w:val="0"/>
              <w:bidi w:val="0"/>
              <w:spacing w:after="0" w:line="280" w:lineRule="exact"/>
              <w:ind w:left="0" w:leftChars="0"/>
              <w:textAlignment w:val="auto"/>
              <w:rPr>
                <w:rFonts w:ascii="仿宋" w:hAnsi="仿宋" w:eastAsia="仿宋" w:cs="仿宋"/>
              </w:rPr>
            </w:pPr>
            <w:r>
              <w:rPr>
                <w:rFonts w:hint="eastAsia" w:ascii="仿宋" w:hAnsi="仿宋" w:eastAsia="仿宋" w:cs="仿宋"/>
              </w:rPr>
              <w:t>由评委在打分前根据</w:t>
            </w:r>
            <w:r>
              <w:rPr>
                <w:rFonts w:hint="eastAsia" w:ascii="仿宋" w:hAnsi="仿宋" w:eastAsia="仿宋" w:cs="仿宋"/>
                <w:lang w:eastAsia="zh-CN"/>
              </w:rPr>
              <w:t>采购</w:t>
            </w:r>
            <w:r>
              <w:rPr>
                <w:rFonts w:hint="eastAsia" w:ascii="仿宋" w:hAnsi="仿宋" w:eastAsia="仿宋" w:cs="仿宋"/>
              </w:rPr>
              <w:t>文件要求，对比各投标人投标文件中针对本项目（包括但不限于：项目背景、需求内容、目标等）所提供的服务区域工作方案及措施内容，集体讨论确定投标人“一档、二档、三档、四档”各所属档次并形成书面材料。</w:t>
            </w:r>
          </w:p>
          <w:p w14:paraId="66B5A628">
            <w:pPr>
              <w:pStyle w:val="18"/>
              <w:keepNext w:val="0"/>
              <w:keepLines w:val="0"/>
              <w:pageBreakBefore w:val="0"/>
              <w:widowControl w:val="0"/>
              <w:kinsoku/>
              <w:wordWrap/>
              <w:overflowPunct/>
              <w:topLinePunct w:val="0"/>
              <w:bidi w:val="0"/>
              <w:spacing w:line="280" w:lineRule="exact"/>
              <w:textAlignment w:val="auto"/>
              <w:rPr>
                <w:rFonts w:ascii="仿宋" w:hAnsi="仿宋" w:eastAsia="仿宋" w:cs="仿宋"/>
                <w:szCs w:val="24"/>
              </w:rPr>
            </w:pPr>
            <w:r>
              <w:rPr>
                <w:rFonts w:hint="eastAsia" w:ascii="仿宋" w:hAnsi="仿宋" w:eastAsia="仿宋" w:cs="仿宋"/>
                <w:szCs w:val="24"/>
              </w:rPr>
              <w:t>（1）一档（</w:t>
            </w:r>
            <w:r>
              <w:rPr>
                <w:rFonts w:hint="eastAsia" w:ascii="仿宋" w:hAnsi="仿宋" w:eastAsia="仿宋" w:cs="仿宋"/>
                <w:szCs w:val="24"/>
                <w:lang w:val="en-US" w:eastAsia="zh-CN"/>
              </w:rPr>
              <w:t>6</w:t>
            </w:r>
            <w:r>
              <w:rPr>
                <w:rFonts w:hint="eastAsia" w:ascii="仿宋" w:hAnsi="仿宋" w:eastAsia="仿宋" w:cs="仿宋"/>
                <w:szCs w:val="24"/>
              </w:rPr>
              <w:t xml:space="preserve">分）：所提供工作管理方案较差，措施可操作性不强，不符合项目要求； </w:t>
            </w:r>
          </w:p>
          <w:p w14:paraId="57C85792">
            <w:pPr>
              <w:pStyle w:val="18"/>
              <w:keepNext w:val="0"/>
              <w:keepLines w:val="0"/>
              <w:pageBreakBefore w:val="0"/>
              <w:widowControl w:val="0"/>
              <w:kinsoku/>
              <w:wordWrap/>
              <w:overflowPunct/>
              <w:topLinePunct w:val="0"/>
              <w:bidi w:val="0"/>
              <w:spacing w:line="280" w:lineRule="exact"/>
              <w:textAlignment w:val="auto"/>
              <w:rPr>
                <w:rFonts w:ascii="仿宋" w:hAnsi="仿宋" w:eastAsia="仿宋" w:cs="仿宋"/>
                <w:szCs w:val="24"/>
              </w:rPr>
            </w:pPr>
            <w:r>
              <w:rPr>
                <w:rFonts w:hint="eastAsia" w:ascii="仿宋" w:hAnsi="仿宋" w:eastAsia="仿宋" w:cs="仿宋"/>
                <w:szCs w:val="24"/>
              </w:rPr>
              <w:t>（2）二档（</w:t>
            </w:r>
            <w:r>
              <w:rPr>
                <w:rFonts w:hint="eastAsia" w:ascii="仿宋" w:hAnsi="仿宋" w:eastAsia="仿宋" w:cs="仿宋"/>
                <w:szCs w:val="24"/>
                <w:lang w:val="en-US" w:eastAsia="zh-CN"/>
              </w:rPr>
              <w:t>12</w:t>
            </w:r>
            <w:r>
              <w:rPr>
                <w:rFonts w:hint="eastAsia" w:ascii="仿宋" w:hAnsi="仿宋" w:eastAsia="仿宋" w:cs="仿宋"/>
                <w:szCs w:val="24"/>
              </w:rPr>
              <w:t xml:space="preserve">分）：所提供工作管理方案一般，措施可操作性一般，基本符合项目要求； </w:t>
            </w:r>
          </w:p>
          <w:p w14:paraId="7FB72288">
            <w:pPr>
              <w:pStyle w:val="18"/>
              <w:keepNext w:val="0"/>
              <w:keepLines w:val="0"/>
              <w:pageBreakBefore w:val="0"/>
              <w:widowControl w:val="0"/>
              <w:kinsoku/>
              <w:wordWrap/>
              <w:overflowPunct/>
              <w:topLinePunct w:val="0"/>
              <w:bidi w:val="0"/>
              <w:spacing w:line="280" w:lineRule="exact"/>
              <w:textAlignment w:val="auto"/>
              <w:rPr>
                <w:rFonts w:ascii="仿宋" w:hAnsi="仿宋" w:eastAsia="仿宋" w:cs="仿宋"/>
                <w:szCs w:val="24"/>
              </w:rPr>
            </w:pPr>
            <w:r>
              <w:rPr>
                <w:rFonts w:hint="eastAsia" w:ascii="仿宋" w:hAnsi="仿宋" w:eastAsia="仿宋" w:cs="仿宋"/>
                <w:szCs w:val="24"/>
              </w:rPr>
              <w:t>（3）三档（</w:t>
            </w:r>
            <w:r>
              <w:rPr>
                <w:rFonts w:hint="eastAsia" w:ascii="仿宋" w:hAnsi="仿宋" w:eastAsia="仿宋" w:cs="仿宋"/>
                <w:szCs w:val="24"/>
                <w:lang w:val="en-US" w:eastAsia="zh-CN"/>
              </w:rPr>
              <w:t>19</w:t>
            </w:r>
            <w:r>
              <w:rPr>
                <w:rFonts w:hint="eastAsia" w:ascii="仿宋" w:hAnsi="仿宋" w:eastAsia="仿宋" w:cs="仿宋"/>
                <w:szCs w:val="24"/>
              </w:rPr>
              <w:t>分）：所提供工作管理方案较详细、措施较为</w:t>
            </w:r>
            <w:r>
              <w:rPr>
                <w:rFonts w:hint="eastAsia" w:ascii="仿宋" w:hAnsi="仿宋" w:eastAsia="仿宋" w:cs="仿宋"/>
                <w:szCs w:val="24"/>
                <w:lang w:eastAsia="zh-CN"/>
              </w:rPr>
              <w:t>合理</w:t>
            </w:r>
            <w:r>
              <w:rPr>
                <w:rFonts w:hint="eastAsia" w:ascii="仿宋" w:hAnsi="仿宋" w:eastAsia="仿宋" w:cs="仿宋"/>
                <w:szCs w:val="24"/>
              </w:rPr>
              <w:t>、可操作性较好，较符合项目要求；</w:t>
            </w:r>
          </w:p>
          <w:p w14:paraId="66E04ECA">
            <w:pPr>
              <w:keepNext w:val="0"/>
              <w:keepLines w:val="0"/>
              <w:pageBreakBefore w:val="0"/>
              <w:widowControl w:val="0"/>
              <w:kinsoku/>
              <w:wordWrap/>
              <w:overflowPunct/>
              <w:topLinePunct w:val="0"/>
              <w:bidi w:val="0"/>
              <w:spacing w:line="280" w:lineRule="exact"/>
              <w:ind w:right="45"/>
              <w:contextualSpacing/>
              <w:textAlignment w:val="auto"/>
              <w:rPr>
                <w:rFonts w:ascii="仿宋" w:hAnsi="仿宋" w:eastAsia="仿宋" w:cs="仿宋"/>
                <w:szCs w:val="21"/>
              </w:rPr>
            </w:pPr>
            <w:r>
              <w:rPr>
                <w:rFonts w:hint="eastAsia" w:ascii="仿宋" w:hAnsi="仿宋" w:eastAsia="仿宋" w:cs="仿宋"/>
              </w:rPr>
              <w:t>（4）四档（</w:t>
            </w:r>
            <w:r>
              <w:rPr>
                <w:rFonts w:hint="eastAsia" w:ascii="仿宋" w:hAnsi="仿宋" w:eastAsia="仿宋" w:cs="仿宋"/>
                <w:lang w:val="en-US" w:eastAsia="zh-CN"/>
              </w:rPr>
              <w:t>25</w:t>
            </w:r>
            <w:r>
              <w:rPr>
                <w:rFonts w:hint="eastAsia" w:ascii="仿宋" w:hAnsi="仿宋" w:eastAsia="仿宋" w:cs="仿宋"/>
              </w:rPr>
              <w:t>分）：所提供工作管理方案完善、可行，详细具体、措施全面、有保证，完全符合项目需求。</w:t>
            </w:r>
          </w:p>
        </w:tc>
        <w:tc>
          <w:tcPr>
            <w:tcW w:w="704" w:type="dxa"/>
            <w:vAlign w:val="center"/>
          </w:tcPr>
          <w:p w14:paraId="68E0E494">
            <w:pPr>
              <w:spacing w:line="240" w:lineRule="atLeast"/>
              <w:ind w:firstLine="25" w:firstLineChars="12"/>
              <w:jc w:val="center"/>
              <w:rPr>
                <w:rFonts w:ascii="仿宋" w:hAnsi="仿宋" w:eastAsia="仿宋" w:cs="仿宋"/>
                <w:szCs w:val="21"/>
              </w:rPr>
            </w:pPr>
          </w:p>
        </w:tc>
      </w:tr>
      <w:tr w14:paraId="2601886B">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57" w:type="dxa"/>
            <w:left w:w="108" w:type="dxa"/>
            <w:bottom w:w="57" w:type="dxa"/>
            <w:right w:w="108" w:type="dxa"/>
          </w:tblCellMar>
        </w:tblPrEx>
        <w:trPr>
          <w:trHeight w:val="430" w:hRule="atLeast"/>
          <w:jc w:val="center"/>
        </w:trPr>
        <w:tc>
          <w:tcPr>
            <w:tcW w:w="9336" w:type="dxa"/>
            <w:gridSpan w:val="6"/>
            <w:vAlign w:val="center"/>
          </w:tcPr>
          <w:p w14:paraId="0D80BACA">
            <w:pPr>
              <w:keepNext w:val="0"/>
              <w:keepLines w:val="0"/>
              <w:pageBreakBefore w:val="0"/>
              <w:widowControl w:val="0"/>
              <w:tabs>
                <w:tab w:val="center" w:pos="4153"/>
                <w:tab w:val="right" w:pos="8306"/>
              </w:tabs>
              <w:kinsoku/>
              <w:wordWrap/>
              <w:overflowPunct/>
              <w:topLinePunct w:val="0"/>
              <w:autoSpaceDE w:val="0"/>
              <w:autoSpaceDN w:val="0"/>
              <w:bidi w:val="0"/>
              <w:adjustRightInd w:val="0"/>
              <w:snapToGrid w:val="0"/>
              <w:spacing w:line="280" w:lineRule="exact"/>
              <w:ind w:firstLine="482"/>
              <w:jc w:val="center"/>
              <w:textAlignment w:val="auto"/>
              <w:rPr>
                <w:rFonts w:ascii="仿宋" w:hAnsi="仿宋" w:eastAsia="仿宋" w:cs="仿宋"/>
                <w:b/>
                <w:bCs/>
                <w:szCs w:val="21"/>
              </w:rPr>
            </w:pPr>
            <w:r>
              <w:rPr>
                <w:rFonts w:hint="eastAsia" w:ascii="仿宋" w:hAnsi="仿宋" w:eastAsia="仿宋" w:cs="仿宋"/>
                <w:b/>
                <w:bCs/>
                <w:color w:val="000000"/>
                <w:szCs w:val="21"/>
              </w:rPr>
              <w:t>三、</w:t>
            </w:r>
            <w:r>
              <w:rPr>
                <w:rFonts w:hint="eastAsia" w:ascii="仿宋" w:hAnsi="仿宋" w:eastAsia="仿宋" w:cs="仿宋"/>
                <w:b/>
                <w:bCs/>
                <w:color w:val="0000FF"/>
                <w:szCs w:val="21"/>
              </w:rPr>
              <w:t>技术支持部分（</w:t>
            </w:r>
            <w:r>
              <w:rPr>
                <w:rFonts w:hint="eastAsia" w:ascii="仿宋" w:hAnsi="仿宋" w:eastAsia="仿宋" w:cs="仿宋"/>
                <w:b/>
                <w:bCs/>
                <w:color w:val="0000FF"/>
                <w:szCs w:val="21"/>
                <w:lang w:val="en-US" w:eastAsia="zh-CN"/>
              </w:rPr>
              <w:t>35</w:t>
            </w:r>
            <w:r>
              <w:rPr>
                <w:rFonts w:hint="eastAsia" w:ascii="仿宋" w:hAnsi="仿宋" w:eastAsia="仿宋" w:cs="仿宋"/>
                <w:b/>
                <w:bCs/>
                <w:color w:val="0000FF"/>
                <w:szCs w:val="21"/>
              </w:rPr>
              <w:t>分）</w:t>
            </w:r>
          </w:p>
        </w:tc>
      </w:tr>
      <w:tr w14:paraId="037105EA">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57" w:type="dxa"/>
            <w:left w:w="108" w:type="dxa"/>
            <w:bottom w:w="57" w:type="dxa"/>
            <w:right w:w="108" w:type="dxa"/>
          </w:tblCellMar>
        </w:tblPrEx>
        <w:trPr>
          <w:trHeight w:val="749" w:hRule="atLeast"/>
          <w:jc w:val="center"/>
        </w:trPr>
        <w:tc>
          <w:tcPr>
            <w:tcW w:w="836" w:type="dxa"/>
            <w:gridSpan w:val="2"/>
            <w:vAlign w:val="center"/>
          </w:tcPr>
          <w:p w14:paraId="13FA6142">
            <w:pPr>
              <w:spacing w:line="240" w:lineRule="atLeast"/>
              <w:ind w:firstLine="8" w:firstLineChars="4"/>
              <w:jc w:val="center"/>
              <w:rPr>
                <w:rFonts w:ascii="仿宋" w:hAnsi="仿宋" w:eastAsia="仿宋" w:cs="仿宋"/>
                <w:b/>
                <w:bCs/>
                <w:szCs w:val="21"/>
              </w:rPr>
            </w:pPr>
            <w:r>
              <w:rPr>
                <w:rFonts w:hint="eastAsia" w:ascii="仿宋" w:hAnsi="仿宋" w:eastAsia="仿宋" w:cs="仿宋"/>
                <w:b/>
                <w:bCs/>
                <w:szCs w:val="21"/>
              </w:rPr>
              <w:t>1</w:t>
            </w:r>
          </w:p>
        </w:tc>
        <w:tc>
          <w:tcPr>
            <w:tcW w:w="1276" w:type="dxa"/>
            <w:gridSpan w:val="2"/>
            <w:vAlign w:val="center"/>
          </w:tcPr>
          <w:p w14:paraId="25F717AC">
            <w:pPr>
              <w:keepNext w:val="0"/>
              <w:keepLines w:val="0"/>
              <w:pageBreakBefore w:val="0"/>
              <w:widowControl w:val="0"/>
              <w:kinsoku/>
              <w:wordWrap/>
              <w:overflowPunct/>
              <w:topLinePunct w:val="0"/>
              <w:bidi w:val="0"/>
              <w:spacing w:line="280" w:lineRule="exact"/>
              <w:ind w:firstLine="8" w:firstLineChars="4"/>
              <w:jc w:val="center"/>
              <w:textAlignment w:val="auto"/>
              <w:rPr>
                <w:rFonts w:ascii="仿宋" w:hAnsi="仿宋" w:eastAsia="仿宋" w:cs="仿宋"/>
                <w:b/>
                <w:bCs/>
                <w:color w:val="auto"/>
                <w:kern w:val="0"/>
                <w:szCs w:val="21"/>
              </w:rPr>
            </w:pPr>
            <w:r>
              <w:rPr>
                <w:rFonts w:hint="eastAsia" w:ascii="仿宋" w:hAnsi="仿宋" w:eastAsia="仿宋" w:cs="仿宋"/>
                <w:b/>
                <w:bCs/>
                <w:color w:val="auto"/>
                <w:kern w:val="0"/>
                <w:szCs w:val="21"/>
              </w:rPr>
              <w:t>人员</w:t>
            </w:r>
          </w:p>
          <w:p w14:paraId="564196A0">
            <w:pPr>
              <w:pStyle w:val="2"/>
              <w:keepNext w:val="0"/>
              <w:keepLines w:val="0"/>
              <w:pageBreakBefore w:val="0"/>
              <w:widowControl w:val="0"/>
              <w:kinsoku/>
              <w:wordWrap/>
              <w:overflowPunct/>
              <w:topLinePunct w:val="0"/>
              <w:bidi w:val="0"/>
              <w:spacing w:after="0" w:line="280" w:lineRule="exact"/>
              <w:ind w:firstLine="211" w:firstLineChars="100"/>
              <w:jc w:val="center"/>
              <w:textAlignment w:val="auto"/>
              <w:rPr>
                <w:rFonts w:ascii="仿宋" w:hAnsi="仿宋" w:eastAsia="仿宋" w:cs="仿宋"/>
                <w:b/>
                <w:color w:val="auto"/>
              </w:rPr>
            </w:pPr>
            <w:r>
              <w:rPr>
                <w:rFonts w:hint="eastAsia" w:ascii="仿宋" w:hAnsi="仿宋" w:eastAsia="仿宋" w:cs="仿宋"/>
                <w:b/>
                <w:color w:val="auto"/>
              </w:rPr>
              <w:t>（</w:t>
            </w:r>
            <w:r>
              <w:rPr>
                <w:rFonts w:hint="eastAsia" w:ascii="仿宋" w:hAnsi="仿宋" w:eastAsia="仿宋" w:cs="仿宋"/>
                <w:b/>
                <w:color w:val="auto"/>
                <w:lang w:val="en-US" w:eastAsia="zh-CN"/>
              </w:rPr>
              <w:t>6</w:t>
            </w:r>
            <w:r>
              <w:rPr>
                <w:rFonts w:hint="eastAsia" w:ascii="仿宋" w:hAnsi="仿宋" w:eastAsia="仿宋" w:cs="仿宋"/>
                <w:b/>
                <w:color w:val="auto"/>
              </w:rPr>
              <w:t>分）</w:t>
            </w:r>
          </w:p>
        </w:tc>
        <w:tc>
          <w:tcPr>
            <w:tcW w:w="6520" w:type="dxa"/>
            <w:vAlign w:val="center"/>
          </w:tcPr>
          <w:p w14:paraId="7054CFFE">
            <w:pPr>
              <w:keepNext w:val="0"/>
              <w:keepLines w:val="0"/>
              <w:pageBreakBefore w:val="0"/>
              <w:widowControl w:val="0"/>
              <w:kinsoku/>
              <w:wordWrap/>
              <w:overflowPunct/>
              <w:topLinePunct w:val="0"/>
              <w:bidi w:val="0"/>
              <w:spacing w:line="280" w:lineRule="exact"/>
              <w:textAlignment w:val="auto"/>
              <w:rPr>
                <w:rFonts w:ascii="仿宋" w:hAnsi="仿宋" w:eastAsia="仿宋" w:cs="仿宋"/>
                <w:color w:val="auto"/>
              </w:rPr>
            </w:pPr>
            <w:r>
              <w:rPr>
                <w:rFonts w:hint="eastAsia" w:ascii="仿宋" w:hAnsi="仿宋" w:eastAsia="仿宋" w:cs="仿宋"/>
                <w:color w:val="auto"/>
              </w:rPr>
              <w:t>“项目实施人员配置方案及项目实施人员配置表”内容及提供的相关人员的证件、证书、相关证明材料的情况，独立评审、核对并打分。拟</w:t>
            </w:r>
            <w:r>
              <w:rPr>
                <w:rFonts w:ascii="仿宋" w:hAnsi="仿宋" w:eastAsia="仿宋" w:cs="仿宋"/>
                <w:color w:val="auto"/>
              </w:rPr>
              <w:t>投入本项目的</w:t>
            </w:r>
            <w:r>
              <w:rPr>
                <w:rFonts w:hint="eastAsia" w:ascii="仿宋" w:hAnsi="仿宋" w:eastAsia="仿宋" w:cs="仿宋"/>
                <w:color w:val="auto"/>
              </w:rPr>
              <w:t>人</w:t>
            </w:r>
            <w:r>
              <w:rPr>
                <w:rFonts w:ascii="仿宋" w:hAnsi="仿宋" w:eastAsia="仿宋" w:cs="仿宋"/>
                <w:color w:val="auto"/>
              </w:rPr>
              <w:t>员</w:t>
            </w:r>
            <w:r>
              <w:rPr>
                <w:rFonts w:hint="eastAsia" w:ascii="仿宋" w:hAnsi="仿宋" w:eastAsia="仿宋" w:cs="仿宋"/>
                <w:color w:val="auto"/>
              </w:rPr>
              <w:t>中</w:t>
            </w:r>
            <w:r>
              <w:rPr>
                <w:rFonts w:hint="eastAsia" w:ascii="仿宋" w:hAnsi="仿宋" w:eastAsia="仿宋" w:cs="仿宋"/>
                <w:color w:val="auto"/>
                <w:lang w:val="en-US" w:eastAsia="zh-CN"/>
              </w:rPr>
              <w:t>有相关运维经验证明材料</w:t>
            </w:r>
            <w:r>
              <w:rPr>
                <w:rFonts w:hint="eastAsia" w:ascii="仿宋" w:hAnsi="仿宋" w:eastAsia="仿宋" w:cs="仿宋"/>
                <w:color w:val="auto"/>
              </w:rPr>
              <w:t>，每配备1名得</w:t>
            </w:r>
            <w:r>
              <w:rPr>
                <w:rFonts w:hint="eastAsia" w:ascii="仿宋" w:hAnsi="仿宋" w:eastAsia="仿宋" w:cs="仿宋"/>
                <w:color w:val="auto"/>
                <w:lang w:val="en-US" w:eastAsia="zh-CN"/>
              </w:rPr>
              <w:t>3</w:t>
            </w:r>
            <w:r>
              <w:rPr>
                <w:rFonts w:hint="eastAsia" w:ascii="仿宋" w:hAnsi="仿宋" w:eastAsia="仿宋" w:cs="仿宋"/>
                <w:color w:val="auto"/>
              </w:rPr>
              <w:t>分，最多得</w:t>
            </w:r>
            <w:r>
              <w:rPr>
                <w:rFonts w:hint="eastAsia" w:ascii="仿宋" w:hAnsi="仿宋" w:eastAsia="仿宋" w:cs="仿宋"/>
                <w:color w:val="auto"/>
                <w:lang w:val="en-US" w:eastAsia="zh-CN"/>
              </w:rPr>
              <w:t>6</w:t>
            </w:r>
            <w:r>
              <w:rPr>
                <w:rFonts w:hint="eastAsia" w:ascii="仿宋" w:hAnsi="仿宋" w:eastAsia="仿宋" w:cs="仿宋"/>
                <w:color w:val="auto"/>
              </w:rPr>
              <w:t>分。</w:t>
            </w:r>
          </w:p>
        </w:tc>
        <w:tc>
          <w:tcPr>
            <w:tcW w:w="704" w:type="dxa"/>
            <w:vAlign w:val="center"/>
          </w:tcPr>
          <w:p w14:paraId="5F040E63">
            <w:pPr>
              <w:spacing w:line="240" w:lineRule="atLeast"/>
              <w:ind w:firstLine="25" w:firstLineChars="12"/>
              <w:jc w:val="center"/>
              <w:rPr>
                <w:rFonts w:ascii="仿宋" w:hAnsi="仿宋" w:eastAsia="仿宋" w:cs="仿宋"/>
                <w:szCs w:val="21"/>
              </w:rPr>
            </w:pPr>
          </w:p>
        </w:tc>
      </w:tr>
      <w:tr w14:paraId="31F40DDC">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57" w:type="dxa"/>
            <w:left w:w="108" w:type="dxa"/>
            <w:bottom w:w="57" w:type="dxa"/>
            <w:right w:w="108" w:type="dxa"/>
          </w:tblCellMar>
        </w:tblPrEx>
        <w:trPr>
          <w:trHeight w:val="590" w:hRule="atLeast"/>
          <w:jc w:val="center"/>
        </w:trPr>
        <w:tc>
          <w:tcPr>
            <w:tcW w:w="836" w:type="dxa"/>
            <w:gridSpan w:val="2"/>
            <w:vAlign w:val="center"/>
          </w:tcPr>
          <w:p w14:paraId="4DF0E882">
            <w:pPr>
              <w:spacing w:line="240" w:lineRule="atLeast"/>
              <w:ind w:firstLine="8" w:firstLineChars="4"/>
              <w:jc w:val="center"/>
              <w:rPr>
                <w:rFonts w:ascii="仿宋" w:hAnsi="仿宋" w:eastAsia="仿宋" w:cs="仿宋"/>
                <w:b/>
                <w:bCs/>
                <w:szCs w:val="21"/>
              </w:rPr>
            </w:pPr>
            <w:r>
              <w:rPr>
                <w:rFonts w:hint="eastAsia" w:ascii="仿宋" w:hAnsi="仿宋" w:eastAsia="仿宋" w:cs="仿宋"/>
                <w:b/>
                <w:bCs/>
                <w:szCs w:val="21"/>
              </w:rPr>
              <w:t>2</w:t>
            </w:r>
          </w:p>
        </w:tc>
        <w:tc>
          <w:tcPr>
            <w:tcW w:w="1276" w:type="dxa"/>
            <w:gridSpan w:val="2"/>
            <w:vAlign w:val="center"/>
          </w:tcPr>
          <w:p w14:paraId="5DA506E5">
            <w:pPr>
              <w:keepNext w:val="0"/>
              <w:keepLines w:val="0"/>
              <w:pageBreakBefore w:val="0"/>
              <w:widowControl w:val="0"/>
              <w:kinsoku/>
              <w:wordWrap/>
              <w:overflowPunct/>
              <w:topLinePunct w:val="0"/>
              <w:bidi w:val="0"/>
              <w:spacing w:line="280" w:lineRule="exact"/>
              <w:ind w:firstLine="8" w:firstLineChars="4"/>
              <w:jc w:val="center"/>
              <w:textAlignment w:val="auto"/>
              <w:rPr>
                <w:rFonts w:ascii="仿宋" w:hAnsi="仿宋" w:eastAsia="仿宋" w:cs="仿宋"/>
                <w:b/>
                <w:bCs/>
                <w:color w:val="auto"/>
                <w:kern w:val="0"/>
                <w:szCs w:val="21"/>
              </w:rPr>
            </w:pPr>
            <w:r>
              <w:rPr>
                <w:rFonts w:hint="eastAsia" w:ascii="仿宋" w:hAnsi="仿宋" w:eastAsia="仿宋" w:cs="仿宋"/>
                <w:b/>
                <w:bCs/>
                <w:color w:val="auto"/>
                <w:kern w:val="0"/>
                <w:szCs w:val="21"/>
              </w:rPr>
              <w:t>办事处</w:t>
            </w:r>
          </w:p>
          <w:p w14:paraId="37D866E7">
            <w:pPr>
              <w:pStyle w:val="2"/>
              <w:keepNext w:val="0"/>
              <w:keepLines w:val="0"/>
              <w:pageBreakBefore w:val="0"/>
              <w:widowControl w:val="0"/>
              <w:kinsoku/>
              <w:wordWrap/>
              <w:overflowPunct/>
              <w:topLinePunct w:val="0"/>
              <w:bidi w:val="0"/>
              <w:spacing w:after="0" w:line="280" w:lineRule="exact"/>
              <w:ind w:firstLine="211" w:firstLineChars="100"/>
              <w:jc w:val="center"/>
              <w:textAlignment w:val="auto"/>
              <w:rPr>
                <w:rFonts w:ascii="仿宋" w:hAnsi="仿宋" w:eastAsia="仿宋" w:cs="仿宋"/>
                <w:b/>
                <w:color w:val="auto"/>
              </w:rPr>
            </w:pPr>
            <w:r>
              <w:rPr>
                <w:rFonts w:hint="eastAsia" w:ascii="仿宋" w:hAnsi="仿宋" w:eastAsia="仿宋" w:cs="仿宋"/>
                <w:b/>
                <w:color w:val="auto"/>
              </w:rPr>
              <w:t>（</w:t>
            </w:r>
            <w:r>
              <w:rPr>
                <w:rFonts w:hint="eastAsia" w:ascii="仿宋" w:hAnsi="仿宋" w:eastAsia="仿宋" w:cs="仿宋"/>
                <w:b/>
                <w:color w:val="auto"/>
                <w:lang w:val="en-US" w:eastAsia="zh-CN"/>
              </w:rPr>
              <w:t>2</w:t>
            </w:r>
            <w:r>
              <w:rPr>
                <w:rFonts w:hint="eastAsia" w:ascii="仿宋" w:hAnsi="仿宋" w:eastAsia="仿宋" w:cs="仿宋"/>
                <w:b/>
                <w:color w:val="auto"/>
              </w:rPr>
              <w:t>分）</w:t>
            </w:r>
          </w:p>
        </w:tc>
        <w:tc>
          <w:tcPr>
            <w:tcW w:w="6520" w:type="dxa"/>
            <w:vAlign w:val="center"/>
          </w:tcPr>
          <w:p w14:paraId="6B737C76">
            <w:pPr>
              <w:keepNext w:val="0"/>
              <w:keepLines w:val="0"/>
              <w:pageBreakBefore w:val="0"/>
              <w:widowControl w:val="0"/>
              <w:kinsoku/>
              <w:wordWrap/>
              <w:overflowPunct/>
              <w:topLinePunct w:val="0"/>
              <w:bidi w:val="0"/>
              <w:spacing w:line="280" w:lineRule="exact"/>
              <w:jc w:val="left"/>
              <w:textAlignment w:val="auto"/>
              <w:rPr>
                <w:rFonts w:ascii="仿宋" w:hAnsi="仿宋" w:eastAsia="仿宋" w:cs="仿宋"/>
                <w:color w:val="auto"/>
              </w:rPr>
            </w:pPr>
            <w:r>
              <w:rPr>
                <w:rFonts w:hint="eastAsia" w:ascii="仿宋" w:hAnsi="仿宋" w:eastAsia="仿宋" w:cs="仿宋"/>
                <w:color w:val="auto"/>
                <w:lang w:val="en-US" w:eastAsia="zh-CN"/>
              </w:rPr>
              <w:t>供应商在本项目实施地设有固定服务点或中标后承诺在项目实施地设立固定办事处，提供相关有效证明材料（提供场地租赁合同复印件及租赁场地的房产证复印件或中标后设立固定办事处承诺书，加盖供应商公章）；不提供的，不得分，提供得2分</w:t>
            </w:r>
          </w:p>
        </w:tc>
        <w:tc>
          <w:tcPr>
            <w:tcW w:w="704" w:type="dxa"/>
            <w:vAlign w:val="center"/>
          </w:tcPr>
          <w:p w14:paraId="4342EF01">
            <w:pPr>
              <w:spacing w:line="240" w:lineRule="atLeast"/>
              <w:ind w:firstLine="25" w:firstLineChars="12"/>
              <w:jc w:val="center"/>
              <w:rPr>
                <w:rFonts w:ascii="仿宋" w:hAnsi="仿宋" w:eastAsia="仿宋" w:cs="仿宋"/>
                <w:szCs w:val="21"/>
              </w:rPr>
            </w:pPr>
          </w:p>
        </w:tc>
      </w:tr>
      <w:tr w14:paraId="6AA9EFD3">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57" w:type="dxa"/>
            <w:left w:w="108" w:type="dxa"/>
            <w:bottom w:w="57" w:type="dxa"/>
            <w:right w:w="108" w:type="dxa"/>
          </w:tblCellMar>
        </w:tblPrEx>
        <w:trPr>
          <w:trHeight w:val="590" w:hRule="atLeast"/>
          <w:jc w:val="center"/>
        </w:trPr>
        <w:tc>
          <w:tcPr>
            <w:tcW w:w="836" w:type="dxa"/>
            <w:gridSpan w:val="2"/>
            <w:vAlign w:val="center"/>
          </w:tcPr>
          <w:p w14:paraId="1F3FFD7F">
            <w:pPr>
              <w:spacing w:line="240" w:lineRule="atLeast"/>
              <w:ind w:firstLine="8" w:firstLineChars="4"/>
              <w:jc w:val="center"/>
              <w:rPr>
                <w:rFonts w:ascii="仿宋" w:hAnsi="仿宋" w:eastAsia="仿宋" w:cs="仿宋"/>
                <w:b/>
                <w:bCs/>
                <w:szCs w:val="21"/>
              </w:rPr>
            </w:pPr>
            <w:r>
              <w:rPr>
                <w:rFonts w:hint="eastAsia" w:ascii="仿宋" w:hAnsi="仿宋" w:eastAsia="仿宋" w:cs="仿宋"/>
                <w:b/>
                <w:bCs/>
                <w:szCs w:val="21"/>
              </w:rPr>
              <w:t>3</w:t>
            </w:r>
          </w:p>
        </w:tc>
        <w:tc>
          <w:tcPr>
            <w:tcW w:w="1276" w:type="dxa"/>
            <w:gridSpan w:val="2"/>
            <w:vAlign w:val="center"/>
          </w:tcPr>
          <w:p w14:paraId="66961F61">
            <w:pPr>
              <w:keepNext w:val="0"/>
              <w:keepLines w:val="0"/>
              <w:pageBreakBefore w:val="0"/>
              <w:widowControl w:val="0"/>
              <w:kinsoku/>
              <w:wordWrap/>
              <w:overflowPunct/>
              <w:topLinePunct w:val="0"/>
              <w:bidi w:val="0"/>
              <w:spacing w:line="280" w:lineRule="exact"/>
              <w:ind w:firstLine="8" w:firstLineChars="4"/>
              <w:jc w:val="center"/>
              <w:textAlignment w:val="auto"/>
              <w:rPr>
                <w:rFonts w:ascii="仿宋" w:hAnsi="仿宋" w:eastAsia="仿宋" w:cs="仿宋"/>
                <w:b/>
                <w:bCs/>
                <w:color w:val="auto"/>
                <w:kern w:val="0"/>
                <w:szCs w:val="21"/>
              </w:rPr>
            </w:pPr>
            <w:r>
              <w:rPr>
                <w:rFonts w:hint="eastAsia" w:ascii="仿宋" w:hAnsi="仿宋" w:eastAsia="仿宋" w:cs="仿宋"/>
                <w:b/>
                <w:bCs/>
                <w:color w:val="auto"/>
                <w:kern w:val="0"/>
                <w:szCs w:val="21"/>
              </w:rPr>
              <w:t>技术服务保障</w:t>
            </w:r>
          </w:p>
          <w:p w14:paraId="6F1F7180">
            <w:pPr>
              <w:pStyle w:val="2"/>
              <w:keepNext w:val="0"/>
              <w:keepLines w:val="0"/>
              <w:pageBreakBefore w:val="0"/>
              <w:widowControl w:val="0"/>
              <w:kinsoku/>
              <w:wordWrap/>
              <w:overflowPunct/>
              <w:topLinePunct w:val="0"/>
              <w:bidi w:val="0"/>
              <w:spacing w:after="0" w:line="280" w:lineRule="exact"/>
              <w:textAlignment w:val="auto"/>
              <w:rPr>
                <w:rFonts w:ascii="仿宋" w:hAnsi="仿宋" w:eastAsia="仿宋" w:cs="仿宋"/>
                <w:b/>
                <w:color w:val="auto"/>
              </w:rPr>
            </w:pPr>
            <w:r>
              <w:rPr>
                <w:rFonts w:hint="eastAsia" w:ascii="仿宋" w:hAnsi="仿宋" w:eastAsia="仿宋" w:cs="仿宋"/>
                <w:b/>
                <w:color w:val="auto"/>
              </w:rPr>
              <w:t>（</w:t>
            </w:r>
            <w:r>
              <w:rPr>
                <w:rFonts w:hint="eastAsia" w:ascii="仿宋" w:hAnsi="仿宋" w:eastAsia="仿宋" w:cs="仿宋"/>
                <w:b/>
                <w:color w:val="auto"/>
                <w:lang w:val="en-US" w:eastAsia="zh-CN"/>
              </w:rPr>
              <w:t>10</w:t>
            </w:r>
            <w:r>
              <w:rPr>
                <w:rFonts w:hint="eastAsia" w:ascii="仿宋" w:hAnsi="仿宋" w:eastAsia="仿宋" w:cs="仿宋"/>
                <w:b/>
                <w:color w:val="auto"/>
              </w:rPr>
              <w:t>分）</w:t>
            </w:r>
          </w:p>
        </w:tc>
        <w:tc>
          <w:tcPr>
            <w:tcW w:w="6520" w:type="dxa"/>
            <w:vAlign w:val="center"/>
          </w:tcPr>
          <w:p w14:paraId="694E5454">
            <w:pPr>
              <w:pStyle w:val="2"/>
              <w:keepNext w:val="0"/>
              <w:keepLines w:val="0"/>
              <w:pageBreakBefore w:val="0"/>
              <w:widowControl w:val="0"/>
              <w:kinsoku/>
              <w:wordWrap/>
              <w:overflowPunct/>
              <w:topLinePunct w:val="0"/>
              <w:bidi w:val="0"/>
              <w:spacing w:after="0" w:line="280" w:lineRule="exact"/>
              <w:textAlignment w:val="auto"/>
              <w:rPr>
                <w:rFonts w:ascii="仿宋" w:hAnsi="仿宋" w:eastAsia="仿宋" w:cs="仿宋"/>
                <w:color w:val="auto"/>
              </w:rPr>
            </w:pPr>
            <w:r>
              <w:rPr>
                <w:rFonts w:hint="eastAsia" w:ascii="仿宋" w:hAnsi="仿宋" w:eastAsia="仿宋" w:cs="仿宋"/>
                <w:color w:val="auto"/>
              </w:rPr>
              <w:t>供应商提供采购人现有主要</w:t>
            </w:r>
            <w:r>
              <w:rPr>
                <w:rFonts w:hint="eastAsia" w:ascii="仿宋" w:hAnsi="仿宋" w:eastAsia="仿宋" w:cs="仿宋"/>
                <w:color w:val="auto"/>
                <w:highlight w:val="none"/>
              </w:rPr>
              <w:t>仪器【即：</w:t>
            </w:r>
            <w:r>
              <w:rPr>
                <w:rFonts w:hint="eastAsia" w:ascii="仿宋" w:hAnsi="仿宋" w:eastAsia="仿宋" w:cs="仿宋"/>
                <w:color w:val="auto"/>
                <w:highlight w:val="none"/>
                <w:lang w:val="en-US" w:eastAsia="zh-CN"/>
              </w:rPr>
              <w:t>酸雨自动监测</w:t>
            </w:r>
            <w:r>
              <w:rPr>
                <w:rFonts w:hint="eastAsia" w:ascii="仿宋" w:hAnsi="仿宋" w:eastAsia="仿宋" w:cs="仿宋"/>
                <w:color w:val="auto"/>
                <w:highlight w:val="none"/>
              </w:rPr>
              <w:t>分析仪】生产制造商针对本项目出具的设备运营、仪器维修技术支持函原件及原厂零配件质量保证及快速供应保证函原件的，每提供1个同类</w:t>
            </w:r>
            <w:r>
              <w:rPr>
                <w:rFonts w:hint="eastAsia" w:ascii="仿宋" w:hAnsi="仿宋" w:eastAsia="仿宋" w:cs="仿宋"/>
                <w:color w:val="auto"/>
              </w:rPr>
              <w:t>产品的得</w:t>
            </w:r>
            <w:r>
              <w:rPr>
                <w:rFonts w:hint="eastAsia" w:ascii="仿宋" w:hAnsi="仿宋" w:eastAsia="仿宋" w:cs="仿宋"/>
                <w:color w:val="auto"/>
                <w:lang w:val="en-US" w:eastAsia="zh-CN"/>
              </w:rPr>
              <w:t>5</w:t>
            </w:r>
            <w:r>
              <w:rPr>
                <w:rFonts w:hint="eastAsia" w:ascii="仿宋" w:hAnsi="仿宋" w:eastAsia="仿宋" w:cs="仿宋"/>
                <w:color w:val="auto"/>
              </w:rPr>
              <w:t>分。</w:t>
            </w:r>
          </w:p>
        </w:tc>
        <w:tc>
          <w:tcPr>
            <w:tcW w:w="704" w:type="dxa"/>
            <w:vAlign w:val="center"/>
          </w:tcPr>
          <w:p w14:paraId="7BA845A3">
            <w:pPr>
              <w:spacing w:line="240" w:lineRule="atLeast"/>
              <w:ind w:firstLine="25" w:firstLineChars="12"/>
              <w:jc w:val="center"/>
              <w:rPr>
                <w:rFonts w:ascii="仿宋" w:hAnsi="仿宋" w:eastAsia="仿宋" w:cs="仿宋"/>
                <w:szCs w:val="21"/>
              </w:rPr>
            </w:pPr>
          </w:p>
        </w:tc>
      </w:tr>
      <w:tr w14:paraId="5989C765">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57" w:type="dxa"/>
            <w:left w:w="108" w:type="dxa"/>
            <w:bottom w:w="57" w:type="dxa"/>
            <w:right w:w="108" w:type="dxa"/>
          </w:tblCellMar>
        </w:tblPrEx>
        <w:trPr>
          <w:trHeight w:val="2869" w:hRule="atLeast"/>
          <w:jc w:val="center"/>
        </w:trPr>
        <w:tc>
          <w:tcPr>
            <w:tcW w:w="836" w:type="dxa"/>
            <w:gridSpan w:val="2"/>
            <w:vAlign w:val="center"/>
          </w:tcPr>
          <w:p w14:paraId="3CC4F042">
            <w:pPr>
              <w:spacing w:line="240" w:lineRule="atLeast"/>
              <w:ind w:firstLine="8" w:firstLineChars="4"/>
              <w:jc w:val="center"/>
              <w:rPr>
                <w:rFonts w:ascii="仿宋" w:hAnsi="仿宋" w:eastAsia="仿宋" w:cs="仿宋"/>
                <w:b/>
                <w:bCs/>
                <w:szCs w:val="21"/>
              </w:rPr>
            </w:pPr>
            <w:r>
              <w:rPr>
                <w:rFonts w:hint="eastAsia" w:ascii="仿宋" w:hAnsi="仿宋" w:eastAsia="仿宋" w:cs="仿宋"/>
                <w:b/>
                <w:bCs/>
                <w:szCs w:val="21"/>
              </w:rPr>
              <w:t>4</w:t>
            </w:r>
          </w:p>
        </w:tc>
        <w:tc>
          <w:tcPr>
            <w:tcW w:w="1276" w:type="dxa"/>
            <w:gridSpan w:val="2"/>
            <w:vAlign w:val="center"/>
          </w:tcPr>
          <w:p w14:paraId="2C7C9EA3">
            <w:pPr>
              <w:keepNext w:val="0"/>
              <w:keepLines w:val="0"/>
              <w:pageBreakBefore w:val="0"/>
              <w:widowControl w:val="0"/>
              <w:kinsoku/>
              <w:wordWrap/>
              <w:overflowPunct/>
              <w:topLinePunct w:val="0"/>
              <w:bidi w:val="0"/>
              <w:spacing w:line="280" w:lineRule="exact"/>
              <w:ind w:firstLine="8" w:firstLineChars="4"/>
              <w:jc w:val="center"/>
              <w:textAlignment w:val="auto"/>
              <w:rPr>
                <w:rFonts w:ascii="仿宋" w:hAnsi="仿宋" w:eastAsia="仿宋" w:cs="仿宋"/>
              </w:rPr>
            </w:pPr>
            <w:r>
              <w:rPr>
                <w:rFonts w:hint="eastAsia" w:ascii="仿宋" w:hAnsi="仿宋" w:eastAsia="仿宋" w:cs="仿宋"/>
                <w:b/>
                <w:bCs/>
                <w:kern w:val="0"/>
                <w:szCs w:val="21"/>
              </w:rPr>
              <w:t>公司规章制度及人员管理方案（</w:t>
            </w:r>
            <w:r>
              <w:rPr>
                <w:rFonts w:hint="eastAsia" w:ascii="仿宋" w:hAnsi="仿宋" w:eastAsia="仿宋" w:cs="仿宋"/>
                <w:b/>
                <w:bCs/>
                <w:kern w:val="0"/>
                <w:szCs w:val="21"/>
                <w:lang w:val="en-US" w:eastAsia="zh-CN"/>
              </w:rPr>
              <w:t>5</w:t>
            </w:r>
            <w:r>
              <w:rPr>
                <w:rFonts w:hint="eastAsia" w:ascii="仿宋" w:hAnsi="仿宋" w:eastAsia="仿宋" w:cs="仿宋"/>
                <w:b/>
                <w:bCs/>
                <w:kern w:val="0"/>
                <w:szCs w:val="21"/>
              </w:rPr>
              <w:t>分）</w:t>
            </w:r>
          </w:p>
        </w:tc>
        <w:tc>
          <w:tcPr>
            <w:tcW w:w="6520" w:type="dxa"/>
            <w:vAlign w:val="center"/>
          </w:tcPr>
          <w:p w14:paraId="59977CB5">
            <w:pPr>
              <w:pStyle w:val="16"/>
              <w:keepNext w:val="0"/>
              <w:keepLines w:val="0"/>
              <w:pageBreakBefore w:val="0"/>
              <w:widowControl w:val="0"/>
              <w:kinsoku/>
              <w:wordWrap/>
              <w:overflowPunct/>
              <w:topLinePunct w:val="0"/>
              <w:bidi w:val="0"/>
              <w:spacing w:after="0" w:line="280" w:lineRule="exact"/>
              <w:ind w:left="0" w:leftChars="0"/>
              <w:textAlignment w:val="auto"/>
              <w:rPr>
                <w:rFonts w:ascii="仿宋" w:hAnsi="仿宋" w:eastAsia="仿宋" w:cs="仿宋"/>
              </w:rPr>
            </w:pPr>
            <w:r>
              <w:rPr>
                <w:rFonts w:hint="eastAsia" w:ascii="仿宋" w:hAnsi="仿宋" w:eastAsia="仿宋" w:cs="仿宋"/>
              </w:rPr>
              <w:t>（1）一档（</w:t>
            </w:r>
            <w:r>
              <w:rPr>
                <w:rFonts w:hint="eastAsia" w:ascii="仿宋" w:hAnsi="仿宋" w:eastAsia="仿宋" w:cs="仿宋"/>
                <w:lang w:val="en-US" w:eastAsia="zh-CN"/>
              </w:rPr>
              <w:t>2</w:t>
            </w:r>
            <w:r>
              <w:rPr>
                <w:rFonts w:hint="eastAsia" w:ascii="仿宋" w:hAnsi="仿宋" w:eastAsia="仿宋" w:cs="仿宋"/>
              </w:rPr>
              <w:t>分）：公司规章制度不完善，人员管理方案简单。</w:t>
            </w:r>
          </w:p>
          <w:p w14:paraId="6929D2CA">
            <w:pPr>
              <w:pStyle w:val="16"/>
              <w:keepNext w:val="0"/>
              <w:keepLines w:val="0"/>
              <w:pageBreakBefore w:val="0"/>
              <w:widowControl w:val="0"/>
              <w:kinsoku/>
              <w:wordWrap/>
              <w:overflowPunct/>
              <w:topLinePunct w:val="0"/>
              <w:bidi w:val="0"/>
              <w:spacing w:after="0" w:line="280" w:lineRule="exact"/>
              <w:ind w:left="0" w:leftChars="0"/>
              <w:textAlignment w:val="auto"/>
              <w:rPr>
                <w:rFonts w:ascii="仿宋" w:hAnsi="仿宋" w:eastAsia="仿宋" w:cs="仿宋"/>
              </w:rPr>
            </w:pPr>
            <w:r>
              <w:rPr>
                <w:rFonts w:hint="eastAsia" w:ascii="仿宋" w:hAnsi="仿宋" w:eastAsia="仿宋" w:cs="仿宋"/>
              </w:rPr>
              <w:t>（2）二档（</w:t>
            </w:r>
            <w:r>
              <w:rPr>
                <w:rFonts w:hint="eastAsia" w:ascii="仿宋" w:hAnsi="仿宋" w:eastAsia="仿宋" w:cs="仿宋"/>
                <w:lang w:val="en-US" w:eastAsia="zh-CN"/>
              </w:rPr>
              <w:t>3</w:t>
            </w:r>
            <w:r>
              <w:rPr>
                <w:rFonts w:hint="eastAsia" w:ascii="仿宋" w:hAnsi="仿宋" w:eastAsia="仿宋" w:cs="仿宋"/>
              </w:rPr>
              <w:t>分）：满足一档的情况下，公司规章制度一般、有相应的组织机构，岗位设置较合理，人员管理方案描述较详细。</w:t>
            </w:r>
          </w:p>
          <w:p w14:paraId="4D374CA9">
            <w:pPr>
              <w:pStyle w:val="16"/>
              <w:keepNext w:val="0"/>
              <w:keepLines w:val="0"/>
              <w:pageBreakBefore w:val="0"/>
              <w:widowControl w:val="0"/>
              <w:kinsoku/>
              <w:wordWrap/>
              <w:overflowPunct/>
              <w:topLinePunct w:val="0"/>
              <w:bidi w:val="0"/>
              <w:spacing w:after="0" w:line="280" w:lineRule="exact"/>
              <w:ind w:left="0" w:leftChars="0"/>
              <w:textAlignment w:val="auto"/>
              <w:rPr>
                <w:rFonts w:ascii="仿宋" w:hAnsi="仿宋" w:eastAsia="仿宋" w:cs="仿宋"/>
              </w:rPr>
            </w:pPr>
            <w:r>
              <w:rPr>
                <w:rFonts w:hint="eastAsia" w:ascii="仿宋" w:hAnsi="仿宋" w:eastAsia="仿宋" w:cs="仿宋"/>
              </w:rPr>
              <w:t>（3）三档（</w:t>
            </w:r>
            <w:r>
              <w:rPr>
                <w:rFonts w:hint="eastAsia" w:ascii="仿宋" w:hAnsi="仿宋" w:eastAsia="仿宋" w:cs="仿宋"/>
                <w:lang w:val="en-US" w:eastAsia="zh-CN"/>
              </w:rPr>
              <w:t>4</w:t>
            </w:r>
            <w:r>
              <w:rPr>
                <w:rFonts w:hint="eastAsia" w:ascii="仿宋" w:hAnsi="仿宋" w:eastAsia="仿宋" w:cs="仿宋"/>
              </w:rPr>
              <w:t>分）：满足二档的情况下，公司规章制度完善，人员管理方案描述详细、措施详实，并有针对性， 制度、管理方案满足采购需求。</w:t>
            </w:r>
          </w:p>
          <w:p w14:paraId="4F01217B">
            <w:pPr>
              <w:pStyle w:val="16"/>
              <w:keepNext w:val="0"/>
              <w:keepLines w:val="0"/>
              <w:pageBreakBefore w:val="0"/>
              <w:widowControl w:val="0"/>
              <w:kinsoku/>
              <w:wordWrap/>
              <w:overflowPunct/>
              <w:topLinePunct w:val="0"/>
              <w:bidi w:val="0"/>
              <w:spacing w:after="0" w:line="280" w:lineRule="exact"/>
              <w:ind w:left="0" w:leftChars="0"/>
              <w:textAlignment w:val="auto"/>
              <w:rPr>
                <w:rFonts w:ascii="仿宋" w:hAnsi="仿宋" w:eastAsia="仿宋" w:cs="仿宋"/>
              </w:rPr>
            </w:pPr>
            <w:r>
              <w:rPr>
                <w:rFonts w:hint="eastAsia" w:ascii="仿宋" w:hAnsi="仿宋" w:eastAsia="仿宋" w:cs="仿宋"/>
              </w:rPr>
              <w:t>（4）四档（</w:t>
            </w:r>
            <w:r>
              <w:rPr>
                <w:rFonts w:hint="eastAsia" w:ascii="仿宋" w:hAnsi="仿宋" w:eastAsia="仿宋" w:cs="仿宋"/>
                <w:lang w:val="en-US" w:eastAsia="zh-CN"/>
              </w:rPr>
              <w:t>5</w:t>
            </w:r>
            <w:r>
              <w:rPr>
                <w:rFonts w:hint="eastAsia" w:ascii="仿宋" w:hAnsi="仿宋" w:eastAsia="仿宋" w:cs="仿宋"/>
              </w:rPr>
              <w:t>分）：满足三档的情况下，公司规章制度完全符合项目采购要求，人员管理方案科学、切实可行、有效。制度、管理方案优于或完全满足采购需求。</w:t>
            </w:r>
          </w:p>
        </w:tc>
        <w:tc>
          <w:tcPr>
            <w:tcW w:w="704" w:type="dxa"/>
            <w:vAlign w:val="center"/>
          </w:tcPr>
          <w:p w14:paraId="48E7D414">
            <w:pPr>
              <w:spacing w:line="240" w:lineRule="atLeast"/>
              <w:ind w:firstLine="25" w:firstLineChars="12"/>
              <w:jc w:val="center"/>
              <w:rPr>
                <w:rFonts w:ascii="仿宋" w:hAnsi="仿宋" w:eastAsia="仿宋" w:cs="仿宋"/>
                <w:szCs w:val="21"/>
              </w:rPr>
            </w:pPr>
          </w:p>
        </w:tc>
      </w:tr>
      <w:tr w14:paraId="2E3CBF22">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57" w:type="dxa"/>
            <w:left w:w="108" w:type="dxa"/>
            <w:bottom w:w="57" w:type="dxa"/>
            <w:right w:w="108" w:type="dxa"/>
          </w:tblCellMar>
        </w:tblPrEx>
        <w:trPr>
          <w:trHeight w:val="590" w:hRule="atLeast"/>
          <w:jc w:val="center"/>
        </w:trPr>
        <w:tc>
          <w:tcPr>
            <w:tcW w:w="836" w:type="dxa"/>
            <w:gridSpan w:val="2"/>
            <w:vAlign w:val="center"/>
          </w:tcPr>
          <w:p w14:paraId="463453B4">
            <w:pPr>
              <w:spacing w:line="240" w:lineRule="atLeast"/>
              <w:ind w:firstLine="8" w:firstLineChars="4"/>
              <w:jc w:val="center"/>
              <w:rPr>
                <w:rFonts w:ascii="仿宋" w:hAnsi="仿宋" w:eastAsia="仿宋" w:cs="仿宋"/>
                <w:b/>
                <w:bCs/>
                <w:szCs w:val="21"/>
              </w:rPr>
            </w:pPr>
            <w:r>
              <w:rPr>
                <w:rFonts w:hint="eastAsia" w:ascii="仿宋" w:hAnsi="仿宋" w:eastAsia="仿宋" w:cs="仿宋"/>
                <w:b/>
                <w:bCs/>
                <w:szCs w:val="21"/>
              </w:rPr>
              <w:t>8</w:t>
            </w:r>
          </w:p>
        </w:tc>
        <w:tc>
          <w:tcPr>
            <w:tcW w:w="1276" w:type="dxa"/>
            <w:gridSpan w:val="2"/>
            <w:vAlign w:val="center"/>
          </w:tcPr>
          <w:p w14:paraId="7F4B94A9">
            <w:pPr>
              <w:keepNext w:val="0"/>
              <w:keepLines w:val="0"/>
              <w:pageBreakBefore w:val="0"/>
              <w:widowControl w:val="0"/>
              <w:kinsoku/>
              <w:wordWrap/>
              <w:overflowPunct/>
              <w:topLinePunct w:val="0"/>
              <w:bidi w:val="0"/>
              <w:spacing w:line="280" w:lineRule="exact"/>
              <w:ind w:firstLine="8" w:firstLineChars="4"/>
              <w:jc w:val="center"/>
              <w:textAlignment w:val="auto"/>
              <w:rPr>
                <w:rFonts w:ascii="仿宋" w:hAnsi="仿宋" w:eastAsia="仿宋" w:cs="仿宋"/>
                <w:b/>
                <w:bCs/>
                <w:kern w:val="0"/>
                <w:szCs w:val="21"/>
              </w:rPr>
            </w:pPr>
            <w:r>
              <w:rPr>
                <w:rFonts w:hint="eastAsia" w:ascii="仿宋" w:hAnsi="仿宋" w:eastAsia="仿宋" w:cs="仿宋"/>
                <w:b/>
                <w:bCs/>
                <w:kern w:val="0"/>
                <w:szCs w:val="21"/>
              </w:rPr>
              <w:t>应急处理方案（1</w:t>
            </w:r>
            <w:r>
              <w:rPr>
                <w:rFonts w:hint="eastAsia" w:ascii="仿宋" w:hAnsi="仿宋" w:eastAsia="仿宋" w:cs="仿宋"/>
                <w:b/>
                <w:bCs/>
                <w:kern w:val="0"/>
                <w:szCs w:val="21"/>
                <w:lang w:val="en-US" w:eastAsia="zh-CN"/>
              </w:rPr>
              <w:t>2</w:t>
            </w:r>
            <w:r>
              <w:rPr>
                <w:rFonts w:hint="eastAsia" w:ascii="仿宋" w:hAnsi="仿宋" w:eastAsia="仿宋" w:cs="仿宋"/>
                <w:b/>
                <w:bCs/>
                <w:kern w:val="0"/>
                <w:szCs w:val="21"/>
              </w:rPr>
              <w:t>分）</w:t>
            </w:r>
          </w:p>
        </w:tc>
        <w:tc>
          <w:tcPr>
            <w:tcW w:w="6520" w:type="dxa"/>
            <w:vAlign w:val="center"/>
          </w:tcPr>
          <w:p w14:paraId="1F345B14">
            <w:pPr>
              <w:pStyle w:val="16"/>
              <w:keepNext w:val="0"/>
              <w:keepLines w:val="0"/>
              <w:pageBreakBefore w:val="0"/>
              <w:widowControl w:val="0"/>
              <w:kinsoku/>
              <w:wordWrap/>
              <w:overflowPunct/>
              <w:topLinePunct w:val="0"/>
              <w:bidi w:val="0"/>
              <w:spacing w:after="0" w:line="280" w:lineRule="exact"/>
              <w:ind w:left="0" w:leftChars="0" w:firstLine="210" w:firstLineChars="100"/>
              <w:textAlignment w:val="auto"/>
              <w:rPr>
                <w:rFonts w:ascii="仿宋" w:hAnsi="仿宋" w:eastAsia="仿宋" w:cs="仿宋"/>
              </w:rPr>
            </w:pPr>
            <w:r>
              <w:rPr>
                <w:rFonts w:hint="eastAsia" w:ascii="仿宋" w:hAnsi="仿宋" w:eastAsia="仿宋" w:cs="仿宋"/>
              </w:rPr>
              <w:t xml:space="preserve">评标委员会对比各投标人针对本项目提供的应急处理方案及措施等情况进行集体讨论确定供应商“一档、二档、三档、四档”各所属档次。       </w:t>
            </w:r>
          </w:p>
          <w:p w14:paraId="75DB32F6">
            <w:pPr>
              <w:pStyle w:val="16"/>
              <w:keepNext w:val="0"/>
              <w:keepLines w:val="0"/>
              <w:pageBreakBefore w:val="0"/>
              <w:widowControl w:val="0"/>
              <w:kinsoku/>
              <w:wordWrap/>
              <w:overflowPunct/>
              <w:topLinePunct w:val="0"/>
              <w:bidi w:val="0"/>
              <w:spacing w:after="0" w:line="280" w:lineRule="exact"/>
              <w:ind w:left="0" w:leftChars="0"/>
              <w:textAlignment w:val="auto"/>
              <w:rPr>
                <w:rFonts w:ascii="仿宋" w:hAnsi="仿宋" w:eastAsia="仿宋" w:cs="仿宋"/>
              </w:rPr>
            </w:pPr>
            <w:r>
              <w:rPr>
                <w:rFonts w:hint="eastAsia" w:ascii="仿宋" w:hAnsi="仿宋" w:eastAsia="仿宋" w:cs="仿宋"/>
              </w:rPr>
              <w:t xml:space="preserve">（1）一档（2分）：应急处理方案及措施编制描述简单。 </w:t>
            </w:r>
          </w:p>
          <w:p w14:paraId="7D8DBFC8">
            <w:pPr>
              <w:pStyle w:val="16"/>
              <w:keepNext w:val="0"/>
              <w:keepLines w:val="0"/>
              <w:pageBreakBefore w:val="0"/>
              <w:widowControl w:val="0"/>
              <w:kinsoku/>
              <w:wordWrap/>
              <w:overflowPunct/>
              <w:topLinePunct w:val="0"/>
              <w:bidi w:val="0"/>
              <w:spacing w:after="0" w:line="280" w:lineRule="exact"/>
              <w:ind w:left="0" w:leftChars="0"/>
              <w:textAlignment w:val="auto"/>
              <w:rPr>
                <w:rFonts w:ascii="仿宋" w:hAnsi="仿宋" w:eastAsia="仿宋" w:cs="仿宋"/>
              </w:rPr>
            </w:pPr>
            <w:r>
              <w:rPr>
                <w:rFonts w:hint="eastAsia" w:ascii="仿宋" w:hAnsi="仿宋" w:eastAsia="仿宋" w:cs="仿宋"/>
              </w:rPr>
              <w:t>（2）二档（</w:t>
            </w:r>
            <w:r>
              <w:rPr>
                <w:rFonts w:hint="eastAsia" w:ascii="仿宋" w:hAnsi="仿宋" w:eastAsia="仿宋" w:cs="仿宋"/>
                <w:lang w:val="en-US" w:eastAsia="zh-CN"/>
              </w:rPr>
              <w:t>5</w:t>
            </w:r>
            <w:r>
              <w:rPr>
                <w:rFonts w:hint="eastAsia" w:ascii="仿宋" w:hAnsi="仿宋" w:eastAsia="仿宋" w:cs="仿宋"/>
              </w:rPr>
              <w:t>分）：提供的应急处理方案描述较完整，有应急处理实施</w:t>
            </w:r>
            <w:r>
              <w:rPr>
                <w:rFonts w:hint="eastAsia" w:ascii="仿宋" w:hAnsi="仿宋" w:eastAsia="仿宋" w:cs="仿宋"/>
                <w:lang w:eastAsia="zh-CN"/>
              </w:rPr>
              <w:t>计划</w:t>
            </w:r>
            <w:r>
              <w:rPr>
                <w:rFonts w:hint="eastAsia" w:ascii="仿宋" w:hAnsi="仿宋" w:eastAsia="仿宋" w:cs="仿宋"/>
              </w:rPr>
              <w:t xml:space="preserve">等方面内容，基本满足项目需求。 </w:t>
            </w:r>
          </w:p>
          <w:p w14:paraId="65B818E2">
            <w:pPr>
              <w:pStyle w:val="16"/>
              <w:keepNext w:val="0"/>
              <w:keepLines w:val="0"/>
              <w:pageBreakBefore w:val="0"/>
              <w:widowControl w:val="0"/>
              <w:kinsoku/>
              <w:wordWrap/>
              <w:overflowPunct/>
              <w:topLinePunct w:val="0"/>
              <w:bidi w:val="0"/>
              <w:spacing w:after="0" w:line="280" w:lineRule="exact"/>
              <w:ind w:left="0" w:leftChars="0"/>
              <w:textAlignment w:val="auto"/>
              <w:rPr>
                <w:rFonts w:ascii="仿宋" w:hAnsi="仿宋" w:eastAsia="仿宋" w:cs="仿宋"/>
              </w:rPr>
            </w:pPr>
            <w:r>
              <w:rPr>
                <w:rFonts w:hint="eastAsia" w:ascii="仿宋" w:hAnsi="仿宋" w:eastAsia="仿宋" w:cs="仿宋"/>
              </w:rPr>
              <w:t>（3）三档（</w:t>
            </w:r>
            <w:r>
              <w:rPr>
                <w:rFonts w:hint="eastAsia" w:ascii="仿宋" w:hAnsi="仿宋" w:eastAsia="仿宋" w:cs="仿宋"/>
                <w:lang w:val="en-US" w:eastAsia="zh-CN"/>
              </w:rPr>
              <w:t>8</w:t>
            </w:r>
            <w:r>
              <w:rPr>
                <w:rFonts w:hint="eastAsia" w:ascii="仿宋" w:hAnsi="仿宋" w:eastAsia="仿宋" w:cs="仿宋"/>
              </w:rPr>
              <w:t>分）：项目应急处理方案详实，应急处理措施较完善，较有效、优化，有突发事件应急处理实施计划等方面内容，满足采购需求。</w:t>
            </w:r>
          </w:p>
          <w:p w14:paraId="58A359D1">
            <w:pPr>
              <w:keepNext w:val="0"/>
              <w:keepLines w:val="0"/>
              <w:pageBreakBefore w:val="0"/>
              <w:widowControl w:val="0"/>
              <w:kinsoku/>
              <w:wordWrap/>
              <w:overflowPunct/>
              <w:topLinePunct w:val="0"/>
              <w:bidi w:val="0"/>
              <w:spacing w:line="280" w:lineRule="exact"/>
              <w:jc w:val="left"/>
              <w:textAlignment w:val="auto"/>
              <w:rPr>
                <w:rFonts w:ascii="仿宋" w:hAnsi="仿宋" w:eastAsia="仿宋" w:cs="仿宋"/>
                <w:szCs w:val="21"/>
              </w:rPr>
            </w:pPr>
            <w:r>
              <w:rPr>
                <w:rFonts w:hint="eastAsia" w:ascii="仿宋" w:hAnsi="仿宋" w:eastAsia="仿宋" w:cs="仿宋"/>
              </w:rPr>
              <w:t>（4）四档（</w:t>
            </w:r>
            <w:r>
              <w:rPr>
                <w:rFonts w:hint="eastAsia" w:ascii="仿宋" w:hAnsi="仿宋" w:eastAsia="仿宋" w:cs="仿宋"/>
                <w:lang w:val="en-US" w:eastAsia="zh-CN"/>
              </w:rPr>
              <w:t>12</w:t>
            </w:r>
            <w:r>
              <w:rPr>
                <w:rFonts w:hint="eastAsia" w:ascii="仿宋" w:hAnsi="仿宋" w:eastAsia="仿宋" w:cs="仿宋"/>
              </w:rPr>
              <w:t>分）：项目应急处理方案非常</w:t>
            </w:r>
            <w:r>
              <w:rPr>
                <w:rFonts w:hint="eastAsia" w:ascii="仿宋" w:hAnsi="仿宋" w:eastAsia="仿宋" w:cs="仿宋"/>
                <w:lang w:eastAsia="zh-CN"/>
              </w:rPr>
              <w:t>翔实</w:t>
            </w:r>
            <w:r>
              <w:rPr>
                <w:rFonts w:hint="eastAsia" w:ascii="仿宋" w:hAnsi="仿宋" w:eastAsia="仿宋" w:cs="仿宋"/>
              </w:rPr>
              <w:t>，应急处理措施完善，方案措施有效、优化、切实可行，突发事件应急处理实施计划等方面内容，满足采购需求。</w:t>
            </w:r>
          </w:p>
        </w:tc>
        <w:tc>
          <w:tcPr>
            <w:tcW w:w="704" w:type="dxa"/>
            <w:vAlign w:val="center"/>
          </w:tcPr>
          <w:p w14:paraId="27255F13">
            <w:pPr>
              <w:spacing w:line="240" w:lineRule="atLeast"/>
              <w:ind w:firstLine="25" w:firstLineChars="12"/>
              <w:jc w:val="center"/>
              <w:rPr>
                <w:rFonts w:ascii="仿宋" w:hAnsi="仿宋" w:eastAsia="仿宋" w:cs="仿宋"/>
                <w:szCs w:val="21"/>
              </w:rPr>
            </w:pPr>
          </w:p>
        </w:tc>
      </w:tr>
      <w:tr w14:paraId="44F0F379">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57" w:type="dxa"/>
            <w:left w:w="108" w:type="dxa"/>
            <w:bottom w:w="57" w:type="dxa"/>
            <w:right w:w="108" w:type="dxa"/>
          </w:tblCellMar>
        </w:tblPrEx>
        <w:trPr>
          <w:trHeight w:val="492" w:hRule="atLeast"/>
          <w:jc w:val="center"/>
        </w:trPr>
        <w:tc>
          <w:tcPr>
            <w:tcW w:w="8632" w:type="dxa"/>
            <w:gridSpan w:val="5"/>
            <w:vAlign w:val="center"/>
          </w:tcPr>
          <w:p w14:paraId="602502CD">
            <w:pPr>
              <w:keepNext w:val="0"/>
              <w:keepLines w:val="0"/>
              <w:pageBreakBefore w:val="0"/>
              <w:widowControl w:val="0"/>
              <w:tabs>
                <w:tab w:val="center" w:pos="4153"/>
                <w:tab w:val="right" w:pos="8306"/>
              </w:tabs>
              <w:kinsoku/>
              <w:wordWrap/>
              <w:overflowPunct/>
              <w:topLinePunct w:val="0"/>
              <w:bidi w:val="0"/>
              <w:snapToGrid w:val="0"/>
              <w:spacing w:line="280" w:lineRule="exact"/>
              <w:ind w:firstLine="482"/>
              <w:jc w:val="center"/>
              <w:textAlignment w:val="auto"/>
              <w:rPr>
                <w:rFonts w:ascii="仿宋" w:hAnsi="仿宋" w:eastAsia="仿宋" w:cs="仿宋"/>
                <w:b/>
                <w:color w:val="000000"/>
                <w:szCs w:val="21"/>
              </w:rPr>
            </w:pPr>
            <w:r>
              <w:rPr>
                <w:rFonts w:hint="eastAsia" w:ascii="仿宋" w:hAnsi="仿宋" w:eastAsia="仿宋" w:cs="仿宋"/>
                <w:b/>
                <w:color w:val="0000FF"/>
                <w:szCs w:val="21"/>
              </w:rPr>
              <w:t>四、商务部分（2</w:t>
            </w:r>
            <w:r>
              <w:rPr>
                <w:rFonts w:hint="eastAsia" w:ascii="仿宋" w:hAnsi="仿宋" w:eastAsia="仿宋" w:cs="仿宋"/>
                <w:b/>
                <w:color w:val="0000FF"/>
                <w:szCs w:val="21"/>
                <w:lang w:val="en-US" w:eastAsia="zh-CN"/>
              </w:rPr>
              <w:t>0</w:t>
            </w:r>
            <w:r>
              <w:rPr>
                <w:rFonts w:hint="eastAsia" w:ascii="仿宋" w:hAnsi="仿宋" w:eastAsia="仿宋" w:cs="仿宋"/>
                <w:b/>
                <w:color w:val="0000FF"/>
                <w:szCs w:val="21"/>
              </w:rPr>
              <w:t>分）</w:t>
            </w:r>
          </w:p>
        </w:tc>
        <w:tc>
          <w:tcPr>
            <w:tcW w:w="704" w:type="dxa"/>
            <w:vAlign w:val="center"/>
          </w:tcPr>
          <w:p w14:paraId="3CAE92BC">
            <w:pPr>
              <w:tabs>
                <w:tab w:val="center" w:pos="4153"/>
                <w:tab w:val="right" w:pos="8306"/>
              </w:tabs>
              <w:snapToGrid w:val="0"/>
              <w:spacing w:line="240" w:lineRule="atLeast"/>
              <w:jc w:val="center"/>
              <w:rPr>
                <w:rFonts w:ascii="仿宋" w:hAnsi="仿宋" w:eastAsia="仿宋" w:cs="仿宋"/>
                <w:color w:val="000000"/>
                <w:szCs w:val="21"/>
              </w:rPr>
            </w:pPr>
          </w:p>
        </w:tc>
      </w:tr>
      <w:tr w14:paraId="2D5E3053">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57" w:type="dxa"/>
            <w:left w:w="108" w:type="dxa"/>
            <w:bottom w:w="57" w:type="dxa"/>
            <w:right w:w="108" w:type="dxa"/>
          </w:tblCellMar>
        </w:tblPrEx>
        <w:trPr>
          <w:trHeight w:val="319" w:hRule="atLeast"/>
          <w:jc w:val="center"/>
        </w:trPr>
        <w:tc>
          <w:tcPr>
            <w:tcW w:w="799" w:type="dxa"/>
            <w:vAlign w:val="center"/>
          </w:tcPr>
          <w:p w14:paraId="1BB6B42A">
            <w:pPr>
              <w:tabs>
                <w:tab w:val="center" w:pos="4153"/>
                <w:tab w:val="right" w:pos="8306"/>
              </w:tabs>
              <w:snapToGrid w:val="0"/>
              <w:spacing w:line="240" w:lineRule="atLeast"/>
              <w:ind w:firstLine="211" w:firstLineChars="100"/>
              <w:rPr>
                <w:rFonts w:ascii="仿宋" w:hAnsi="仿宋" w:eastAsia="仿宋" w:cs="仿宋"/>
                <w:b/>
                <w:color w:val="000000"/>
                <w:szCs w:val="21"/>
              </w:rPr>
            </w:pPr>
            <w:r>
              <w:rPr>
                <w:rFonts w:hint="eastAsia" w:ascii="仿宋" w:hAnsi="仿宋" w:eastAsia="仿宋" w:cs="仿宋"/>
                <w:b/>
                <w:color w:val="000000"/>
                <w:szCs w:val="21"/>
              </w:rPr>
              <w:t>1</w:t>
            </w:r>
          </w:p>
        </w:tc>
        <w:tc>
          <w:tcPr>
            <w:tcW w:w="1276" w:type="dxa"/>
            <w:gridSpan w:val="2"/>
            <w:vAlign w:val="center"/>
          </w:tcPr>
          <w:p w14:paraId="1A02945C">
            <w:pPr>
              <w:tabs>
                <w:tab w:val="center" w:pos="4153"/>
                <w:tab w:val="right" w:pos="8306"/>
              </w:tabs>
              <w:snapToGrid w:val="0"/>
              <w:spacing w:line="240" w:lineRule="atLeast"/>
              <w:ind w:firstLine="211" w:firstLineChars="100"/>
              <w:rPr>
                <w:rFonts w:ascii="仿宋" w:hAnsi="仿宋" w:eastAsia="仿宋" w:cs="仿宋"/>
                <w:b/>
                <w:color w:val="0000FF"/>
                <w:szCs w:val="21"/>
              </w:rPr>
            </w:pPr>
            <w:r>
              <w:rPr>
                <w:rFonts w:hint="eastAsia" w:ascii="仿宋" w:hAnsi="仿宋" w:eastAsia="仿宋" w:cs="仿宋"/>
                <w:b/>
                <w:color w:val="0000FF"/>
                <w:szCs w:val="21"/>
              </w:rPr>
              <w:t>企业信誉</w:t>
            </w:r>
          </w:p>
          <w:p w14:paraId="1B420E36">
            <w:pPr>
              <w:pStyle w:val="2"/>
              <w:ind w:firstLine="211" w:firstLineChars="100"/>
              <w:rPr>
                <w:rFonts w:ascii="仿宋" w:hAnsi="仿宋" w:eastAsia="仿宋" w:cs="仿宋"/>
                <w:b/>
              </w:rPr>
            </w:pPr>
            <w:r>
              <w:rPr>
                <w:rFonts w:hint="eastAsia" w:ascii="仿宋" w:hAnsi="仿宋" w:eastAsia="仿宋" w:cs="仿宋"/>
                <w:b/>
                <w:color w:val="0000FF"/>
              </w:rPr>
              <w:t>（</w:t>
            </w:r>
            <w:r>
              <w:rPr>
                <w:rFonts w:hint="eastAsia" w:ascii="仿宋" w:hAnsi="仿宋" w:eastAsia="仿宋" w:cs="仿宋"/>
                <w:b/>
                <w:color w:val="0000FF"/>
                <w:lang w:val="en-US" w:eastAsia="zh-CN"/>
              </w:rPr>
              <w:t>3</w:t>
            </w:r>
            <w:r>
              <w:rPr>
                <w:rFonts w:hint="eastAsia" w:ascii="仿宋" w:hAnsi="仿宋" w:eastAsia="仿宋" w:cs="仿宋"/>
                <w:b/>
                <w:color w:val="0000FF"/>
              </w:rPr>
              <w:t>分）</w:t>
            </w:r>
          </w:p>
        </w:tc>
        <w:tc>
          <w:tcPr>
            <w:tcW w:w="6557" w:type="dxa"/>
            <w:gridSpan w:val="2"/>
            <w:vAlign w:val="center"/>
          </w:tcPr>
          <w:p w14:paraId="6EAD6B66">
            <w:pPr>
              <w:pStyle w:val="16"/>
              <w:keepNext w:val="0"/>
              <w:keepLines w:val="0"/>
              <w:pageBreakBefore w:val="0"/>
              <w:widowControl w:val="0"/>
              <w:kinsoku/>
              <w:wordWrap/>
              <w:overflowPunct/>
              <w:topLinePunct w:val="0"/>
              <w:bidi w:val="0"/>
              <w:spacing w:after="0" w:line="280" w:lineRule="exact"/>
              <w:ind w:left="0" w:leftChars="0" w:firstLine="210" w:firstLineChars="100"/>
              <w:textAlignment w:val="auto"/>
              <w:rPr>
                <w:rFonts w:ascii="仿宋" w:hAnsi="仿宋" w:eastAsia="仿宋" w:cs="仿宋"/>
              </w:rPr>
            </w:pPr>
            <w:bookmarkStart w:id="1" w:name="_Hlk79069253"/>
            <w:r>
              <w:rPr>
                <w:rFonts w:hint="eastAsia" w:ascii="仿宋" w:hAnsi="仿宋" w:eastAsia="仿宋" w:cs="仿宋"/>
              </w:rPr>
              <w:t>供应商</w:t>
            </w:r>
            <w:bookmarkEnd w:id="1"/>
            <w:r>
              <w:rPr>
                <w:rFonts w:hint="eastAsia" w:ascii="仿宋" w:hAnsi="仿宋" w:eastAsia="仿宋" w:cs="仿宋"/>
              </w:rPr>
              <w:t>在以往环境监测服务中未受到各级环保主管部门行政处罚、通报、记不良记录、记过</w:t>
            </w:r>
            <w:r>
              <w:rPr>
                <w:rFonts w:hint="eastAsia" w:ascii="仿宋" w:hAnsi="仿宋" w:eastAsia="仿宋" w:cs="仿宋"/>
                <w:lang w:eastAsia="zh-CN"/>
              </w:rPr>
              <w:t>或</w:t>
            </w:r>
            <w:r>
              <w:rPr>
                <w:rFonts w:hint="eastAsia" w:ascii="仿宋" w:hAnsi="仿宋" w:eastAsia="仿宋" w:cs="仿宋"/>
              </w:rPr>
              <w:t>存在弄虚作假等不良行为记录的【磋商文件中提供相应承诺函，加盖供应商公章（供应商应的承诺必须真实有效，若经查实存在虚假承诺的情形，则采购人有权取消其成交资格，并上报监督管理部门处理，且保留追究法律责任的权利）】，得</w:t>
            </w:r>
            <w:r>
              <w:rPr>
                <w:rFonts w:hint="eastAsia" w:ascii="仿宋" w:hAnsi="仿宋" w:eastAsia="仿宋" w:cs="仿宋"/>
                <w:lang w:val="en-US" w:eastAsia="zh-CN"/>
              </w:rPr>
              <w:t>3</w:t>
            </w:r>
            <w:r>
              <w:rPr>
                <w:rFonts w:hint="eastAsia" w:ascii="仿宋" w:hAnsi="仿宋" w:eastAsia="仿宋" w:cs="仿宋"/>
              </w:rPr>
              <w:t>分，未提供相应承诺函或有不良记录的，不得分。</w:t>
            </w:r>
          </w:p>
        </w:tc>
        <w:tc>
          <w:tcPr>
            <w:tcW w:w="704" w:type="dxa"/>
            <w:vAlign w:val="center"/>
          </w:tcPr>
          <w:p w14:paraId="41D243B6">
            <w:pPr>
              <w:pStyle w:val="16"/>
              <w:spacing w:line="400" w:lineRule="exact"/>
              <w:ind w:left="0" w:leftChars="0" w:firstLine="210" w:firstLineChars="100"/>
              <w:rPr>
                <w:rFonts w:ascii="仿宋" w:hAnsi="仿宋" w:eastAsia="仿宋" w:cs="仿宋"/>
              </w:rPr>
            </w:pPr>
          </w:p>
        </w:tc>
      </w:tr>
      <w:tr w14:paraId="2C08AA16">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57" w:type="dxa"/>
            <w:left w:w="108" w:type="dxa"/>
            <w:bottom w:w="57" w:type="dxa"/>
            <w:right w:w="108" w:type="dxa"/>
          </w:tblCellMar>
        </w:tblPrEx>
        <w:trPr>
          <w:trHeight w:val="919" w:hRule="atLeast"/>
          <w:jc w:val="center"/>
        </w:trPr>
        <w:tc>
          <w:tcPr>
            <w:tcW w:w="799" w:type="dxa"/>
            <w:vAlign w:val="center"/>
          </w:tcPr>
          <w:p w14:paraId="3BA4EB52">
            <w:pPr>
              <w:tabs>
                <w:tab w:val="center" w:pos="4153"/>
                <w:tab w:val="right" w:pos="8306"/>
              </w:tabs>
              <w:snapToGrid w:val="0"/>
              <w:spacing w:line="240" w:lineRule="atLeast"/>
              <w:ind w:firstLine="211" w:firstLineChars="100"/>
              <w:rPr>
                <w:rFonts w:ascii="仿宋" w:hAnsi="仿宋" w:eastAsia="仿宋" w:cs="仿宋"/>
                <w:b/>
                <w:color w:val="000000"/>
                <w:szCs w:val="21"/>
              </w:rPr>
            </w:pPr>
            <w:r>
              <w:rPr>
                <w:rFonts w:hint="eastAsia" w:ascii="仿宋" w:hAnsi="仿宋" w:eastAsia="仿宋" w:cs="仿宋"/>
                <w:b/>
                <w:color w:val="000000"/>
                <w:szCs w:val="21"/>
              </w:rPr>
              <w:t>2</w:t>
            </w:r>
          </w:p>
        </w:tc>
        <w:tc>
          <w:tcPr>
            <w:tcW w:w="1276" w:type="dxa"/>
            <w:gridSpan w:val="2"/>
            <w:vAlign w:val="center"/>
          </w:tcPr>
          <w:p w14:paraId="7A00D547">
            <w:pPr>
              <w:tabs>
                <w:tab w:val="center" w:pos="4153"/>
                <w:tab w:val="right" w:pos="8306"/>
              </w:tabs>
              <w:snapToGrid w:val="0"/>
              <w:spacing w:line="240" w:lineRule="atLeast"/>
              <w:ind w:firstLine="422" w:firstLineChars="200"/>
              <w:rPr>
                <w:rFonts w:ascii="仿宋" w:hAnsi="仿宋" w:eastAsia="仿宋" w:cs="仿宋"/>
                <w:b/>
                <w:bCs/>
                <w:color w:val="0000FF"/>
                <w:kern w:val="0"/>
                <w:szCs w:val="21"/>
              </w:rPr>
            </w:pPr>
            <w:r>
              <w:rPr>
                <w:rFonts w:hint="eastAsia" w:ascii="仿宋" w:hAnsi="仿宋" w:eastAsia="仿宋" w:cs="仿宋"/>
                <w:b/>
                <w:bCs/>
                <w:color w:val="0000FF"/>
                <w:kern w:val="0"/>
                <w:szCs w:val="21"/>
              </w:rPr>
              <w:t>业绩</w:t>
            </w:r>
          </w:p>
          <w:p w14:paraId="0B279A25">
            <w:pPr>
              <w:pStyle w:val="2"/>
              <w:ind w:firstLine="211" w:firstLineChars="100"/>
              <w:rPr>
                <w:rFonts w:ascii="仿宋" w:hAnsi="仿宋" w:eastAsia="仿宋" w:cs="仿宋"/>
                <w:b/>
              </w:rPr>
            </w:pPr>
            <w:r>
              <w:rPr>
                <w:rFonts w:hint="eastAsia" w:ascii="仿宋" w:hAnsi="仿宋" w:eastAsia="仿宋" w:cs="仿宋"/>
                <w:b/>
                <w:color w:val="0000FF"/>
              </w:rPr>
              <w:t>（</w:t>
            </w:r>
            <w:r>
              <w:rPr>
                <w:rFonts w:hint="eastAsia" w:ascii="仿宋" w:hAnsi="仿宋" w:eastAsia="仿宋" w:cs="仿宋"/>
                <w:b/>
                <w:color w:val="0000FF"/>
                <w:lang w:val="en-US" w:eastAsia="zh-CN"/>
              </w:rPr>
              <w:t>2</w:t>
            </w:r>
            <w:r>
              <w:rPr>
                <w:rFonts w:hint="eastAsia" w:ascii="仿宋" w:hAnsi="仿宋" w:eastAsia="仿宋" w:cs="仿宋"/>
                <w:b/>
                <w:color w:val="0000FF"/>
              </w:rPr>
              <w:t>分</w:t>
            </w:r>
            <w:r>
              <w:rPr>
                <w:rFonts w:hint="eastAsia" w:ascii="仿宋" w:hAnsi="仿宋" w:eastAsia="仿宋" w:cs="仿宋"/>
                <w:b/>
              </w:rPr>
              <w:t>）</w:t>
            </w:r>
          </w:p>
        </w:tc>
        <w:tc>
          <w:tcPr>
            <w:tcW w:w="6557" w:type="dxa"/>
            <w:gridSpan w:val="2"/>
            <w:vAlign w:val="center"/>
          </w:tcPr>
          <w:p w14:paraId="76CF8CD9">
            <w:pPr>
              <w:pStyle w:val="16"/>
              <w:keepNext w:val="0"/>
              <w:keepLines w:val="0"/>
              <w:pageBreakBefore w:val="0"/>
              <w:widowControl w:val="0"/>
              <w:kinsoku/>
              <w:wordWrap/>
              <w:overflowPunct/>
              <w:topLinePunct w:val="0"/>
              <w:bidi w:val="0"/>
              <w:spacing w:after="0" w:line="280" w:lineRule="exact"/>
              <w:ind w:left="0" w:leftChars="0" w:firstLine="210" w:firstLineChars="100"/>
              <w:textAlignment w:val="auto"/>
              <w:rPr>
                <w:rFonts w:ascii="仿宋" w:hAnsi="仿宋" w:eastAsia="仿宋" w:cs="仿宋"/>
              </w:rPr>
            </w:pPr>
            <w:r>
              <w:rPr>
                <w:rFonts w:hint="eastAsia" w:ascii="仿宋" w:hAnsi="仿宋" w:eastAsia="仿宋" w:cs="仿宋"/>
                <w:lang w:val="en-US" w:eastAsia="zh-CN"/>
              </w:rPr>
              <w:t>2019</w:t>
            </w:r>
            <w:r>
              <w:rPr>
                <w:rFonts w:hint="eastAsia" w:ascii="仿宋" w:hAnsi="仿宋" w:eastAsia="仿宋" w:cs="仿宋"/>
              </w:rPr>
              <w:t>年</w:t>
            </w:r>
            <w:r>
              <w:rPr>
                <w:rFonts w:hint="eastAsia" w:ascii="仿宋" w:hAnsi="仿宋" w:eastAsia="仿宋" w:cs="仿宋"/>
                <w:lang w:val="en-US" w:eastAsia="zh-CN"/>
              </w:rPr>
              <w:t>1月</w:t>
            </w:r>
            <w:r>
              <w:rPr>
                <w:rFonts w:hint="eastAsia" w:ascii="仿宋" w:hAnsi="仿宋" w:eastAsia="仿宋" w:cs="仿宋"/>
              </w:rPr>
              <w:t>以来至响应文件递交截止时间止，具有政府采购同类</w:t>
            </w:r>
            <w:r>
              <w:rPr>
                <w:rFonts w:hint="eastAsia" w:ascii="仿宋" w:hAnsi="仿宋" w:eastAsia="仿宋" w:cs="仿宋"/>
                <w:color w:val="auto"/>
                <w:highlight w:val="yellow"/>
                <w:lang w:val="en-US" w:eastAsia="zh-CN"/>
              </w:rPr>
              <w:t>酸雨自动监测运维</w:t>
            </w:r>
            <w:r>
              <w:rPr>
                <w:rFonts w:hint="eastAsia" w:ascii="仿宋" w:hAnsi="仿宋" w:eastAsia="仿宋" w:cs="仿宋"/>
              </w:rPr>
              <w:t xml:space="preserve"> [无不良记录</w:t>
            </w:r>
            <w:r>
              <w:rPr>
                <w:rFonts w:hint="eastAsia" w:ascii="仿宋" w:hAnsi="仿宋" w:eastAsia="仿宋" w:cs="仿宋"/>
                <w:lang w:eastAsia="zh-CN"/>
              </w:rPr>
              <w:t>，</w:t>
            </w:r>
            <w:r>
              <w:rPr>
                <w:rFonts w:hint="eastAsia" w:ascii="仿宋" w:hAnsi="仿宋" w:eastAsia="仿宋" w:cs="仿宋"/>
              </w:rPr>
              <w:t>以中标、成交通知书或签订的服务合同为准，并能清晰反映所服务名称、服务内容、日期，否则将不予评审，同一个编号的项目有两个或两个以上的分标中标的只算一次] ，每有1项得1分</w:t>
            </w:r>
          </w:p>
        </w:tc>
        <w:tc>
          <w:tcPr>
            <w:tcW w:w="704" w:type="dxa"/>
            <w:vAlign w:val="center"/>
          </w:tcPr>
          <w:p w14:paraId="123503AF">
            <w:pPr>
              <w:pStyle w:val="16"/>
              <w:spacing w:line="400" w:lineRule="exact"/>
              <w:ind w:left="0" w:leftChars="0" w:firstLine="210" w:firstLineChars="100"/>
              <w:rPr>
                <w:rFonts w:ascii="仿宋" w:hAnsi="仿宋" w:eastAsia="仿宋" w:cs="仿宋"/>
              </w:rPr>
            </w:pPr>
          </w:p>
        </w:tc>
      </w:tr>
      <w:tr w14:paraId="5247ECED">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57" w:type="dxa"/>
            <w:left w:w="108" w:type="dxa"/>
            <w:bottom w:w="57" w:type="dxa"/>
            <w:right w:w="108" w:type="dxa"/>
          </w:tblCellMar>
        </w:tblPrEx>
        <w:trPr>
          <w:trHeight w:val="492" w:hRule="atLeast"/>
          <w:jc w:val="center"/>
        </w:trPr>
        <w:tc>
          <w:tcPr>
            <w:tcW w:w="799" w:type="dxa"/>
            <w:vAlign w:val="center"/>
          </w:tcPr>
          <w:p w14:paraId="5D3038F3">
            <w:pPr>
              <w:tabs>
                <w:tab w:val="center" w:pos="4153"/>
                <w:tab w:val="right" w:pos="8306"/>
              </w:tabs>
              <w:snapToGrid w:val="0"/>
              <w:spacing w:line="240" w:lineRule="atLeast"/>
              <w:ind w:firstLine="211" w:firstLineChars="100"/>
              <w:rPr>
                <w:rFonts w:ascii="仿宋" w:hAnsi="仿宋" w:eastAsia="仿宋" w:cs="仿宋"/>
                <w:b/>
                <w:color w:val="000000"/>
                <w:szCs w:val="21"/>
              </w:rPr>
            </w:pPr>
            <w:r>
              <w:rPr>
                <w:rFonts w:hint="eastAsia" w:ascii="仿宋" w:hAnsi="仿宋" w:eastAsia="仿宋" w:cs="仿宋"/>
                <w:b/>
                <w:color w:val="000000"/>
                <w:szCs w:val="21"/>
              </w:rPr>
              <w:t>3</w:t>
            </w:r>
          </w:p>
        </w:tc>
        <w:tc>
          <w:tcPr>
            <w:tcW w:w="1276" w:type="dxa"/>
            <w:gridSpan w:val="2"/>
            <w:vAlign w:val="center"/>
          </w:tcPr>
          <w:p w14:paraId="37961766">
            <w:pPr>
              <w:tabs>
                <w:tab w:val="center" w:pos="4153"/>
                <w:tab w:val="right" w:pos="8306"/>
              </w:tabs>
              <w:snapToGrid w:val="0"/>
              <w:spacing w:line="240" w:lineRule="atLeast"/>
              <w:rPr>
                <w:rFonts w:ascii="仿宋" w:hAnsi="仿宋" w:eastAsia="仿宋" w:cs="仿宋"/>
                <w:b/>
                <w:color w:val="000000"/>
                <w:szCs w:val="21"/>
              </w:rPr>
            </w:pPr>
            <w:r>
              <w:rPr>
                <w:rFonts w:hint="eastAsia" w:ascii="仿宋" w:hAnsi="仿宋" w:eastAsia="仿宋" w:cs="仿宋"/>
                <w:b/>
                <w:color w:val="000000"/>
                <w:szCs w:val="21"/>
              </w:rPr>
              <w:t>售后服务承诺</w:t>
            </w:r>
          </w:p>
          <w:p w14:paraId="5BA287B3">
            <w:pPr>
              <w:pStyle w:val="2"/>
              <w:rPr>
                <w:rFonts w:ascii="仿宋" w:hAnsi="仿宋" w:eastAsia="仿宋" w:cs="仿宋"/>
                <w:b/>
              </w:rPr>
            </w:pPr>
            <w:r>
              <w:rPr>
                <w:rFonts w:hint="eastAsia" w:ascii="仿宋" w:hAnsi="仿宋" w:eastAsia="仿宋" w:cs="仿宋"/>
                <w:b/>
              </w:rPr>
              <w:t>（1</w:t>
            </w:r>
            <w:r>
              <w:rPr>
                <w:rFonts w:hint="eastAsia" w:ascii="仿宋" w:hAnsi="仿宋" w:eastAsia="仿宋" w:cs="仿宋"/>
                <w:b/>
                <w:lang w:val="en-US" w:eastAsia="zh-CN"/>
              </w:rPr>
              <w:t>5</w:t>
            </w:r>
            <w:r>
              <w:rPr>
                <w:rFonts w:hint="eastAsia" w:ascii="仿宋" w:hAnsi="仿宋" w:eastAsia="仿宋" w:cs="仿宋"/>
                <w:b/>
              </w:rPr>
              <w:t>分）</w:t>
            </w:r>
          </w:p>
        </w:tc>
        <w:tc>
          <w:tcPr>
            <w:tcW w:w="6557" w:type="dxa"/>
            <w:gridSpan w:val="2"/>
            <w:vAlign w:val="center"/>
          </w:tcPr>
          <w:p w14:paraId="1DF37994">
            <w:pPr>
              <w:pStyle w:val="16"/>
              <w:keepNext w:val="0"/>
              <w:keepLines w:val="0"/>
              <w:pageBreakBefore w:val="0"/>
              <w:widowControl w:val="0"/>
              <w:kinsoku/>
              <w:wordWrap/>
              <w:overflowPunct/>
              <w:topLinePunct w:val="0"/>
              <w:bidi w:val="0"/>
              <w:spacing w:after="0" w:line="280" w:lineRule="exact"/>
              <w:ind w:left="0" w:leftChars="0" w:firstLine="210" w:firstLineChars="100"/>
              <w:textAlignment w:val="auto"/>
              <w:rPr>
                <w:rFonts w:ascii="仿宋" w:hAnsi="仿宋" w:eastAsia="仿宋" w:cs="仿宋"/>
              </w:rPr>
            </w:pPr>
            <w:r>
              <w:rPr>
                <w:rFonts w:ascii="仿宋" w:hAnsi="仿宋" w:eastAsia="仿宋" w:cs="仿宋"/>
              </w:rPr>
              <w:t>由评委在打分前根据</w:t>
            </w:r>
            <w:r>
              <w:rPr>
                <w:rFonts w:hint="eastAsia" w:ascii="仿宋" w:hAnsi="仿宋" w:eastAsia="仿宋" w:cs="仿宋"/>
                <w:lang w:eastAsia="zh-CN"/>
              </w:rPr>
              <w:t>采购</w:t>
            </w:r>
            <w:r>
              <w:rPr>
                <w:rFonts w:ascii="仿宋" w:hAnsi="仿宋" w:eastAsia="仿宋" w:cs="仿宋"/>
              </w:rPr>
              <w:t>文件要求，对各投标人投标文件中提供的服务承诺方案的可行性、可操作性、针对性等方面，比较各投标人项目实施方案的优劣，集体讨论确定投标人“一档、二档、三档、四档”各所属档次并形成书面材料确定等级评定档次，并详细记录各投标</w:t>
            </w:r>
            <w:r>
              <w:rPr>
                <w:rFonts w:hint="eastAsia" w:ascii="仿宋" w:hAnsi="仿宋" w:eastAsia="仿宋" w:cs="仿宋"/>
                <w:lang w:eastAsia="zh-CN"/>
              </w:rPr>
              <w:t>人的</w:t>
            </w:r>
            <w:r>
              <w:rPr>
                <w:rFonts w:ascii="仿宋" w:hAnsi="仿宋" w:eastAsia="仿宋" w:cs="仿宋"/>
              </w:rPr>
              <w:t>差别；评委依照等级评定内容在相应档次内独立打分。</w:t>
            </w:r>
          </w:p>
          <w:p w14:paraId="53DFBC9B">
            <w:pPr>
              <w:pStyle w:val="16"/>
              <w:keepNext w:val="0"/>
              <w:keepLines w:val="0"/>
              <w:pageBreakBefore w:val="0"/>
              <w:widowControl w:val="0"/>
              <w:kinsoku/>
              <w:wordWrap/>
              <w:overflowPunct/>
              <w:topLinePunct w:val="0"/>
              <w:bidi w:val="0"/>
              <w:spacing w:after="0" w:line="280" w:lineRule="exact"/>
              <w:ind w:left="0" w:leftChars="0" w:firstLine="210" w:firstLineChars="100"/>
              <w:textAlignment w:val="auto"/>
              <w:rPr>
                <w:rFonts w:ascii="仿宋" w:hAnsi="仿宋" w:eastAsia="仿宋" w:cs="仿宋"/>
              </w:rPr>
            </w:pPr>
            <w:r>
              <w:rPr>
                <w:rFonts w:hint="eastAsia" w:ascii="仿宋" w:hAnsi="仿宋" w:eastAsia="仿宋" w:cs="仿宋"/>
              </w:rPr>
              <w:t>（1）</w:t>
            </w:r>
            <w:r>
              <w:rPr>
                <w:rFonts w:ascii="仿宋" w:hAnsi="仿宋" w:eastAsia="仿宋" w:cs="仿宋"/>
              </w:rPr>
              <w:t>一档（</w:t>
            </w:r>
            <w:r>
              <w:rPr>
                <w:rFonts w:hint="eastAsia" w:ascii="仿宋" w:hAnsi="仿宋" w:eastAsia="仿宋" w:cs="仿宋"/>
                <w:lang w:val="en-US" w:eastAsia="zh-CN"/>
              </w:rPr>
              <w:t>5</w:t>
            </w:r>
            <w:r>
              <w:rPr>
                <w:rFonts w:ascii="仿宋" w:hAnsi="仿宋" w:eastAsia="仿宋" w:cs="仿宋"/>
              </w:rPr>
              <w:t>分）：</w:t>
            </w:r>
            <w:r>
              <w:rPr>
                <w:rFonts w:hint="eastAsia" w:ascii="仿宋" w:hAnsi="仿宋" w:eastAsia="仿宋" w:cs="仿宋"/>
              </w:rPr>
              <w:t>服务承诺不具体，不全面，</w:t>
            </w:r>
            <w:r>
              <w:rPr>
                <w:rFonts w:ascii="仿宋" w:hAnsi="仿宋" w:eastAsia="仿宋" w:cs="仿宋"/>
              </w:rPr>
              <w:t>综合评定</w:t>
            </w:r>
            <w:r>
              <w:rPr>
                <w:rFonts w:hint="eastAsia" w:ascii="仿宋" w:hAnsi="仿宋" w:eastAsia="仿宋" w:cs="仿宋"/>
              </w:rPr>
              <w:t>差的</w:t>
            </w:r>
            <w:r>
              <w:rPr>
                <w:rFonts w:ascii="仿宋" w:hAnsi="仿宋" w:eastAsia="仿宋" w:cs="仿宋"/>
              </w:rPr>
              <w:t>；</w:t>
            </w:r>
          </w:p>
          <w:p w14:paraId="3B547124">
            <w:pPr>
              <w:pStyle w:val="16"/>
              <w:keepNext w:val="0"/>
              <w:keepLines w:val="0"/>
              <w:pageBreakBefore w:val="0"/>
              <w:widowControl w:val="0"/>
              <w:kinsoku/>
              <w:wordWrap/>
              <w:overflowPunct/>
              <w:topLinePunct w:val="0"/>
              <w:bidi w:val="0"/>
              <w:spacing w:after="0" w:line="280" w:lineRule="exact"/>
              <w:ind w:left="0" w:leftChars="0" w:firstLine="210" w:firstLineChars="100"/>
              <w:textAlignment w:val="auto"/>
              <w:rPr>
                <w:rFonts w:ascii="仿宋" w:hAnsi="仿宋" w:eastAsia="仿宋" w:cs="仿宋"/>
              </w:rPr>
            </w:pPr>
            <w:r>
              <w:rPr>
                <w:rFonts w:hint="eastAsia" w:ascii="仿宋" w:hAnsi="仿宋" w:eastAsia="仿宋" w:cs="仿宋"/>
              </w:rPr>
              <w:t>（2）</w:t>
            </w:r>
            <w:r>
              <w:rPr>
                <w:rFonts w:ascii="仿宋" w:hAnsi="仿宋" w:eastAsia="仿宋" w:cs="仿宋"/>
              </w:rPr>
              <w:t>二档（</w:t>
            </w:r>
            <w:r>
              <w:rPr>
                <w:rFonts w:hint="eastAsia" w:ascii="仿宋" w:hAnsi="仿宋" w:eastAsia="仿宋" w:cs="仿宋"/>
                <w:lang w:val="en-US" w:eastAsia="zh-CN"/>
              </w:rPr>
              <w:t>9</w:t>
            </w:r>
            <w:r>
              <w:rPr>
                <w:rFonts w:ascii="仿宋" w:hAnsi="仿宋" w:eastAsia="仿宋" w:cs="仿宋"/>
              </w:rPr>
              <w:t>分）：</w:t>
            </w:r>
            <w:r>
              <w:rPr>
                <w:rFonts w:hint="eastAsia" w:ascii="仿宋" w:hAnsi="仿宋" w:eastAsia="仿宋" w:cs="仿宋"/>
              </w:rPr>
              <w:t>基本满足</w:t>
            </w:r>
            <w:r>
              <w:rPr>
                <w:rFonts w:hint="eastAsia" w:ascii="仿宋" w:hAnsi="仿宋" w:eastAsia="仿宋" w:cs="仿宋"/>
                <w:lang w:eastAsia="zh-CN"/>
              </w:rPr>
              <w:t>采购</w:t>
            </w:r>
            <w:r>
              <w:rPr>
                <w:rFonts w:ascii="仿宋" w:hAnsi="仿宋" w:eastAsia="仿宋" w:cs="仿宋"/>
              </w:rPr>
              <w:t>文件要求，服务措施基本详细、基本合理，综合评定为一般。</w:t>
            </w:r>
          </w:p>
          <w:p w14:paraId="3A7B633F">
            <w:pPr>
              <w:pStyle w:val="16"/>
              <w:keepNext w:val="0"/>
              <w:keepLines w:val="0"/>
              <w:pageBreakBefore w:val="0"/>
              <w:widowControl w:val="0"/>
              <w:kinsoku/>
              <w:wordWrap/>
              <w:overflowPunct/>
              <w:topLinePunct w:val="0"/>
              <w:bidi w:val="0"/>
              <w:spacing w:after="0" w:line="280" w:lineRule="exact"/>
              <w:ind w:left="0" w:leftChars="0" w:firstLine="210" w:firstLineChars="100"/>
              <w:textAlignment w:val="auto"/>
              <w:rPr>
                <w:rFonts w:ascii="仿宋" w:hAnsi="仿宋" w:eastAsia="仿宋" w:cs="仿宋"/>
              </w:rPr>
            </w:pPr>
            <w:r>
              <w:rPr>
                <w:rFonts w:hint="eastAsia" w:ascii="仿宋" w:hAnsi="仿宋" w:eastAsia="仿宋" w:cs="仿宋"/>
              </w:rPr>
              <w:t>（3）</w:t>
            </w:r>
            <w:r>
              <w:rPr>
                <w:rFonts w:ascii="仿宋" w:hAnsi="仿宋" w:eastAsia="仿宋" w:cs="仿宋"/>
              </w:rPr>
              <w:t>三档（</w:t>
            </w:r>
            <w:r>
              <w:rPr>
                <w:rFonts w:hint="eastAsia" w:ascii="仿宋" w:hAnsi="仿宋" w:eastAsia="仿宋" w:cs="仿宋"/>
                <w:lang w:val="en-US" w:eastAsia="zh-CN"/>
              </w:rPr>
              <w:t>12</w:t>
            </w:r>
            <w:r>
              <w:rPr>
                <w:rFonts w:ascii="仿宋" w:hAnsi="仿宋" w:eastAsia="仿宋" w:cs="仿宋"/>
              </w:rPr>
              <w:t>分）：满足</w:t>
            </w:r>
            <w:r>
              <w:rPr>
                <w:rFonts w:hint="eastAsia" w:ascii="仿宋" w:hAnsi="仿宋" w:eastAsia="仿宋" w:cs="仿宋"/>
                <w:lang w:eastAsia="zh-CN"/>
              </w:rPr>
              <w:t>采购</w:t>
            </w:r>
            <w:r>
              <w:rPr>
                <w:rFonts w:ascii="仿宋" w:hAnsi="仿宋" w:eastAsia="仿宋" w:cs="仿宋"/>
              </w:rPr>
              <w:t>文件要求，服务措施较详细、较合理，能够承诺针对本项目提供</w:t>
            </w:r>
            <w:r>
              <w:rPr>
                <w:rFonts w:hint="eastAsia" w:ascii="仿宋" w:hAnsi="仿宋" w:eastAsia="仿宋" w:cs="仿宋"/>
              </w:rPr>
              <w:t>较</w:t>
            </w:r>
            <w:r>
              <w:rPr>
                <w:rFonts w:ascii="仿宋" w:hAnsi="仿宋" w:eastAsia="仿宋" w:cs="仿宋"/>
              </w:rPr>
              <w:t>专业化的服务，综合评定为良好。</w:t>
            </w:r>
          </w:p>
          <w:p w14:paraId="22945D73">
            <w:pPr>
              <w:pStyle w:val="16"/>
              <w:keepNext w:val="0"/>
              <w:keepLines w:val="0"/>
              <w:pageBreakBefore w:val="0"/>
              <w:widowControl w:val="0"/>
              <w:kinsoku/>
              <w:wordWrap/>
              <w:overflowPunct/>
              <w:topLinePunct w:val="0"/>
              <w:bidi w:val="0"/>
              <w:spacing w:after="0" w:line="280" w:lineRule="exact"/>
              <w:ind w:left="0" w:leftChars="0" w:firstLine="210" w:firstLineChars="100"/>
              <w:textAlignment w:val="auto"/>
              <w:rPr>
                <w:rFonts w:ascii="仿宋" w:hAnsi="仿宋" w:eastAsia="仿宋" w:cs="仿宋"/>
              </w:rPr>
            </w:pPr>
            <w:r>
              <w:rPr>
                <w:rFonts w:hint="eastAsia" w:ascii="仿宋" w:hAnsi="仿宋" w:eastAsia="仿宋" w:cs="仿宋"/>
              </w:rPr>
              <w:t>（4）</w:t>
            </w:r>
            <w:r>
              <w:rPr>
                <w:rFonts w:ascii="仿宋" w:hAnsi="仿宋" w:eastAsia="仿宋" w:cs="仿宋"/>
              </w:rPr>
              <w:t>四档（</w:t>
            </w:r>
            <w:r>
              <w:rPr>
                <w:rFonts w:hint="eastAsia" w:ascii="仿宋" w:hAnsi="仿宋" w:eastAsia="仿宋" w:cs="仿宋"/>
                <w:lang w:val="en-US" w:eastAsia="zh-CN"/>
              </w:rPr>
              <w:t>15</w:t>
            </w:r>
            <w:r>
              <w:rPr>
                <w:rFonts w:ascii="仿宋" w:hAnsi="仿宋" w:eastAsia="仿宋" w:cs="仿宋"/>
              </w:rPr>
              <w:t>分）：满足</w:t>
            </w:r>
            <w:r>
              <w:rPr>
                <w:rFonts w:hint="eastAsia" w:ascii="仿宋" w:hAnsi="仿宋" w:eastAsia="仿宋" w:cs="仿宋"/>
                <w:lang w:eastAsia="zh-CN"/>
              </w:rPr>
              <w:t>采购</w:t>
            </w:r>
            <w:r>
              <w:rPr>
                <w:rFonts w:ascii="仿宋" w:hAnsi="仿宋" w:eastAsia="仿宋" w:cs="仿宋"/>
              </w:rPr>
              <w:t>文件要求，后期服务承诺、服务响应时间等服务措施详细、合理，能够承诺针对本项目提供及时、专业化的服务，综合评定为优秀。</w:t>
            </w:r>
          </w:p>
        </w:tc>
        <w:tc>
          <w:tcPr>
            <w:tcW w:w="704" w:type="dxa"/>
            <w:vAlign w:val="center"/>
          </w:tcPr>
          <w:p w14:paraId="042807EC">
            <w:pPr>
              <w:pStyle w:val="16"/>
              <w:spacing w:line="400" w:lineRule="exact"/>
              <w:ind w:left="0" w:leftChars="0" w:firstLine="210" w:firstLineChars="100"/>
              <w:rPr>
                <w:rFonts w:ascii="仿宋" w:hAnsi="仿宋" w:eastAsia="仿宋" w:cs="仿宋"/>
              </w:rPr>
            </w:pPr>
          </w:p>
        </w:tc>
      </w:tr>
      <w:tr w14:paraId="45ECB83D">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57" w:type="dxa"/>
            <w:left w:w="108" w:type="dxa"/>
            <w:bottom w:w="57" w:type="dxa"/>
            <w:right w:w="108" w:type="dxa"/>
          </w:tblCellMar>
        </w:tblPrEx>
        <w:trPr>
          <w:trHeight w:val="492" w:hRule="atLeast"/>
          <w:jc w:val="center"/>
        </w:trPr>
        <w:tc>
          <w:tcPr>
            <w:tcW w:w="8632" w:type="dxa"/>
            <w:gridSpan w:val="5"/>
            <w:vAlign w:val="center"/>
          </w:tcPr>
          <w:p w14:paraId="2AA6CD4E">
            <w:pPr>
              <w:tabs>
                <w:tab w:val="center" w:pos="4153"/>
                <w:tab w:val="right" w:pos="8306"/>
              </w:tabs>
              <w:snapToGrid w:val="0"/>
              <w:spacing w:line="240" w:lineRule="atLeast"/>
              <w:ind w:firstLine="482"/>
              <w:jc w:val="center"/>
              <w:rPr>
                <w:rFonts w:ascii="仿宋" w:hAnsi="仿宋" w:eastAsia="仿宋" w:cs="仿宋"/>
                <w:b/>
                <w:color w:val="000000"/>
                <w:szCs w:val="21"/>
              </w:rPr>
            </w:pPr>
            <w:r>
              <w:rPr>
                <w:rFonts w:hint="eastAsia" w:ascii="仿宋" w:hAnsi="仿宋" w:eastAsia="仿宋" w:cs="仿宋"/>
                <w:b/>
                <w:color w:val="000000"/>
                <w:szCs w:val="21"/>
              </w:rPr>
              <w:t>5、总分（一）+（二）+（三）+（四）</w:t>
            </w:r>
          </w:p>
        </w:tc>
        <w:tc>
          <w:tcPr>
            <w:tcW w:w="704" w:type="dxa"/>
            <w:vAlign w:val="center"/>
          </w:tcPr>
          <w:p w14:paraId="7D348CF4">
            <w:pPr>
              <w:tabs>
                <w:tab w:val="center" w:pos="4153"/>
                <w:tab w:val="right" w:pos="8306"/>
              </w:tabs>
              <w:snapToGrid w:val="0"/>
              <w:spacing w:line="240" w:lineRule="atLeast"/>
              <w:jc w:val="center"/>
              <w:rPr>
                <w:rFonts w:ascii="仿宋" w:hAnsi="仿宋" w:eastAsia="仿宋" w:cs="仿宋"/>
                <w:color w:val="000000"/>
                <w:szCs w:val="21"/>
              </w:rPr>
            </w:pPr>
          </w:p>
        </w:tc>
      </w:tr>
    </w:tbl>
    <w:p w14:paraId="01C995D4">
      <w:pPr>
        <w:pStyle w:val="2"/>
        <w:spacing w:before="312" w:beforeLines="100" w:after="0"/>
        <w:rPr>
          <w:sz w:val="28"/>
          <w:szCs w:val="28"/>
        </w:rPr>
      </w:pPr>
    </w:p>
    <w:sectPr>
      <w:headerReference r:id="rId7" w:type="first"/>
      <w:footerReference r:id="rId10" w:type="first"/>
      <w:headerReference r:id="rId5" w:type="default"/>
      <w:footerReference r:id="rId8" w:type="default"/>
      <w:headerReference r:id="rId6" w:type="even"/>
      <w:footerReference r:id="rId9" w:type="even"/>
      <w:pgSz w:w="11906" w:h="16838"/>
      <w:pgMar w:top="1440" w:right="1800" w:bottom="1440" w:left="1800" w:header="851" w:footer="992" w:gutter="0"/>
      <w:pgNumType w:start="0"/>
      <w:cols w:space="425" w:num="1"/>
      <w:titlePg/>
      <w:docGrid w:type="lines" w:linePitch="312" w:charSpace="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endnote w:type="separator" w:id="0">
    <w:p>
      <w:pPr>
        <w:spacing w:line="240" w:lineRule="auto"/>
      </w:pPr>
      <w:r>
        <w:separator/>
      </w:r>
    </w:p>
  </w:endnote>
  <w:endnote w:type="continuationSeparator" w:id="1">
    <w:p>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等线">
    <w:panose1 w:val="02010600030101010101"/>
    <w:charset w:val="86"/>
    <w:family w:val="auto"/>
    <w:pitch w:val="default"/>
    <w:sig w:usb0="A00002BF" w:usb1="38CF7CFA" w:usb2="00000016" w:usb3="00000000" w:csb0="0004000F" w:csb1="00000000"/>
  </w:font>
  <w:font w:name="仿宋">
    <w:panose1 w:val="02010609060101010101"/>
    <w:charset w:val="86"/>
    <w:family w:val="modern"/>
    <w:pitch w:val="default"/>
    <w:sig w:usb0="800002BF" w:usb1="38CF7CFA" w:usb2="00000016" w:usb3="00000000" w:csb0="00040001" w:csb1="00000000"/>
  </w:font>
  <w:font w:name="仿宋_GB2312">
    <w:altName w:val="仿宋"/>
    <w:panose1 w:val="02010609030101010101"/>
    <w:charset w:val="86"/>
    <w:family w:val="modern"/>
    <w:pitch w:val="default"/>
    <w:sig w:usb0="00000000" w:usb1="00000000" w:usb2="00000000" w:usb3="00000000" w:csb0="00040000" w:csb1="00000000"/>
  </w:font>
  <w:font w:name="等线 Light">
    <w:panose1 w:val="02010600030101010101"/>
    <w:charset w:val="86"/>
    <w:family w:val="auto"/>
    <w:pitch w:val="default"/>
    <w:sig w:usb0="A00002BF" w:usb1="38CF7CFA" w:usb2="00000016" w:usb3="00000000" w:csb0="0004000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33656F7">
    <w:pPr>
      <w:pStyle w:val="20"/>
      <w:jc w:val="center"/>
    </w:pPr>
  </w:p>
  <w:p w14:paraId="3D95F13F">
    <w:pPr>
      <w:pStyle w:val="20"/>
      <w:ind w:firstLine="360"/>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0FC2263">
    <w:pPr>
      <w:pStyle w:val="20"/>
      <w:ind w:firstLine="360"/>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sdt>
    <w:sdtPr>
      <w:id w:val="25959797"/>
    </w:sdtPr>
    <w:sdtContent>
      <w:p w14:paraId="62831CBE">
        <w:pPr>
          <w:pStyle w:val="20"/>
          <w:jc w:val="center"/>
        </w:pPr>
      </w:p>
    </w:sdtContent>
  </w:sdt>
  <w:p w14:paraId="01E54853">
    <w:pPr>
      <w:pStyle w:val="20"/>
      <w:ind w:firstLine="360"/>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footnote w:type="separator" w:id="0">
    <w:p>
      <w:pPr>
        <w:spacing w:line="360" w:lineRule="auto"/>
      </w:pPr>
      <w:r>
        <w:separator/>
      </w:r>
    </w:p>
  </w:footnote>
  <w:footnote w:type="continuationSeparator" w:id="1">
    <w:p>
      <w:pPr>
        <w:spacing w:line="36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E055E97">
    <w:pPr>
      <w:pStyle w:val="21"/>
    </w:pPr>
  </w:p>
  <w:p w14:paraId="40FDB103">
    <w:pPr>
      <w:pStyle w:val="21"/>
      <w:ind w:firstLine="360"/>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7A5F0EB">
    <w:pPr>
      <w:pStyle w:val="21"/>
      <w:ind w:firstLine="360"/>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E6D5AF9">
    <w:pPr>
      <w:pStyle w:val="21"/>
      <w:ind w:firstLine="360"/>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597030DF"/>
    <w:multiLevelType w:val="multilevel"/>
    <w:tmpl w:val="597030DF"/>
    <w:lvl w:ilvl="0" w:tentative="0">
      <w:start w:val="1"/>
      <w:numFmt w:val="decimal"/>
      <w:pStyle w:val="3"/>
      <w:lvlText w:val="%1."/>
      <w:lvlJc w:val="left"/>
      <w:pPr>
        <w:ind w:left="3552" w:hanging="432"/>
      </w:pPr>
      <w:rPr>
        <w:rFonts w:hint="default"/>
      </w:rPr>
    </w:lvl>
    <w:lvl w:ilvl="1" w:tentative="0">
      <w:start w:val="1"/>
      <w:numFmt w:val="decimal"/>
      <w:pStyle w:val="4"/>
      <w:lvlText w:val="%1.%2."/>
      <w:lvlJc w:val="left"/>
      <w:pPr>
        <w:ind w:left="4262" w:hanging="575"/>
      </w:pPr>
      <w:rPr>
        <w:rFonts w:hint="default"/>
      </w:rPr>
    </w:lvl>
    <w:lvl w:ilvl="2" w:tentative="0">
      <w:start w:val="1"/>
      <w:numFmt w:val="decimal"/>
      <w:pStyle w:val="5"/>
      <w:lvlText w:val="%1.%2.%3."/>
      <w:lvlJc w:val="left"/>
      <w:pPr>
        <w:ind w:left="1996" w:hanging="720"/>
      </w:pPr>
      <w:rPr>
        <w:rFonts w:hint="default"/>
      </w:rPr>
    </w:lvl>
    <w:lvl w:ilvl="3" w:tentative="0">
      <w:start w:val="1"/>
      <w:numFmt w:val="decimal"/>
      <w:pStyle w:val="6"/>
      <w:lvlText w:val="%1.%2.%3.%4."/>
      <w:lvlJc w:val="left"/>
      <w:pPr>
        <w:ind w:left="864" w:hanging="864"/>
      </w:pPr>
      <w:rPr>
        <w:rFonts w:hint="default"/>
      </w:rPr>
    </w:lvl>
    <w:lvl w:ilvl="4" w:tentative="0">
      <w:start w:val="1"/>
      <w:numFmt w:val="decimal"/>
      <w:pStyle w:val="7"/>
      <w:lvlText w:val="%1.%2.%3.%4.%5."/>
      <w:lvlJc w:val="left"/>
      <w:pPr>
        <w:ind w:left="1008" w:hanging="1008"/>
      </w:pPr>
      <w:rPr>
        <w:rFonts w:hint="default"/>
      </w:rPr>
    </w:lvl>
    <w:lvl w:ilvl="5" w:tentative="0">
      <w:start w:val="1"/>
      <w:numFmt w:val="decimal"/>
      <w:pStyle w:val="8"/>
      <w:lvlText w:val="%1.%2.%3.%4.%5.%6."/>
      <w:lvlJc w:val="left"/>
      <w:pPr>
        <w:ind w:left="1151" w:hanging="1151"/>
      </w:pPr>
      <w:rPr>
        <w:rFonts w:hint="default"/>
      </w:rPr>
    </w:lvl>
    <w:lvl w:ilvl="6" w:tentative="0">
      <w:start w:val="1"/>
      <w:numFmt w:val="decimal"/>
      <w:pStyle w:val="9"/>
      <w:lvlText w:val="%1.%2.%3.%4.%5.%6.%7."/>
      <w:lvlJc w:val="left"/>
      <w:pPr>
        <w:ind w:left="1296" w:hanging="1296"/>
      </w:pPr>
      <w:rPr>
        <w:rFonts w:hint="default"/>
      </w:rPr>
    </w:lvl>
    <w:lvl w:ilvl="7" w:tentative="0">
      <w:start w:val="1"/>
      <w:numFmt w:val="decimal"/>
      <w:pStyle w:val="10"/>
      <w:lvlText w:val="%1.%2.%3.%4.%5.%6.%7.%8."/>
      <w:lvlJc w:val="left"/>
      <w:pPr>
        <w:ind w:left="1440" w:hanging="1440"/>
      </w:pPr>
      <w:rPr>
        <w:rFonts w:hint="default"/>
      </w:rPr>
    </w:lvl>
    <w:lvl w:ilvl="8" w:tentative="0">
      <w:start w:val="1"/>
      <w:numFmt w:val="decimal"/>
      <w:pStyle w:val="11"/>
      <w:lvlText w:val="%1.%2.%3.%4.%5.%6.%7.%8.%9."/>
      <w:lvlJc w:val="left"/>
      <w:pPr>
        <w:ind w:left="1583" w:hanging="1583"/>
      </w:pPr>
      <w:rPr>
        <w:rFonts w:hint="default"/>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doNotDisplayPageBoundaries w:val="1"/>
  <w:bordersDoNotSurroundHeader w:val="1"/>
  <w:bordersDoNotSurroundFooter w:val="1"/>
  <w:documentProtection w:enforcement="0"/>
  <w:defaultTabStop w:val="420"/>
  <w:drawingGridHorizontalSpacing w:val="105"/>
  <w:drawingGridVerticalSpacing w:val="156"/>
  <w:displayHorizontalDrawingGridEvery w:val="0"/>
  <w:displayVerticalDrawingGridEvery w:val="2"/>
  <w:characterSpacingControl w:val="compressPunctuation"/>
  <w:footnotePr>
    <w:footnote w:id="0"/>
    <w:footnote w:id="1"/>
  </w:footnotePr>
  <w:endnotePr>
    <w:endnote w:id="0"/>
    <w:endnote w:id="1"/>
  </w:endnotePr>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ZGNjMGRmZGJkNTIwNmM4MDg5YzIwZDc2NGFmODdkZTgifQ=="/>
  </w:docVars>
  <w:rsids>
    <w:rsidRoot w:val="00771477"/>
    <w:rsid w:val="00000E72"/>
    <w:rsid w:val="00005742"/>
    <w:rsid w:val="00040108"/>
    <w:rsid w:val="00046C5A"/>
    <w:rsid w:val="000507F1"/>
    <w:rsid w:val="00051A8A"/>
    <w:rsid w:val="00051DE5"/>
    <w:rsid w:val="00053F8F"/>
    <w:rsid w:val="00056380"/>
    <w:rsid w:val="000602CE"/>
    <w:rsid w:val="000A2314"/>
    <w:rsid w:val="000C43EB"/>
    <w:rsid w:val="000C5A32"/>
    <w:rsid w:val="000D6FF4"/>
    <w:rsid w:val="000F0328"/>
    <w:rsid w:val="000F671E"/>
    <w:rsid w:val="00115F85"/>
    <w:rsid w:val="00121501"/>
    <w:rsid w:val="00127F9E"/>
    <w:rsid w:val="001411AF"/>
    <w:rsid w:val="001649A7"/>
    <w:rsid w:val="00171EB8"/>
    <w:rsid w:val="001C6A7F"/>
    <w:rsid w:val="001C7985"/>
    <w:rsid w:val="001E6A58"/>
    <w:rsid w:val="00210EED"/>
    <w:rsid w:val="00214F74"/>
    <w:rsid w:val="00224AC2"/>
    <w:rsid w:val="0023455C"/>
    <w:rsid w:val="00234BCA"/>
    <w:rsid w:val="00237DDB"/>
    <w:rsid w:val="00257717"/>
    <w:rsid w:val="002A114D"/>
    <w:rsid w:val="002C4321"/>
    <w:rsid w:val="002C6261"/>
    <w:rsid w:val="002D5EC1"/>
    <w:rsid w:val="002D6FA5"/>
    <w:rsid w:val="002E3193"/>
    <w:rsid w:val="002F0CD8"/>
    <w:rsid w:val="00310898"/>
    <w:rsid w:val="00343645"/>
    <w:rsid w:val="003657C7"/>
    <w:rsid w:val="00367EB8"/>
    <w:rsid w:val="0037797D"/>
    <w:rsid w:val="003829AB"/>
    <w:rsid w:val="00392738"/>
    <w:rsid w:val="003A3F3D"/>
    <w:rsid w:val="003B4AE4"/>
    <w:rsid w:val="003C4456"/>
    <w:rsid w:val="003C7102"/>
    <w:rsid w:val="00415C15"/>
    <w:rsid w:val="00465178"/>
    <w:rsid w:val="00477193"/>
    <w:rsid w:val="004865A7"/>
    <w:rsid w:val="004A1FF9"/>
    <w:rsid w:val="004A65E9"/>
    <w:rsid w:val="004A7FB1"/>
    <w:rsid w:val="004B5803"/>
    <w:rsid w:val="004B71D2"/>
    <w:rsid w:val="00501FC2"/>
    <w:rsid w:val="00503E8D"/>
    <w:rsid w:val="00524236"/>
    <w:rsid w:val="005258BE"/>
    <w:rsid w:val="00536356"/>
    <w:rsid w:val="00545920"/>
    <w:rsid w:val="0056076F"/>
    <w:rsid w:val="005654A6"/>
    <w:rsid w:val="005819FE"/>
    <w:rsid w:val="005C66C0"/>
    <w:rsid w:val="005F5C68"/>
    <w:rsid w:val="0060365B"/>
    <w:rsid w:val="00617C6C"/>
    <w:rsid w:val="006215F8"/>
    <w:rsid w:val="0063454A"/>
    <w:rsid w:val="00634AE6"/>
    <w:rsid w:val="006D57FB"/>
    <w:rsid w:val="006F0E65"/>
    <w:rsid w:val="006F3799"/>
    <w:rsid w:val="006F5294"/>
    <w:rsid w:val="007279DD"/>
    <w:rsid w:val="007355CC"/>
    <w:rsid w:val="00744987"/>
    <w:rsid w:val="00771477"/>
    <w:rsid w:val="00792183"/>
    <w:rsid w:val="007E1FA7"/>
    <w:rsid w:val="007F18CE"/>
    <w:rsid w:val="00815397"/>
    <w:rsid w:val="008241D1"/>
    <w:rsid w:val="00827736"/>
    <w:rsid w:val="008352FB"/>
    <w:rsid w:val="00853A5F"/>
    <w:rsid w:val="00897A0E"/>
    <w:rsid w:val="008A45A1"/>
    <w:rsid w:val="008A6028"/>
    <w:rsid w:val="008A6865"/>
    <w:rsid w:val="008A7B57"/>
    <w:rsid w:val="008B2083"/>
    <w:rsid w:val="008B21E4"/>
    <w:rsid w:val="008B6502"/>
    <w:rsid w:val="008E4CD3"/>
    <w:rsid w:val="008F0D10"/>
    <w:rsid w:val="008F48AF"/>
    <w:rsid w:val="008F7258"/>
    <w:rsid w:val="00900F4C"/>
    <w:rsid w:val="00904CD8"/>
    <w:rsid w:val="009076E6"/>
    <w:rsid w:val="00913546"/>
    <w:rsid w:val="00923B9D"/>
    <w:rsid w:val="00935430"/>
    <w:rsid w:val="009355D7"/>
    <w:rsid w:val="00937553"/>
    <w:rsid w:val="00946E15"/>
    <w:rsid w:val="0095539C"/>
    <w:rsid w:val="00955D69"/>
    <w:rsid w:val="00963C9F"/>
    <w:rsid w:val="00972E85"/>
    <w:rsid w:val="00997CF0"/>
    <w:rsid w:val="009C17FB"/>
    <w:rsid w:val="009F0BD5"/>
    <w:rsid w:val="00A133EA"/>
    <w:rsid w:val="00A145B4"/>
    <w:rsid w:val="00A4386B"/>
    <w:rsid w:val="00A63B81"/>
    <w:rsid w:val="00A83295"/>
    <w:rsid w:val="00AB0491"/>
    <w:rsid w:val="00AD737A"/>
    <w:rsid w:val="00AE7312"/>
    <w:rsid w:val="00B07C89"/>
    <w:rsid w:val="00B1192D"/>
    <w:rsid w:val="00B33F19"/>
    <w:rsid w:val="00B36105"/>
    <w:rsid w:val="00B36EC3"/>
    <w:rsid w:val="00B63052"/>
    <w:rsid w:val="00B95F07"/>
    <w:rsid w:val="00B97853"/>
    <w:rsid w:val="00BB0708"/>
    <w:rsid w:val="00BB075B"/>
    <w:rsid w:val="00BB1DE4"/>
    <w:rsid w:val="00BB369C"/>
    <w:rsid w:val="00BE55CC"/>
    <w:rsid w:val="00BE7BBA"/>
    <w:rsid w:val="00BE7E73"/>
    <w:rsid w:val="00BF0ED4"/>
    <w:rsid w:val="00BF28E8"/>
    <w:rsid w:val="00BF56C8"/>
    <w:rsid w:val="00C07EB1"/>
    <w:rsid w:val="00C16CCC"/>
    <w:rsid w:val="00C25A48"/>
    <w:rsid w:val="00C46372"/>
    <w:rsid w:val="00C5384E"/>
    <w:rsid w:val="00C80F5F"/>
    <w:rsid w:val="00C94ED1"/>
    <w:rsid w:val="00CA2709"/>
    <w:rsid w:val="00CC0155"/>
    <w:rsid w:val="00CC7B6F"/>
    <w:rsid w:val="00CE1B65"/>
    <w:rsid w:val="00CF0EC7"/>
    <w:rsid w:val="00D02348"/>
    <w:rsid w:val="00D076CA"/>
    <w:rsid w:val="00D23586"/>
    <w:rsid w:val="00D521A4"/>
    <w:rsid w:val="00D577CB"/>
    <w:rsid w:val="00D6182E"/>
    <w:rsid w:val="00D9040C"/>
    <w:rsid w:val="00DA680A"/>
    <w:rsid w:val="00DE758F"/>
    <w:rsid w:val="00E00C52"/>
    <w:rsid w:val="00E169FE"/>
    <w:rsid w:val="00E40F23"/>
    <w:rsid w:val="00E60DCF"/>
    <w:rsid w:val="00E63CE7"/>
    <w:rsid w:val="00E65A00"/>
    <w:rsid w:val="00E74F9E"/>
    <w:rsid w:val="00E93325"/>
    <w:rsid w:val="00EA48F6"/>
    <w:rsid w:val="00EA5FA3"/>
    <w:rsid w:val="00EB1E12"/>
    <w:rsid w:val="00EB5C64"/>
    <w:rsid w:val="00EB6D0B"/>
    <w:rsid w:val="00EE0502"/>
    <w:rsid w:val="00EE20F1"/>
    <w:rsid w:val="00EF1E21"/>
    <w:rsid w:val="00F00879"/>
    <w:rsid w:val="00F14E27"/>
    <w:rsid w:val="00F170B3"/>
    <w:rsid w:val="00F17FF0"/>
    <w:rsid w:val="00F2346C"/>
    <w:rsid w:val="00F33640"/>
    <w:rsid w:val="00F53001"/>
    <w:rsid w:val="00F61316"/>
    <w:rsid w:val="00F64ABD"/>
    <w:rsid w:val="00F7005B"/>
    <w:rsid w:val="00F710AC"/>
    <w:rsid w:val="00F80B19"/>
    <w:rsid w:val="00F854FE"/>
    <w:rsid w:val="00F943BC"/>
    <w:rsid w:val="00FA084B"/>
    <w:rsid w:val="00FA6F6D"/>
    <w:rsid w:val="00FB25CA"/>
    <w:rsid w:val="00FB2F07"/>
    <w:rsid w:val="00FC7FE6"/>
    <w:rsid w:val="00FF1D2E"/>
    <w:rsid w:val="04DE5B47"/>
    <w:rsid w:val="0E3B22B4"/>
    <w:rsid w:val="15AE1730"/>
    <w:rsid w:val="27DA6AD1"/>
    <w:rsid w:val="32FD3D94"/>
    <w:rsid w:val="402F6D38"/>
    <w:rsid w:val="43454BD3"/>
    <w:rsid w:val="44BF18CD"/>
    <w:rsid w:val="47DD54CE"/>
    <w:rsid w:val="489D100D"/>
    <w:rsid w:val="4CE0596C"/>
    <w:rsid w:val="505F2CB7"/>
    <w:rsid w:val="62A654A1"/>
    <w:rsid w:val="6A5A5554"/>
    <w:rsid w:val="71E35433"/>
    <w:rsid w:val="792D7B75"/>
    <w:rsid w:val="7B4C6597"/>
    <w:rsid w:val="7DF0415C"/>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EastAsia" w:cstheme="minorBidi"/>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semiHidden="0" w:name="heading 2"/>
    <w:lsdException w:qFormat="1" w:uiPriority="0" w:semiHidden="0" w:name="heading 3"/>
    <w:lsdException w:qFormat="1" w:uiPriority="0" w:semiHidden="0" w:name="heading 4"/>
    <w:lsdException w:qFormat="1" w:uiPriority="0" w:semiHidden="0" w:name="heading 5"/>
    <w:lsdException w:qFormat="1" w:uiPriority="0" w:semiHidden="0" w:name="heading 6"/>
    <w:lsdException w:qFormat="1" w:uiPriority="0" w:semiHidden="0" w:name="heading 7"/>
    <w:lsdException w:qFormat="1" w:uiPriority="0" w:semiHidden="0" w:name="heading 8"/>
    <w:lsdException w:qFormat="1" w:uiPriority="0" w:semiHidden="0"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qFormat="1" w:unhideWhenUsed="0" w:uiPriority="0" w:semiHidden="0" w:name="index 8"/>
    <w:lsdException w:uiPriority="99" w:name="index 9"/>
    <w:lsdException w:qFormat="1" w:uiPriority="39" w:semiHidden="0" w:name="toc 1"/>
    <w:lsdException w:qFormat="1" w:uiPriority="39" w:semiHidden="0" w:name="toc 2"/>
    <w:lsdException w:qFormat="1" w:uiPriority="39" w:semiHidden="0" w:name="toc 3"/>
    <w:lsdException w:uiPriority="39" w:name="toc 4"/>
    <w:lsdException w:uiPriority="39" w:name="toc 5"/>
    <w:lsdException w:uiPriority="39" w:name="toc 6"/>
    <w:lsdException w:uiPriority="39" w:name="toc 7"/>
    <w:lsdException w:uiPriority="39" w:name="toc 8"/>
    <w:lsdException w:uiPriority="39" w:name="toc 9"/>
    <w:lsdException w:qFormat="1" w:unhideWhenUsed="0" w:uiPriority="0" w:semiHidden="0" w:name="Normal Indent"/>
    <w:lsdException w:uiPriority="99" w:name="footnote text"/>
    <w:lsdException w:qFormat="1" w:uiPriority="0" w:semiHidden="0" w:name="annotation text"/>
    <w:lsdException w:qFormat="1" w:unhideWhenUsed="0" w:uiPriority="99" w:semiHidden="0" w:name="header"/>
    <w:lsdException w:qFormat="1" w:unhideWhenUsed="0" w:uiPriority="99" w:semiHidden="0" w:name="footer"/>
    <w:lsdException w:uiPriority="99" w:name="index heading"/>
    <w:lsdException w:qFormat="1" w:unhideWhenUsed="0" w:uiPriority="0" w:semiHidden="0" w:name="caption"/>
    <w:lsdException w:uiPriority="99" w:name="table of figures"/>
    <w:lsdException w:uiPriority="99" w:name="envelope address"/>
    <w:lsdException w:uiPriority="99" w:name="envelope return"/>
    <w:lsdException w:uiPriority="99" w:name="footnote reference"/>
    <w:lsdException w:uiPriority="99" w:name="annotation reference"/>
    <w:lsdException w:uiPriority="99" w:name="line number"/>
    <w:lsdException w:qFormat="1" w:unhideWhenUsed="0" w:uiPriority="0" w:semiHidden="0"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10" w:semiHidden="0" w:name="Title"/>
    <w:lsdException w:uiPriority="99" w:name="Closing"/>
    <w:lsdException w:uiPriority="99" w:name="Signature"/>
    <w:lsdException w:qFormat="1" w:uiPriority="1" w:semiHidden="0" w:name="Default Paragraph Font"/>
    <w:lsdException w:qFormat="1" w:uiPriority="0" w:semiHidden="0" w:name="Body Text"/>
    <w:lsdException w:qFormat="1" w:uiPriority="99" w:semiHidden="0"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uiPriority="99" w:name="Salutation"/>
    <w:lsdException w:uiPriority="99" w:name="Date"/>
    <w:lsdException w:qFormat="1" w:unhideWhenUsed="0" w:uiPriority="0" w:semiHidden="0" w:name="Body Text First Indent"/>
    <w:lsdException w:qFormat="1" w:uiPriority="99" w:semiHidden="0" w:name="Body Text First Indent 2"/>
    <w:lsdException w:uiPriority="99" w:name="Note Heading"/>
    <w:lsdException w:qFormat="1" w:unhideWhenUsed="0" w:uiPriority="0" w:semiHidden="0" w:name="Body Text 2"/>
    <w:lsdException w:uiPriority="99" w:name="Body Text 3"/>
    <w:lsdException w:uiPriority="99" w:name="Body Text Indent 2"/>
    <w:lsdException w:uiPriority="99" w:name="Body Text Indent 3"/>
    <w:lsdException w:uiPriority="99" w:name="Block Text"/>
    <w:lsdException w:qFormat="1" w:uiPriority="99" w:semiHidden="0" w:name="Hyperlink"/>
    <w:lsdException w:uiPriority="99" w:name="FollowedHyperlink"/>
    <w:lsdException w:qFormat="1" w:unhideWhenUsed="0" w:uiPriority="0" w:semiHidden="0" w:name="Strong"/>
    <w:lsdException w:qFormat="1" w:unhideWhenUsed="0" w:uiPriority="20" w:semiHidden="0" w:name="Emphasis"/>
    <w:lsdException w:uiPriority="99" w:name="Document Map"/>
    <w:lsdException w:qFormat="1" w:unhideWhenUsed="0" w:uiPriority="0" w:semiHidden="0" w:name="Plain Text"/>
    <w:lsdException w:uiPriority="99" w:name="E-mail Signature"/>
    <w:lsdException w:qFormat="1" w:unhideWhenUsed="0" w:uiPriority="0" w:semiHidden="0"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qFormat="1" w:uiPriority="99" w:semiHidden="0" w:name="Normal Table"/>
    <w:lsdException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qFormat="1" w:uiPriority="99" w:semiHidden="0" w:name="Balloon Text"/>
    <w:lsdException w:qFormat="1" w:unhideWhenUsed="0" w:uiPriority="39" w:semiHidden="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spacing w:line="360" w:lineRule="auto"/>
      <w:jc w:val="both"/>
    </w:pPr>
    <w:rPr>
      <w:rFonts w:ascii="Calibri" w:hAnsi="Calibri" w:eastAsia="宋体" w:cs="Times New Roman"/>
      <w:kern w:val="2"/>
      <w:sz w:val="21"/>
      <w:szCs w:val="24"/>
      <w:lang w:val="en-US" w:eastAsia="zh-CN" w:bidi="ar-SA"/>
    </w:rPr>
  </w:style>
  <w:style w:type="paragraph" w:styleId="3">
    <w:name w:val="heading 1"/>
    <w:basedOn w:val="1"/>
    <w:next w:val="1"/>
    <w:link w:val="34"/>
    <w:qFormat/>
    <w:uiPriority w:val="0"/>
    <w:pPr>
      <w:keepNext/>
      <w:keepLines/>
      <w:numPr>
        <w:ilvl w:val="0"/>
        <w:numId w:val="1"/>
      </w:numPr>
      <w:tabs>
        <w:tab w:val="left" w:pos="0"/>
      </w:tabs>
      <w:ind w:left="0" w:firstLine="0"/>
      <w:jc w:val="center"/>
      <w:outlineLvl w:val="0"/>
    </w:pPr>
    <w:rPr>
      <w:b/>
      <w:kern w:val="44"/>
      <w:sz w:val="36"/>
      <w:szCs w:val="22"/>
    </w:rPr>
  </w:style>
  <w:style w:type="paragraph" w:styleId="4">
    <w:name w:val="heading 2"/>
    <w:basedOn w:val="1"/>
    <w:next w:val="1"/>
    <w:link w:val="35"/>
    <w:unhideWhenUsed/>
    <w:qFormat/>
    <w:uiPriority w:val="0"/>
    <w:pPr>
      <w:keepNext/>
      <w:keepLines/>
      <w:numPr>
        <w:ilvl w:val="1"/>
        <w:numId w:val="1"/>
      </w:numPr>
      <w:ind w:left="0" w:firstLine="0"/>
      <w:jc w:val="center"/>
      <w:outlineLvl w:val="1"/>
    </w:pPr>
    <w:rPr>
      <w:rFonts w:ascii="Arial" w:hAnsi="Arial"/>
      <w:b/>
      <w:sz w:val="32"/>
    </w:rPr>
  </w:style>
  <w:style w:type="paragraph" w:styleId="5">
    <w:name w:val="heading 3"/>
    <w:basedOn w:val="1"/>
    <w:next w:val="1"/>
    <w:link w:val="36"/>
    <w:unhideWhenUsed/>
    <w:qFormat/>
    <w:uiPriority w:val="0"/>
    <w:pPr>
      <w:keepNext/>
      <w:keepLines/>
      <w:numPr>
        <w:ilvl w:val="2"/>
        <w:numId w:val="1"/>
      </w:numPr>
      <w:ind w:left="0" w:firstLine="0"/>
      <w:outlineLvl w:val="2"/>
    </w:pPr>
    <w:rPr>
      <w:b/>
      <w:sz w:val="30"/>
    </w:rPr>
  </w:style>
  <w:style w:type="paragraph" w:styleId="6">
    <w:name w:val="heading 4"/>
    <w:basedOn w:val="1"/>
    <w:next w:val="1"/>
    <w:link w:val="37"/>
    <w:unhideWhenUsed/>
    <w:qFormat/>
    <w:uiPriority w:val="0"/>
    <w:pPr>
      <w:keepNext/>
      <w:keepLines/>
      <w:numPr>
        <w:ilvl w:val="3"/>
        <w:numId w:val="1"/>
      </w:numPr>
      <w:spacing w:before="280" w:after="290" w:line="372" w:lineRule="auto"/>
      <w:outlineLvl w:val="3"/>
    </w:pPr>
    <w:rPr>
      <w:rFonts w:ascii="Arial" w:hAnsi="Arial"/>
      <w:b/>
      <w:sz w:val="28"/>
    </w:rPr>
  </w:style>
  <w:style w:type="paragraph" w:styleId="7">
    <w:name w:val="heading 5"/>
    <w:basedOn w:val="1"/>
    <w:next w:val="1"/>
    <w:link w:val="38"/>
    <w:unhideWhenUsed/>
    <w:qFormat/>
    <w:uiPriority w:val="0"/>
    <w:pPr>
      <w:keepNext/>
      <w:keepLines/>
      <w:numPr>
        <w:ilvl w:val="4"/>
        <w:numId w:val="1"/>
      </w:numPr>
      <w:spacing w:before="280" w:after="290" w:line="372" w:lineRule="auto"/>
      <w:outlineLvl w:val="4"/>
    </w:pPr>
    <w:rPr>
      <w:b/>
      <w:sz w:val="24"/>
    </w:rPr>
  </w:style>
  <w:style w:type="paragraph" w:styleId="8">
    <w:name w:val="heading 6"/>
    <w:basedOn w:val="1"/>
    <w:next w:val="1"/>
    <w:link w:val="39"/>
    <w:unhideWhenUsed/>
    <w:qFormat/>
    <w:uiPriority w:val="0"/>
    <w:pPr>
      <w:keepNext/>
      <w:keepLines/>
      <w:numPr>
        <w:ilvl w:val="5"/>
        <w:numId w:val="1"/>
      </w:numPr>
      <w:spacing w:before="240" w:after="64" w:line="317" w:lineRule="auto"/>
      <w:outlineLvl w:val="5"/>
    </w:pPr>
    <w:rPr>
      <w:rFonts w:ascii="Arial" w:hAnsi="Arial"/>
      <w:b/>
    </w:rPr>
  </w:style>
  <w:style w:type="paragraph" w:styleId="9">
    <w:name w:val="heading 7"/>
    <w:basedOn w:val="1"/>
    <w:next w:val="1"/>
    <w:link w:val="40"/>
    <w:unhideWhenUsed/>
    <w:qFormat/>
    <w:uiPriority w:val="0"/>
    <w:pPr>
      <w:keepNext/>
      <w:keepLines/>
      <w:numPr>
        <w:ilvl w:val="6"/>
        <w:numId w:val="1"/>
      </w:numPr>
      <w:spacing w:before="240" w:after="64" w:line="317" w:lineRule="auto"/>
      <w:outlineLvl w:val="6"/>
    </w:pPr>
    <w:rPr>
      <w:b/>
      <w:sz w:val="24"/>
    </w:rPr>
  </w:style>
  <w:style w:type="paragraph" w:styleId="10">
    <w:name w:val="heading 8"/>
    <w:basedOn w:val="1"/>
    <w:next w:val="1"/>
    <w:link w:val="41"/>
    <w:unhideWhenUsed/>
    <w:qFormat/>
    <w:uiPriority w:val="0"/>
    <w:pPr>
      <w:keepNext/>
      <w:keepLines/>
      <w:numPr>
        <w:ilvl w:val="7"/>
        <w:numId w:val="1"/>
      </w:numPr>
      <w:spacing w:before="240" w:after="64" w:line="317" w:lineRule="auto"/>
      <w:outlineLvl w:val="7"/>
    </w:pPr>
    <w:rPr>
      <w:rFonts w:ascii="Arial" w:hAnsi="Arial" w:eastAsia="黑体"/>
      <w:sz w:val="24"/>
    </w:rPr>
  </w:style>
  <w:style w:type="paragraph" w:styleId="11">
    <w:name w:val="heading 9"/>
    <w:basedOn w:val="1"/>
    <w:next w:val="1"/>
    <w:link w:val="42"/>
    <w:unhideWhenUsed/>
    <w:qFormat/>
    <w:uiPriority w:val="0"/>
    <w:pPr>
      <w:keepNext/>
      <w:keepLines/>
      <w:numPr>
        <w:ilvl w:val="8"/>
        <w:numId w:val="1"/>
      </w:numPr>
      <w:spacing w:before="240" w:after="64" w:line="317" w:lineRule="auto"/>
      <w:outlineLvl w:val="8"/>
    </w:pPr>
    <w:rPr>
      <w:rFonts w:ascii="Arial" w:hAnsi="Arial" w:eastAsia="黑体"/>
    </w:rPr>
  </w:style>
  <w:style w:type="character" w:default="1" w:styleId="30">
    <w:name w:val="Default Paragraph Font"/>
    <w:unhideWhenUsed/>
    <w:qFormat/>
    <w:uiPriority w:val="1"/>
  </w:style>
  <w:style w:type="table" w:default="1" w:styleId="28">
    <w:name w:val="Normal Table"/>
    <w:unhideWhenUsed/>
    <w:qFormat/>
    <w:uiPriority w:val="99"/>
    <w:tblPr>
      <w:tblCellMar>
        <w:top w:w="0" w:type="dxa"/>
        <w:left w:w="108" w:type="dxa"/>
        <w:bottom w:w="0" w:type="dxa"/>
        <w:right w:w="108" w:type="dxa"/>
      </w:tblCellMar>
    </w:tblPr>
  </w:style>
  <w:style w:type="paragraph" w:styleId="2">
    <w:name w:val="Body Text"/>
    <w:basedOn w:val="1"/>
    <w:link w:val="43"/>
    <w:unhideWhenUsed/>
    <w:qFormat/>
    <w:uiPriority w:val="0"/>
    <w:pPr>
      <w:spacing w:after="120"/>
    </w:pPr>
  </w:style>
  <w:style w:type="paragraph" w:styleId="12">
    <w:name w:val="index 8"/>
    <w:basedOn w:val="1"/>
    <w:next w:val="1"/>
    <w:qFormat/>
    <w:uiPriority w:val="0"/>
    <w:pPr>
      <w:spacing w:line="360" w:lineRule="atLeast"/>
      <w:ind w:left="1680" w:hanging="210"/>
      <w:textAlignment w:val="baseline"/>
    </w:pPr>
    <w:rPr>
      <w:sz w:val="20"/>
      <w:szCs w:val="20"/>
    </w:rPr>
  </w:style>
  <w:style w:type="paragraph" w:styleId="13">
    <w:name w:val="Normal Indent"/>
    <w:basedOn w:val="1"/>
    <w:qFormat/>
    <w:uiPriority w:val="0"/>
    <w:pPr>
      <w:spacing w:line="240" w:lineRule="auto"/>
      <w:ind w:firstLine="420"/>
    </w:pPr>
    <w:rPr>
      <w:rFonts w:asciiTheme="minorHAnsi" w:hAnsiTheme="minorHAnsi" w:eastAsiaTheme="minorEastAsia" w:cstheme="minorBidi"/>
      <w:szCs w:val="20"/>
    </w:rPr>
  </w:style>
  <w:style w:type="paragraph" w:styleId="14">
    <w:name w:val="caption"/>
    <w:basedOn w:val="1"/>
    <w:next w:val="1"/>
    <w:qFormat/>
    <w:uiPriority w:val="0"/>
    <w:pPr>
      <w:keepNext/>
      <w:spacing w:before="120"/>
      <w:ind w:left="425" w:hanging="425"/>
      <w:jc w:val="center"/>
    </w:pPr>
    <w:rPr>
      <w:rFonts w:ascii="黑体" w:hAnsi="黑体" w:eastAsia="黑体"/>
      <w:sz w:val="20"/>
      <w:szCs w:val="20"/>
    </w:rPr>
  </w:style>
  <w:style w:type="paragraph" w:styleId="15">
    <w:name w:val="annotation text"/>
    <w:basedOn w:val="1"/>
    <w:link w:val="44"/>
    <w:unhideWhenUsed/>
    <w:qFormat/>
    <w:uiPriority w:val="0"/>
    <w:pPr>
      <w:jc w:val="left"/>
    </w:pPr>
    <w:rPr>
      <w:kern w:val="0"/>
      <w:sz w:val="20"/>
    </w:rPr>
  </w:style>
  <w:style w:type="paragraph" w:styleId="16">
    <w:name w:val="Body Text Indent"/>
    <w:basedOn w:val="1"/>
    <w:link w:val="64"/>
    <w:unhideWhenUsed/>
    <w:qFormat/>
    <w:uiPriority w:val="99"/>
    <w:pPr>
      <w:spacing w:after="120"/>
      <w:ind w:left="420" w:leftChars="200"/>
    </w:pPr>
  </w:style>
  <w:style w:type="paragraph" w:styleId="17">
    <w:name w:val="toc 3"/>
    <w:basedOn w:val="1"/>
    <w:next w:val="1"/>
    <w:unhideWhenUsed/>
    <w:qFormat/>
    <w:uiPriority w:val="39"/>
    <w:pPr>
      <w:ind w:left="840" w:leftChars="400"/>
    </w:pPr>
  </w:style>
  <w:style w:type="paragraph" w:styleId="18">
    <w:name w:val="Plain Text"/>
    <w:basedOn w:val="1"/>
    <w:next w:val="12"/>
    <w:link w:val="68"/>
    <w:qFormat/>
    <w:uiPriority w:val="0"/>
    <w:pPr>
      <w:spacing w:line="240" w:lineRule="auto"/>
    </w:pPr>
    <w:rPr>
      <w:rFonts w:ascii="宋体" w:hAnsi="Courier New"/>
      <w:szCs w:val="20"/>
    </w:rPr>
  </w:style>
  <w:style w:type="paragraph" w:styleId="19">
    <w:name w:val="Balloon Text"/>
    <w:basedOn w:val="1"/>
    <w:link w:val="67"/>
    <w:unhideWhenUsed/>
    <w:qFormat/>
    <w:uiPriority w:val="99"/>
    <w:pPr>
      <w:spacing w:line="240" w:lineRule="auto"/>
    </w:pPr>
    <w:rPr>
      <w:sz w:val="18"/>
      <w:szCs w:val="18"/>
    </w:rPr>
  </w:style>
  <w:style w:type="paragraph" w:styleId="20">
    <w:name w:val="footer"/>
    <w:basedOn w:val="1"/>
    <w:link w:val="45"/>
    <w:qFormat/>
    <w:uiPriority w:val="99"/>
    <w:pPr>
      <w:tabs>
        <w:tab w:val="center" w:pos="4153"/>
        <w:tab w:val="right" w:pos="8306"/>
      </w:tabs>
      <w:snapToGrid w:val="0"/>
      <w:jc w:val="left"/>
    </w:pPr>
    <w:rPr>
      <w:rFonts w:ascii="Times New Roman" w:hAnsi="Times New Roman"/>
      <w:sz w:val="18"/>
      <w:szCs w:val="18"/>
    </w:rPr>
  </w:style>
  <w:style w:type="paragraph" w:styleId="21">
    <w:name w:val="header"/>
    <w:basedOn w:val="1"/>
    <w:link w:val="46"/>
    <w:qFormat/>
    <w:uiPriority w:val="99"/>
    <w:pPr>
      <w:pBdr>
        <w:top w:val="none" w:color="auto" w:sz="0" w:space="1"/>
        <w:left w:val="none" w:color="auto" w:sz="0" w:space="4"/>
        <w:bottom w:val="none" w:color="auto" w:sz="0" w:space="1"/>
        <w:right w:val="none" w:color="auto" w:sz="0" w:space="4"/>
      </w:pBdr>
      <w:tabs>
        <w:tab w:val="center" w:pos="4153"/>
        <w:tab w:val="right" w:pos="8306"/>
      </w:tabs>
      <w:snapToGrid w:val="0"/>
      <w:spacing w:line="240" w:lineRule="auto"/>
    </w:pPr>
    <w:rPr>
      <w:sz w:val="18"/>
    </w:rPr>
  </w:style>
  <w:style w:type="paragraph" w:styleId="22">
    <w:name w:val="toc 1"/>
    <w:basedOn w:val="1"/>
    <w:next w:val="1"/>
    <w:unhideWhenUsed/>
    <w:qFormat/>
    <w:uiPriority w:val="39"/>
    <w:pPr>
      <w:tabs>
        <w:tab w:val="left" w:pos="420"/>
        <w:tab w:val="right" w:leader="dot" w:pos="8296"/>
      </w:tabs>
      <w:jc w:val="center"/>
    </w:pPr>
  </w:style>
  <w:style w:type="paragraph" w:styleId="23">
    <w:name w:val="toc 2"/>
    <w:basedOn w:val="1"/>
    <w:next w:val="1"/>
    <w:unhideWhenUsed/>
    <w:qFormat/>
    <w:uiPriority w:val="39"/>
    <w:pPr>
      <w:ind w:left="420" w:leftChars="200"/>
    </w:pPr>
  </w:style>
  <w:style w:type="paragraph" w:styleId="24">
    <w:name w:val="Body Text 2"/>
    <w:basedOn w:val="1"/>
    <w:link w:val="69"/>
    <w:qFormat/>
    <w:uiPriority w:val="0"/>
    <w:pPr>
      <w:spacing w:after="120" w:line="480" w:lineRule="auto"/>
    </w:pPr>
    <w:rPr>
      <w:rFonts w:ascii="Times New Roman" w:hAnsi="Times New Roman"/>
    </w:rPr>
  </w:style>
  <w:style w:type="paragraph" w:styleId="25">
    <w:name w:val="Normal (Web)"/>
    <w:basedOn w:val="1"/>
    <w:qFormat/>
    <w:uiPriority w:val="0"/>
    <w:pPr>
      <w:widowControl/>
      <w:spacing w:before="100" w:beforeAutospacing="1" w:after="100" w:afterAutospacing="1"/>
      <w:jc w:val="left"/>
    </w:pPr>
    <w:rPr>
      <w:rFonts w:ascii="宋体" w:hAnsi="宋体" w:cs="宋体"/>
      <w:kern w:val="0"/>
      <w:sz w:val="24"/>
    </w:rPr>
  </w:style>
  <w:style w:type="paragraph" w:styleId="26">
    <w:name w:val="Body Text First Indent"/>
    <w:basedOn w:val="2"/>
    <w:link w:val="47"/>
    <w:qFormat/>
    <w:uiPriority w:val="0"/>
    <w:pPr>
      <w:spacing w:line="312" w:lineRule="auto"/>
      <w:ind w:firstLine="420"/>
    </w:pPr>
    <w:rPr>
      <w:rFonts w:ascii="Times New Roman" w:hAnsi="Times New Roman"/>
      <w:color w:val="000000" w:themeColor="text1"/>
      <w14:textFill>
        <w14:solidFill>
          <w14:schemeClr w14:val="tx1"/>
        </w14:solidFill>
      </w14:textFill>
    </w:rPr>
  </w:style>
  <w:style w:type="paragraph" w:styleId="27">
    <w:name w:val="Body Text First Indent 2"/>
    <w:basedOn w:val="16"/>
    <w:link w:val="65"/>
    <w:unhideWhenUsed/>
    <w:qFormat/>
    <w:uiPriority w:val="99"/>
    <w:pPr>
      <w:ind w:firstLine="420" w:firstLineChars="200"/>
    </w:pPr>
  </w:style>
  <w:style w:type="table" w:styleId="29">
    <w:name w:val="Table Grid"/>
    <w:basedOn w:val="28"/>
    <w:qFormat/>
    <w:uiPriority w:val="39"/>
    <w:pPr>
      <w:widowControl w:val="0"/>
      <w:jc w:val="both"/>
    </w:pPr>
    <w:rPr>
      <w:rFonts w:ascii="Times New Roman" w:hAnsi="Times New Roman" w:eastAsia="宋体" w:cs="Times New Roman"/>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character" w:styleId="31">
    <w:name w:val="Strong"/>
    <w:basedOn w:val="30"/>
    <w:qFormat/>
    <w:uiPriority w:val="0"/>
    <w:rPr>
      <w:b/>
    </w:rPr>
  </w:style>
  <w:style w:type="character" w:styleId="32">
    <w:name w:val="page number"/>
    <w:basedOn w:val="30"/>
    <w:qFormat/>
    <w:uiPriority w:val="0"/>
  </w:style>
  <w:style w:type="character" w:styleId="33">
    <w:name w:val="Hyperlink"/>
    <w:basedOn w:val="30"/>
    <w:unhideWhenUsed/>
    <w:qFormat/>
    <w:uiPriority w:val="99"/>
    <w:rPr>
      <w:color w:val="0563C1" w:themeColor="hyperlink"/>
      <w:u w:val="single"/>
      <w14:textFill>
        <w14:solidFill>
          <w14:schemeClr w14:val="hlink"/>
        </w14:solidFill>
      </w14:textFill>
    </w:rPr>
  </w:style>
  <w:style w:type="character" w:customStyle="1" w:styleId="34">
    <w:name w:val="标题 1 Char"/>
    <w:basedOn w:val="30"/>
    <w:link w:val="3"/>
    <w:qFormat/>
    <w:uiPriority w:val="0"/>
    <w:rPr>
      <w:rFonts w:ascii="Calibri" w:hAnsi="Calibri" w:eastAsia="宋体" w:cs="Times New Roman"/>
      <w:b/>
      <w:kern w:val="44"/>
      <w:sz w:val="36"/>
    </w:rPr>
  </w:style>
  <w:style w:type="character" w:customStyle="1" w:styleId="35">
    <w:name w:val="标题 2 Char"/>
    <w:basedOn w:val="30"/>
    <w:link w:val="4"/>
    <w:qFormat/>
    <w:uiPriority w:val="0"/>
    <w:rPr>
      <w:rFonts w:ascii="Arial" w:hAnsi="Arial" w:eastAsia="宋体" w:cs="Times New Roman"/>
      <w:b/>
      <w:sz w:val="32"/>
      <w:szCs w:val="24"/>
    </w:rPr>
  </w:style>
  <w:style w:type="character" w:customStyle="1" w:styleId="36">
    <w:name w:val="标题 3 Char1"/>
    <w:basedOn w:val="30"/>
    <w:link w:val="5"/>
    <w:qFormat/>
    <w:uiPriority w:val="0"/>
    <w:rPr>
      <w:rFonts w:ascii="Calibri" w:hAnsi="Calibri" w:eastAsia="宋体" w:cs="Times New Roman"/>
      <w:b/>
      <w:sz w:val="30"/>
      <w:szCs w:val="24"/>
    </w:rPr>
  </w:style>
  <w:style w:type="character" w:customStyle="1" w:styleId="37">
    <w:name w:val="标题 4 Char"/>
    <w:basedOn w:val="30"/>
    <w:link w:val="6"/>
    <w:qFormat/>
    <w:uiPriority w:val="0"/>
    <w:rPr>
      <w:rFonts w:ascii="Arial" w:hAnsi="Arial" w:eastAsia="宋体" w:cs="Times New Roman"/>
      <w:b/>
      <w:sz w:val="28"/>
      <w:szCs w:val="24"/>
    </w:rPr>
  </w:style>
  <w:style w:type="character" w:customStyle="1" w:styleId="38">
    <w:name w:val="标题 5 Char"/>
    <w:basedOn w:val="30"/>
    <w:link w:val="7"/>
    <w:qFormat/>
    <w:uiPriority w:val="0"/>
    <w:rPr>
      <w:rFonts w:ascii="Calibri" w:hAnsi="Calibri" w:eastAsia="宋体" w:cs="Times New Roman"/>
      <w:b/>
      <w:sz w:val="24"/>
      <w:szCs w:val="24"/>
    </w:rPr>
  </w:style>
  <w:style w:type="character" w:customStyle="1" w:styleId="39">
    <w:name w:val="标题 6 Char"/>
    <w:basedOn w:val="30"/>
    <w:link w:val="8"/>
    <w:qFormat/>
    <w:uiPriority w:val="0"/>
    <w:rPr>
      <w:rFonts w:ascii="Arial" w:hAnsi="Arial" w:eastAsia="宋体" w:cs="Times New Roman"/>
      <w:b/>
      <w:szCs w:val="24"/>
    </w:rPr>
  </w:style>
  <w:style w:type="character" w:customStyle="1" w:styleId="40">
    <w:name w:val="标题 7 Char"/>
    <w:basedOn w:val="30"/>
    <w:link w:val="9"/>
    <w:semiHidden/>
    <w:qFormat/>
    <w:uiPriority w:val="0"/>
    <w:rPr>
      <w:rFonts w:ascii="Calibri" w:hAnsi="Calibri" w:eastAsia="仿宋" w:cs="Times New Roman"/>
      <w:b/>
      <w:sz w:val="24"/>
      <w:szCs w:val="24"/>
    </w:rPr>
  </w:style>
  <w:style w:type="character" w:customStyle="1" w:styleId="41">
    <w:name w:val="标题 8 Char"/>
    <w:basedOn w:val="30"/>
    <w:link w:val="10"/>
    <w:semiHidden/>
    <w:qFormat/>
    <w:uiPriority w:val="0"/>
    <w:rPr>
      <w:rFonts w:ascii="Arial" w:hAnsi="Arial" w:eastAsia="黑体" w:cs="Times New Roman"/>
      <w:sz w:val="24"/>
      <w:szCs w:val="24"/>
    </w:rPr>
  </w:style>
  <w:style w:type="character" w:customStyle="1" w:styleId="42">
    <w:name w:val="标题 9 Char"/>
    <w:basedOn w:val="30"/>
    <w:link w:val="11"/>
    <w:semiHidden/>
    <w:qFormat/>
    <w:uiPriority w:val="0"/>
    <w:rPr>
      <w:rFonts w:ascii="Arial" w:hAnsi="Arial" w:eastAsia="黑体" w:cs="Times New Roman"/>
      <w:szCs w:val="24"/>
    </w:rPr>
  </w:style>
  <w:style w:type="character" w:customStyle="1" w:styleId="43">
    <w:name w:val="正文文本 Char"/>
    <w:basedOn w:val="30"/>
    <w:link w:val="2"/>
    <w:semiHidden/>
    <w:qFormat/>
    <w:uiPriority w:val="99"/>
    <w:rPr>
      <w:rFonts w:ascii="Calibri" w:hAnsi="Calibri" w:eastAsia="仿宋" w:cs="Times New Roman"/>
      <w:sz w:val="32"/>
      <w:szCs w:val="24"/>
    </w:rPr>
  </w:style>
  <w:style w:type="character" w:customStyle="1" w:styleId="44">
    <w:name w:val="批注文字 Char1"/>
    <w:basedOn w:val="30"/>
    <w:link w:val="15"/>
    <w:qFormat/>
    <w:uiPriority w:val="99"/>
    <w:rPr>
      <w:rFonts w:ascii="Calibri" w:hAnsi="Calibri" w:eastAsia="仿宋" w:cs="Times New Roman"/>
      <w:kern w:val="0"/>
      <w:sz w:val="20"/>
      <w:szCs w:val="24"/>
    </w:rPr>
  </w:style>
  <w:style w:type="character" w:customStyle="1" w:styleId="45">
    <w:name w:val="页脚 Char"/>
    <w:basedOn w:val="30"/>
    <w:link w:val="20"/>
    <w:qFormat/>
    <w:uiPriority w:val="99"/>
    <w:rPr>
      <w:rFonts w:ascii="Times New Roman" w:hAnsi="Times New Roman" w:eastAsia="宋体" w:cs="Times New Roman"/>
      <w:sz w:val="18"/>
      <w:szCs w:val="18"/>
    </w:rPr>
  </w:style>
  <w:style w:type="character" w:customStyle="1" w:styleId="46">
    <w:name w:val="页眉 Char"/>
    <w:basedOn w:val="30"/>
    <w:link w:val="21"/>
    <w:qFormat/>
    <w:uiPriority w:val="99"/>
    <w:rPr>
      <w:rFonts w:ascii="Calibri" w:hAnsi="Calibri" w:eastAsia="仿宋" w:cs="Times New Roman"/>
      <w:sz w:val="18"/>
      <w:szCs w:val="24"/>
    </w:rPr>
  </w:style>
  <w:style w:type="character" w:customStyle="1" w:styleId="47">
    <w:name w:val="正文首行缩进 Char"/>
    <w:basedOn w:val="43"/>
    <w:link w:val="26"/>
    <w:qFormat/>
    <w:uiPriority w:val="0"/>
    <w:rPr>
      <w:rFonts w:ascii="Times New Roman" w:hAnsi="Times New Roman" w:eastAsia="仿宋" w:cs="Times New Roman"/>
      <w:color w:val="000000" w:themeColor="text1"/>
      <w:sz w:val="32"/>
      <w:szCs w:val="24"/>
      <w14:textFill>
        <w14:solidFill>
          <w14:schemeClr w14:val="tx1"/>
        </w14:solidFill>
      </w14:textFill>
    </w:rPr>
  </w:style>
  <w:style w:type="paragraph" w:customStyle="1" w:styleId="48">
    <w:name w:val="kn首缩2"/>
    <w:basedOn w:val="1"/>
    <w:qFormat/>
    <w:uiPriority w:val="0"/>
    <w:pPr>
      <w:adjustRightInd w:val="0"/>
      <w:snapToGrid w:val="0"/>
      <w:ind w:firstLine="480"/>
    </w:pPr>
  </w:style>
  <w:style w:type="paragraph" w:customStyle="1" w:styleId="49">
    <w:name w:val="列出段落1"/>
    <w:basedOn w:val="1"/>
    <w:qFormat/>
    <w:uiPriority w:val="34"/>
    <w:pPr>
      <w:ind w:firstLine="420"/>
    </w:pPr>
    <w:rPr>
      <w:rFonts w:ascii="Times New Roman" w:hAnsi="Times New Roman"/>
      <w:sz w:val="24"/>
    </w:rPr>
  </w:style>
  <w:style w:type="paragraph" w:customStyle="1" w:styleId="50">
    <w:name w:val="表格标题"/>
    <w:basedOn w:val="1"/>
    <w:next w:val="2"/>
    <w:qFormat/>
    <w:uiPriority w:val="0"/>
    <w:pPr>
      <w:widowControl/>
      <w:jc w:val="center"/>
    </w:pPr>
    <w:rPr>
      <w:b/>
      <w:color w:val="000000"/>
      <w:kern w:val="0"/>
      <w:sz w:val="24"/>
      <w:lang w:bidi="he-IL"/>
    </w:rPr>
  </w:style>
  <w:style w:type="paragraph" w:customStyle="1" w:styleId="51">
    <w:name w:val="正文格式"/>
    <w:basedOn w:val="1"/>
    <w:qFormat/>
    <w:uiPriority w:val="0"/>
    <w:pPr>
      <w:spacing w:beforeLines="50" w:afterLines="50"/>
      <w:ind w:firstLine="480"/>
    </w:pPr>
    <w:rPr>
      <w:rFonts w:ascii="宋体" w:hAnsi="宋体"/>
      <w:kern w:val="0"/>
      <w:sz w:val="24"/>
      <w:lang w:val="en-GB"/>
    </w:rPr>
  </w:style>
  <w:style w:type="paragraph" w:customStyle="1" w:styleId="52">
    <w:name w:val="表格题注"/>
    <w:basedOn w:val="14"/>
    <w:qFormat/>
    <w:uiPriority w:val="0"/>
    <w:pPr>
      <w:spacing w:before="0" w:line="240" w:lineRule="auto"/>
      <w:ind w:left="0" w:firstLine="0"/>
    </w:pPr>
  </w:style>
  <w:style w:type="paragraph" w:customStyle="1" w:styleId="53">
    <w:name w:val="（投标文件）首行缩进"/>
    <w:basedOn w:val="2"/>
    <w:next w:val="12"/>
    <w:qFormat/>
    <w:uiPriority w:val="0"/>
    <w:pPr>
      <w:spacing w:afterLines="100"/>
      <w:ind w:firstLine="963"/>
    </w:pPr>
    <w:rPr>
      <w:rFonts w:asciiTheme="minorHAnsi" w:hAnsiTheme="minorHAnsi"/>
      <w:sz w:val="28"/>
    </w:rPr>
  </w:style>
  <w:style w:type="paragraph" w:customStyle="1" w:styleId="54">
    <w:name w:val="我的正文"/>
    <w:basedOn w:val="53"/>
    <w:qFormat/>
    <w:uiPriority w:val="0"/>
    <w:pPr>
      <w:spacing w:afterLines="0"/>
      <w:ind w:firstLine="480"/>
    </w:pPr>
    <w:rPr>
      <w:rFonts w:asciiTheme="minorEastAsia" w:hAnsiTheme="minorEastAsia" w:eastAsiaTheme="minorEastAsia"/>
      <w:color w:val="000000" w:themeColor="text1"/>
      <w:sz w:val="24"/>
      <w:szCs w:val="21"/>
      <w14:textFill>
        <w14:solidFill>
          <w14:schemeClr w14:val="tx1"/>
        </w14:solidFill>
      </w14:textFill>
    </w:rPr>
  </w:style>
  <w:style w:type="paragraph" w:customStyle="1" w:styleId="55">
    <w:name w:val="222"/>
    <w:basedOn w:val="1"/>
    <w:qFormat/>
    <w:uiPriority w:val="0"/>
    <w:pPr>
      <w:ind w:firstLine="480"/>
    </w:pPr>
    <w:rPr>
      <w:rFonts w:ascii="宋体" w:hAnsi="宋体"/>
      <w:sz w:val="24"/>
      <w:szCs w:val="20"/>
    </w:rPr>
  </w:style>
  <w:style w:type="paragraph" w:customStyle="1" w:styleId="56">
    <w:name w:val="My 正文"/>
    <w:basedOn w:val="1"/>
    <w:qFormat/>
    <w:uiPriority w:val="0"/>
    <w:pPr>
      <w:ind w:firstLine="200"/>
    </w:pPr>
    <w:rPr>
      <w:sz w:val="24"/>
      <w:szCs w:val="22"/>
    </w:rPr>
  </w:style>
  <w:style w:type="paragraph" w:customStyle="1" w:styleId="57">
    <w:name w:val="方案正文"/>
    <w:basedOn w:val="1"/>
    <w:qFormat/>
    <w:uiPriority w:val="0"/>
    <w:pPr>
      <w:spacing w:before="156"/>
      <w:ind w:firstLine="359" w:firstLineChars="171"/>
      <w:jc w:val="left"/>
    </w:pPr>
    <w:rPr>
      <w:rFonts w:ascii="Arial" w:hAnsi="Arial" w:cs="宋体"/>
      <w:sz w:val="24"/>
      <w:szCs w:val="21"/>
    </w:rPr>
  </w:style>
  <w:style w:type="paragraph" w:customStyle="1" w:styleId="58">
    <w:name w:val="正文样式"/>
    <w:basedOn w:val="1"/>
    <w:qFormat/>
    <w:uiPriority w:val="99"/>
    <w:pPr>
      <w:spacing w:line="240" w:lineRule="auto"/>
      <w:ind w:firstLine="480" w:firstLineChars="200"/>
    </w:pPr>
    <w:rPr>
      <w:rFonts w:ascii="Times New Roman" w:hAnsi="Times New Roman" w:eastAsiaTheme="minorEastAsia" w:cstheme="minorBidi"/>
      <w:sz w:val="30"/>
      <w:lang w:val="zh-CN"/>
    </w:rPr>
  </w:style>
  <w:style w:type="character" w:customStyle="1" w:styleId="59">
    <w:name w:val="列出段落 Char"/>
    <w:link w:val="60"/>
    <w:qFormat/>
    <w:locked/>
    <w:uiPriority w:val="34"/>
    <w:rPr>
      <w:szCs w:val="24"/>
    </w:rPr>
  </w:style>
  <w:style w:type="paragraph" w:customStyle="1" w:styleId="60">
    <w:name w:val="列出段落11"/>
    <w:basedOn w:val="1"/>
    <w:link w:val="59"/>
    <w:qFormat/>
    <w:uiPriority w:val="34"/>
    <w:pPr>
      <w:spacing w:line="240" w:lineRule="auto"/>
      <w:ind w:firstLine="420" w:firstLineChars="200"/>
    </w:pPr>
    <w:rPr>
      <w:rFonts w:asciiTheme="minorHAnsi" w:hAnsiTheme="minorHAnsi" w:eastAsiaTheme="minorEastAsia" w:cstheme="minorBidi"/>
    </w:rPr>
  </w:style>
  <w:style w:type="paragraph" w:customStyle="1" w:styleId="61">
    <w:name w:val="列表段落1"/>
    <w:basedOn w:val="1"/>
    <w:qFormat/>
    <w:uiPriority w:val="34"/>
    <w:pPr>
      <w:spacing w:line="240" w:lineRule="auto"/>
      <w:ind w:firstLine="420" w:firstLineChars="200"/>
    </w:pPr>
    <w:rPr>
      <w:szCs w:val="22"/>
    </w:rPr>
  </w:style>
  <w:style w:type="character" w:customStyle="1" w:styleId="62">
    <w:name w:val="标题 3 Char"/>
    <w:qFormat/>
    <w:uiPriority w:val="9"/>
    <w:rPr>
      <w:rFonts w:ascii="仿宋_GB2312" w:hAnsi="仿宋" w:eastAsia="仿宋_GB2312" w:cs="Arial"/>
      <w:b/>
      <w:kern w:val="2"/>
      <w:sz w:val="28"/>
      <w:szCs w:val="28"/>
    </w:rPr>
  </w:style>
  <w:style w:type="paragraph" w:customStyle="1" w:styleId="63">
    <w:name w:val="TOC 标题1"/>
    <w:basedOn w:val="3"/>
    <w:next w:val="1"/>
    <w:unhideWhenUsed/>
    <w:qFormat/>
    <w:uiPriority w:val="39"/>
    <w:pPr>
      <w:widowControl/>
      <w:numPr>
        <w:numId w:val="0"/>
      </w:numPr>
      <w:tabs>
        <w:tab w:val="clear" w:pos="0"/>
      </w:tabs>
      <w:spacing w:before="240" w:line="259" w:lineRule="auto"/>
      <w:jc w:val="left"/>
      <w:outlineLvl w:val="9"/>
    </w:pPr>
    <w:rPr>
      <w:rFonts w:asciiTheme="majorHAnsi" w:hAnsiTheme="majorHAnsi" w:eastAsiaTheme="majorEastAsia" w:cstheme="majorBidi"/>
      <w:b w:val="0"/>
      <w:color w:val="2F5597" w:themeColor="accent1" w:themeShade="BF"/>
      <w:kern w:val="0"/>
      <w:sz w:val="32"/>
      <w:szCs w:val="32"/>
    </w:rPr>
  </w:style>
  <w:style w:type="character" w:customStyle="1" w:styleId="64">
    <w:name w:val="正文文本缩进 Char"/>
    <w:basedOn w:val="30"/>
    <w:link w:val="16"/>
    <w:semiHidden/>
    <w:qFormat/>
    <w:uiPriority w:val="99"/>
    <w:rPr>
      <w:rFonts w:ascii="Calibri" w:hAnsi="Calibri" w:eastAsia="宋体" w:cs="Times New Roman"/>
      <w:szCs w:val="24"/>
    </w:rPr>
  </w:style>
  <w:style w:type="character" w:customStyle="1" w:styleId="65">
    <w:name w:val="正文首行缩进 2 Char"/>
    <w:basedOn w:val="64"/>
    <w:link w:val="27"/>
    <w:semiHidden/>
    <w:qFormat/>
    <w:uiPriority w:val="99"/>
    <w:rPr>
      <w:rFonts w:ascii="Calibri" w:hAnsi="Calibri" w:eastAsia="宋体" w:cs="Times New Roman"/>
      <w:szCs w:val="24"/>
    </w:rPr>
  </w:style>
  <w:style w:type="character" w:customStyle="1" w:styleId="66">
    <w:name w:val="批注文字 Char"/>
    <w:qFormat/>
    <w:uiPriority w:val="0"/>
    <w:rPr>
      <w:kern w:val="2"/>
      <w:sz w:val="21"/>
      <w:lang w:bidi="ar-SA"/>
    </w:rPr>
  </w:style>
  <w:style w:type="character" w:customStyle="1" w:styleId="67">
    <w:name w:val="批注框文本 Char"/>
    <w:basedOn w:val="30"/>
    <w:link w:val="19"/>
    <w:semiHidden/>
    <w:qFormat/>
    <w:uiPriority w:val="99"/>
    <w:rPr>
      <w:rFonts w:ascii="Calibri" w:hAnsi="Calibri" w:eastAsia="宋体" w:cs="Times New Roman"/>
      <w:sz w:val="18"/>
      <w:szCs w:val="18"/>
    </w:rPr>
  </w:style>
  <w:style w:type="character" w:customStyle="1" w:styleId="68">
    <w:name w:val="纯文本 Char"/>
    <w:basedOn w:val="30"/>
    <w:link w:val="18"/>
    <w:qFormat/>
    <w:uiPriority w:val="0"/>
    <w:rPr>
      <w:rFonts w:ascii="宋体" w:hAnsi="Courier New" w:eastAsia="宋体" w:cs="Times New Roman"/>
      <w:kern w:val="2"/>
      <w:sz w:val="21"/>
    </w:rPr>
  </w:style>
  <w:style w:type="character" w:customStyle="1" w:styleId="69">
    <w:name w:val="正文文本 2 Char"/>
    <w:basedOn w:val="30"/>
    <w:link w:val="24"/>
    <w:qFormat/>
    <w:uiPriority w:val="0"/>
    <w:rPr>
      <w:rFonts w:ascii="Times New Roman" w:hAnsi="Times New Roman" w:eastAsia="宋体" w:cs="Times New Roman"/>
      <w:kern w:val="2"/>
      <w:sz w:val="21"/>
      <w:szCs w:val="24"/>
    </w:rPr>
  </w:style>
  <w:style w:type="character" w:customStyle="1" w:styleId="70">
    <w:name w:val="Char Char10"/>
    <w:qFormat/>
    <w:uiPriority w:val="0"/>
    <w:rPr>
      <w:rFonts w:eastAsia="宋体"/>
      <w:kern w:val="2"/>
      <w:sz w:val="21"/>
      <w:szCs w:val="24"/>
      <w:lang w:val="en-US" w:eastAsia="zh-CN" w:bidi="ar-SA"/>
    </w:rPr>
  </w:style>
</w:styles>
</file>

<file path=word/_rels/document.xml.rels><?xml version="1.0" encoding="UTF-8" standalone="yes"?>
<Relationships xmlns="http://schemas.openxmlformats.org/package/2006/relationships"><Relationship Id="rId9" Type="http://schemas.openxmlformats.org/officeDocument/2006/relationships/footer" Target="footer2.xml"/><Relationship Id="rId8" Type="http://schemas.openxmlformats.org/officeDocument/2006/relationships/footer" Target="footer1.xml"/><Relationship Id="rId7" Type="http://schemas.openxmlformats.org/officeDocument/2006/relationships/header" Target="header3.xml"/><Relationship Id="rId6" Type="http://schemas.openxmlformats.org/officeDocument/2006/relationships/header" Target="header2.xml"/><Relationship Id="rId5" Type="http://schemas.openxmlformats.org/officeDocument/2006/relationships/header" Target="header1.xml"/><Relationship Id="rId4" Type="http://schemas.openxmlformats.org/officeDocument/2006/relationships/endnotes" Target="endnotes.xml"/><Relationship Id="rId3" Type="http://schemas.openxmlformats.org/officeDocument/2006/relationships/footnotes" Target="footnotes.xml"/><Relationship Id="rId2" Type="http://schemas.openxmlformats.org/officeDocument/2006/relationships/settings" Target="settings.xml"/><Relationship Id="rId14" Type="http://schemas.openxmlformats.org/officeDocument/2006/relationships/fontTable" Target="fontTable.xml"/><Relationship Id="rId13" Type="http://schemas.openxmlformats.org/officeDocument/2006/relationships/customXml" Target="../customXml/item1.xml"/><Relationship Id="rId12" Type="http://schemas.openxmlformats.org/officeDocument/2006/relationships/numbering" Target="numbering.xml"/><Relationship Id="rId11" Type="http://schemas.openxmlformats.org/officeDocument/2006/relationships/theme" Target="theme/theme1.xml"/><Relationship Id="rId10" Type="http://schemas.openxmlformats.org/officeDocument/2006/relationships/footer" Target="footer3.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等线"/>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89D8AA1C-0573-41EA-8E7C-3A0A5B215D4B}">
  <ds:schemaRefs/>
</ds:datastoreItem>
</file>

<file path=docProps/app.xml><?xml version="1.0" encoding="utf-8"?>
<Properties xmlns="http://schemas.openxmlformats.org/officeDocument/2006/extended-properties" xmlns:vt="http://schemas.openxmlformats.org/officeDocument/2006/docPropsVTypes">
  <Template>Normal</Template>
  <Pages>3</Pages>
  <Words>2360</Words>
  <Characters>2405</Characters>
  <Lines>19</Lines>
  <Paragraphs>5</Paragraphs>
  <TotalTime>0</TotalTime>
  <ScaleCrop>false</ScaleCrop>
  <LinksUpToDate>false</LinksUpToDate>
  <CharactersWithSpaces>2420</CharactersWithSpaces>
  <Application>WPS Office_12.1.0.20305_F1E327BC-269C-435d-A152-05C5408002CA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2022-06-08T01:40:00Z</dcterms:created>
  <dc:creator>秀</dc:creator>
  <cp:lastModifiedBy></cp:lastModifiedBy>
  <cp:lastPrinted>2022-07-11T07:01:00Z</cp:lastPrinted>
  <dcterms:modified xsi:type="dcterms:W3CDTF">2025-03-07T01:58:10Z</dcterms:modified>
  <cp:revision>2</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2052-12.1.0.20305</vt:lpwstr>
  </property>
  <property fmtid="{D5CDD505-2E9C-101B-9397-08002B2CF9AE}" pid="3" name="ICV">
    <vt:lpwstr>9C62B7F584394D1590CA2EC0B6D36BB3</vt:lpwstr>
  </property>
  <property fmtid="{D5CDD505-2E9C-101B-9397-08002B2CF9AE}" pid="4" name="KSOTemplateDocerSaveRecord">
    <vt:lpwstr>eyJoZGlkIjoiZGNhN2YyZTk1NWZhOTUwODI2Y2E1YWI4OTUxN2E1OGYiLCJ1c2VySWQiOiIzMDI3OTUwMTgifQ==</vt:lpwstr>
  </property>
</Properties>
</file>