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tabs>
          <w:tab w:val="left" w:pos="0"/>
        </w:tabs>
        <w:spacing w:line="600" w:lineRule="exact"/>
        <w:jc w:val="left"/>
        <w:rPr>
          <w:rFonts w:hint="default" w:ascii="Times New Roman" w:hAnsi="Times New Roman" w:eastAsia="宋体" w:cs="Times New Roman"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宋体" w:cs="Times New Roman"/>
          <w:sz w:val="32"/>
          <w:szCs w:val="32"/>
          <w:highlight w:val="none"/>
        </w:rPr>
        <w:t>附件</w:t>
      </w:r>
      <w:r>
        <w:rPr>
          <w:rFonts w:hint="default" w:ascii="Times New Roman" w:hAnsi="Times New Roman" w:eastAsia="宋体" w:cs="Times New Roman"/>
          <w:sz w:val="32"/>
          <w:szCs w:val="32"/>
          <w:highlight w:val="none"/>
          <w:lang w:val="en-US" w:eastAsia="zh-CN"/>
        </w:rPr>
        <w:t>5</w:t>
      </w:r>
    </w:p>
    <w:p>
      <w:pPr>
        <w:widowControl w:val="0"/>
        <w:tabs>
          <w:tab w:val="left" w:pos="0"/>
        </w:tabs>
        <w:spacing w:line="600" w:lineRule="exact"/>
        <w:jc w:val="center"/>
        <w:outlineLvl w:val="0"/>
        <w:rPr>
          <w:rFonts w:hint="default" w:ascii="Times New Roman" w:hAnsi="Times New Roman" w:eastAsia="宋体" w:cs="Times New Roman"/>
          <w:b/>
          <w:bCs/>
          <w:sz w:val="36"/>
          <w:szCs w:val="36"/>
          <w:highlight w:val="none"/>
          <w:lang w:eastAsia="zh-CN"/>
        </w:rPr>
      </w:pPr>
      <w:r>
        <w:rPr>
          <w:rFonts w:hint="default" w:ascii="Times New Roman" w:hAnsi="Times New Roman" w:eastAsia="宋体" w:cs="Times New Roman"/>
          <w:b/>
          <w:bCs/>
          <w:sz w:val="36"/>
          <w:szCs w:val="36"/>
          <w:highlight w:val="none"/>
        </w:rPr>
        <w:t>综合评分</w:t>
      </w:r>
      <w:r>
        <w:rPr>
          <w:rFonts w:hint="default" w:ascii="Times New Roman" w:hAnsi="Times New Roman" w:eastAsia="宋体" w:cs="Times New Roman"/>
          <w:b/>
          <w:bCs/>
          <w:sz w:val="36"/>
          <w:szCs w:val="36"/>
          <w:highlight w:val="none"/>
          <w:lang w:eastAsia="zh-CN"/>
        </w:rPr>
        <w:t>细则</w:t>
      </w:r>
    </w:p>
    <w:p>
      <w:pPr>
        <w:pStyle w:val="5"/>
        <w:rPr>
          <w:rFonts w:hint="default" w:ascii="Times New Roman" w:hAnsi="Times New Roman" w:eastAsia="宋体" w:cs="Times New Roman"/>
          <w:highlight w:val="none"/>
          <w:lang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6" w:firstLineChars="202"/>
        <w:textAlignment w:val="auto"/>
        <w:outlineLvl w:val="0"/>
        <w:rPr>
          <w:rFonts w:hint="default" w:ascii="Times New Roman" w:hAnsi="Times New Roman" w:eastAsia="宋体" w:cs="Times New Roman"/>
          <w:b/>
          <w:sz w:val="21"/>
          <w:szCs w:val="21"/>
          <w:highlight w:val="none"/>
        </w:rPr>
      </w:pP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</w:rPr>
        <w:t>一、评审原则</w:t>
      </w: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jc w:val="left"/>
        <w:textAlignment w:val="auto"/>
        <w:rPr>
          <w:rFonts w:hint="default" w:ascii="Times New Roman" w:hAnsi="Times New Roman" w:eastAsia="宋体" w:cs="Times New Roman"/>
          <w:kern w:val="0"/>
          <w:sz w:val="21"/>
          <w:szCs w:val="21"/>
          <w:highlight w:val="none"/>
          <w:lang w:eastAsia="zh-CN"/>
        </w:rPr>
      </w:pPr>
      <w:r>
        <w:rPr>
          <w:rFonts w:hint="default" w:ascii="Times New Roman" w:hAnsi="Times New Roman" w:eastAsia="宋体" w:cs="Times New Roman"/>
          <w:kern w:val="0"/>
          <w:sz w:val="21"/>
          <w:szCs w:val="21"/>
          <w:highlight w:val="none"/>
          <w:lang w:eastAsia="zh-CN"/>
        </w:rPr>
        <w:t>（一）评审小组构成：评审小组由技术评分人员和监督指导人员组成。</w:t>
      </w: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jc w:val="left"/>
        <w:textAlignment w:val="auto"/>
        <w:rPr>
          <w:rFonts w:hint="default" w:ascii="Times New Roman" w:hAnsi="Times New Roman" w:eastAsia="宋体" w:cs="Times New Roman"/>
          <w:kern w:val="0"/>
          <w:sz w:val="21"/>
          <w:szCs w:val="21"/>
          <w:highlight w:val="none"/>
        </w:rPr>
      </w:pPr>
      <w:r>
        <w:rPr>
          <w:rFonts w:hint="default" w:ascii="Times New Roman" w:hAnsi="Times New Roman" w:eastAsia="宋体" w:cs="Times New Roman"/>
          <w:kern w:val="0"/>
          <w:sz w:val="21"/>
          <w:szCs w:val="21"/>
          <w:highlight w:val="none"/>
          <w:lang w:eastAsia="zh-CN"/>
        </w:rPr>
        <w:t>（二）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  <w:highlight w:val="none"/>
        </w:rPr>
        <w:t>评审依据：本评分细则和供应商提交的响应文件。</w:t>
      </w:r>
    </w:p>
    <w:p>
      <w:pPr>
        <w:pStyle w:val="11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jc w:val="left"/>
        <w:textAlignment w:val="auto"/>
        <w:rPr>
          <w:rFonts w:hint="default" w:ascii="Times New Roman" w:hAnsi="Times New Roman" w:eastAsia="宋体" w:cs="Times New Roman"/>
          <w:sz w:val="21"/>
          <w:szCs w:val="21"/>
          <w:highlight w:val="none"/>
        </w:rPr>
      </w:pPr>
      <w:r>
        <w:rPr>
          <w:rFonts w:hint="default" w:ascii="Times New Roman" w:hAnsi="Times New Roman" w:eastAsia="宋体" w:cs="Times New Roman"/>
          <w:kern w:val="0"/>
          <w:sz w:val="21"/>
          <w:szCs w:val="21"/>
          <w:highlight w:val="none"/>
          <w:lang w:eastAsia="zh-CN"/>
        </w:rPr>
        <w:t>（三）</w:t>
      </w:r>
      <w:r>
        <w:rPr>
          <w:rFonts w:hint="default" w:ascii="Times New Roman" w:hAnsi="Times New Roman" w:eastAsia="宋体" w:cs="Times New Roman"/>
          <w:kern w:val="0"/>
          <w:sz w:val="21"/>
          <w:szCs w:val="21"/>
          <w:highlight w:val="none"/>
        </w:rPr>
        <w:t>评审方法：综合评分法。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6" w:firstLineChars="202"/>
        <w:textAlignment w:val="auto"/>
        <w:outlineLvl w:val="0"/>
        <w:rPr>
          <w:rFonts w:hint="default" w:ascii="Times New Roman" w:hAnsi="Times New Roman" w:eastAsia="宋体" w:cs="Times New Roman"/>
          <w:b/>
          <w:sz w:val="21"/>
          <w:szCs w:val="21"/>
          <w:highlight w:val="none"/>
          <w:lang w:eastAsia="zh-CN"/>
        </w:rPr>
      </w:pP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</w:rPr>
        <w:t>二、评审</w:t>
      </w: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  <w:lang w:eastAsia="zh-CN"/>
        </w:rPr>
        <w:t>标准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textAlignment w:val="auto"/>
        <w:rPr>
          <w:rFonts w:hint="default" w:ascii="Times New Roman" w:hAnsi="Times New Roman" w:eastAsia="宋体" w:cs="Times New Roman"/>
          <w:kern w:val="0"/>
          <w:sz w:val="21"/>
          <w:szCs w:val="21"/>
          <w:highlight w:val="none"/>
        </w:rPr>
      </w:pPr>
      <w:r>
        <w:rPr>
          <w:rFonts w:hint="default" w:ascii="Times New Roman" w:hAnsi="Times New Roman" w:eastAsia="宋体" w:cs="Times New Roman"/>
          <w:kern w:val="0"/>
          <w:sz w:val="21"/>
          <w:szCs w:val="21"/>
          <w:highlight w:val="none"/>
        </w:rPr>
        <w:t>供应商提交的报价及资格材料经初核符合要求的进入详评，评审小组将按本评分细则和响应文件为评定依据，采用百分制综合评分法：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2" w:firstLineChars="200"/>
        <w:textAlignment w:val="auto"/>
        <w:outlineLvl w:val="1"/>
        <w:rPr>
          <w:rFonts w:hint="default" w:ascii="Times New Roman" w:hAnsi="Times New Roman" w:eastAsia="宋体" w:cs="Times New Roman"/>
          <w:b/>
          <w:sz w:val="21"/>
          <w:szCs w:val="21"/>
          <w:highlight w:val="none"/>
        </w:rPr>
      </w:pP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</w:rPr>
        <w:t>（一）价格分</w:t>
      </w: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  <w:lang w:eastAsia="zh-CN"/>
        </w:rPr>
        <w:t>（</w:t>
      </w: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  <w:lang w:val="en-US" w:eastAsia="zh-CN"/>
        </w:rPr>
        <w:t>满分30</w:t>
      </w: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</w:rPr>
        <w:t>分</w:t>
      </w: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  <w:lang w:eastAsia="zh-CN"/>
        </w:rPr>
        <w:t>）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textAlignment w:val="auto"/>
        <w:rPr>
          <w:rFonts w:hint="default" w:ascii="Times New Roman" w:hAnsi="Times New Roman" w:eastAsia="宋体" w:cs="Times New Roman"/>
          <w:sz w:val="21"/>
          <w:szCs w:val="21"/>
          <w:highlight w:val="none"/>
          <w:lang w:val="en-US" w:eastAsia="zh-CN"/>
        </w:rPr>
      </w:pPr>
      <w:r>
        <w:rPr>
          <w:rFonts w:hint="default" w:ascii="Times New Roman" w:hAnsi="Times New Roman" w:eastAsia="宋体" w:cs="Times New Roman"/>
          <w:spacing w:val="0"/>
          <w:kern w:val="0"/>
          <w:sz w:val="21"/>
          <w:szCs w:val="21"/>
          <w:highlight w:val="none"/>
          <w:lang w:val="en-US" w:eastAsia="zh-CN"/>
        </w:rPr>
        <w:t>以满足本项目要求且报价最低的供应商报价为基准报价，基准报价得分30分。其余供应商价格分计算公式如下：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textAlignment w:val="auto"/>
        <w:outlineLvl w:val="2"/>
        <w:rPr>
          <w:rFonts w:hint="default" w:ascii="Times New Roman" w:hAnsi="Times New Roman" w:eastAsia="宋体" w:cs="Times New Roman"/>
          <w:b/>
          <w:sz w:val="21"/>
          <w:szCs w:val="21"/>
          <w:highlight w:val="none"/>
          <w:lang w:eastAsia="zh-CN"/>
        </w:rPr>
      </w:pPr>
      <w:r>
        <w:rPr>
          <w:rFonts w:hint="default" w:ascii="Times New Roman" w:hAnsi="Times New Roman" w:eastAsia="宋体" w:cs="Times New Roman"/>
          <w:spacing w:val="0"/>
          <w:kern w:val="0"/>
          <w:sz w:val="21"/>
          <w:szCs w:val="21"/>
          <w:highlight w:val="none"/>
        </w:rPr>
        <w:t>某供应商价格分=</w:t>
      </w:r>
      <w:r>
        <w:rPr>
          <w:rFonts w:hint="default" w:ascii="Times New Roman" w:hAnsi="Times New Roman" w:eastAsia="宋体" w:cs="Times New Roman"/>
          <w:spacing w:val="0"/>
          <w:kern w:val="0"/>
          <w:sz w:val="21"/>
          <w:szCs w:val="21"/>
          <w:highlight w:val="none"/>
          <w:lang w:val="en-US" w:eastAsia="zh-CN"/>
        </w:rPr>
        <w:t>基准报价</w:t>
      </w:r>
      <w:r>
        <w:rPr>
          <w:rFonts w:hint="default" w:ascii="Times New Roman" w:hAnsi="Times New Roman" w:eastAsia="宋体" w:cs="Times New Roman"/>
          <w:spacing w:val="0"/>
          <w:kern w:val="0"/>
          <w:sz w:val="21"/>
          <w:szCs w:val="21"/>
          <w:highlight w:val="none"/>
        </w:rPr>
        <w:t>/某供应商报价（金额）</w:t>
      </w:r>
      <w:r>
        <w:rPr>
          <w:rFonts w:hint="default" w:ascii="Arial" w:hAnsi="Arial" w:eastAsia="宋体" w:cs="Arial"/>
          <w:spacing w:val="0"/>
          <w:kern w:val="0"/>
          <w:sz w:val="21"/>
          <w:szCs w:val="21"/>
          <w:highlight w:val="none"/>
        </w:rPr>
        <w:t>×</w:t>
      </w:r>
      <w:r>
        <w:rPr>
          <w:rFonts w:hint="default" w:ascii="Times New Roman" w:hAnsi="Times New Roman" w:eastAsia="宋体" w:cs="Times New Roman"/>
          <w:spacing w:val="-6"/>
          <w:sz w:val="21"/>
          <w:szCs w:val="21"/>
          <w:highlight w:val="none"/>
          <w:lang w:val="en-US" w:eastAsia="zh-CN"/>
        </w:rPr>
        <w:t>30</w:t>
      </w:r>
      <w:r>
        <w:rPr>
          <w:rFonts w:hint="default" w:ascii="Times New Roman" w:hAnsi="Times New Roman" w:eastAsia="宋体" w:cs="Times New Roman"/>
          <w:b w:val="0"/>
          <w:bCs/>
          <w:sz w:val="21"/>
          <w:szCs w:val="21"/>
          <w:highlight w:val="none"/>
          <w:lang w:val="en-US" w:eastAsia="zh-CN"/>
        </w:rPr>
        <w:t>分</w:t>
      </w:r>
      <w:r>
        <w:rPr>
          <w:rFonts w:hint="eastAsia" w:ascii="Times New Roman" w:hAnsi="Times New Roman" w:eastAsia="宋体" w:cs="Times New Roman"/>
          <w:b w:val="0"/>
          <w:bCs/>
          <w:sz w:val="21"/>
          <w:szCs w:val="21"/>
          <w:highlight w:val="none"/>
          <w:lang w:val="en-US" w:eastAsia="zh-CN"/>
        </w:rPr>
        <w:t>（保留小数点后两位）</w:t>
      </w: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  <w:lang w:val="en-US" w:eastAsia="zh-CN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2" w:firstLineChars="200"/>
        <w:textAlignment w:val="auto"/>
        <w:outlineLvl w:val="1"/>
        <w:rPr>
          <w:rFonts w:hint="default" w:ascii="Times New Roman" w:hAnsi="Times New Roman" w:eastAsia="宋体" w:cs="Times New Roman"/>
          <w:b w:val="0"/>
          <w:bCs w:val="0"/>
          <w:kern w:val="0"/>
          <w:sz w:val="21"/>
          <w:szCs w:val="21"/>
          <w:highlight w:val="none"/>
          <w:lang w:eastAsia="zh-CN"/>
        </w:rPr>
      </w:pP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  <w:lang w:eastAsia="zh-CN"/>
        </w:rPr>
        <w:t>（二）技术分 （满分</w:t>
      </w:r>
      <w:r>
        <w:rPr>
          <w:rFonts w:hint="eastAsia" w:eastAsia="宋体" w:cs="Times New Roman"/>
          <w:b/>
          <w:sz w:val="21"/>
          <w:szCs w:val="21"/>
          <w:highlight w:val="none"/>
          <w:lang w:val="en-US" w:eastAsia="zh-CN"/>
        </w:rPr>
        <w:t>60</w:t>
      </w: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  <w:lang w:eastAsia="zh-CN"/>
        </w:rPr>
        <w:t>分）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textAlignment w:val="auto"/>
        <w:outlineLvl w:val="2"/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</w:rPr>
      </w:pPr>
      <w:r>
        <w:rPr>
          <w:rFonts w:hint="default" w:ascii="Times New Roman" w:hAnsi="Times New Roman" w:eastAsia="宋体" w:cs="Times New Roman"/>
          <w:b w:val="0"/>
          <w:bCs w:val="0"/>
          <w:color w:val="auto"/>
          <w:kern w:val="0"/>
          <w:sz w:val="21"/>
          <w:szCs w:val="21"/>
          <w:highlight w:val="none"/>
          <w:lang w:val="en-US" w:eastAsia="zh-CN"/>
        </w:rPr>
        <w:t>1.</w:t>
      </w:r>
      <w:r>
        <w:rPr>
          <w:rFonts w:hint="default" w:ascii="Times New Roman" w:hAnsi="Times New Roman" w:eastAsia="宋体" w:cs="Times New Roman"/>
          <w:b w:val="0"/>
          <w:bCs w:val="0"/>
          <w:color w:val="auto"/>
          <w:kern w:val="0"/>
          <w:sz w:val="21"/>
          <w:szCs w:val="21"/>
          <w:highlight w:val="none"/>
          <w:lang w:eastAsia="zh-CN"/>
        </w:rPr>
        <w:t>项目总体实施方案（满分</w:t>
      </w:r>
      <w:r>
        <w:rPr>
          <w:rFonts w:hint="eastAsia" w:ascii="Times New Roman" w:hAnsi="Times New Roman" w:eastAsia="宋体" w:cs="Times New Roman"/>
          <w:b w:val="0"/>
          <w:bCs w:val="0"/>
          <w:color w:val="auto"/>
          <w:kern w:val="0"/>
          <w:sz w:val="21"/>
          <w:szCs w:val="21"/>
          <w:highlight w:val="none"/>
          <w:lang w:val="en-US" w:eastAsia="zh-CN"/>
        </w:rPr>
        <w:t>36</w:t>
      </w:r>
      <w:r>
        <w:rPr>
          <w:rFonts w:hint="default" w:ascii="Times New Roman" w:hAnsi="Times New Roman" w:eastAsia="宋体" w:cs="Times New Roman"/>
          <w:b w:val="0"/>
          <w:bCs w:val="0"/>
          <w:color w:val="auto"/>
          <w:kern w:val="0"/>
          <w:sz w:val="21"/>
          <w:szCs w:val="21"/>
          <w:highlight w:val="none"/>
          <w:lang w:eastAsia="zh-CN"/>
        </w:rPr>
        <w:t>分）：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textAlignment w:val="auto"/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</w:rPr>
      </w:pP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一档（</w:t>
      </w:r>
      <w:r>
        <w:rPr>
          <w:rFonts w:hint="eastAsia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9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分）：项目实施方案基本满足项目需求一览表的“技术要求”需求内容，</w:t>
      </w:r>
      <w:r>
        <w:rPr>
          <w:rFonts w:hint="default" w:ascii="Times New Roman" w:hAnsi="Times New Roman" w:eastAsia="宋体" w:cs="Times New Roman"/>
          <w:bCs/>
          <w:color w:val="auto"/>
          <w:sz w:val="21"/>
          <w:szCs w:val="21"/>
        </w:rPr>
        <w:t>方案简单</w:t>
      </w:r>
      <w:r>
        <w:rPr>
          <w:rFonts w:hint="default" w:ascii="Times New Roman" w:hAnsi="Times New Roman" w:eastAsia="宋体" w:cs="Times New Roman"/>
          <w:bCs/>
          <w:color w:val="auto"/>
          <w:sz w:val="21"/>
          <w:szCs w:val="21"/>
          <w:lang w:eastAsia="zh-CN"/>
        </w:rPr>
        <w:t>，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人员配置基本满足工作内容和要求</w:t>
      </w:r>
      <w:r>
        <w:rPr>
          <w:rFonts w:hint="default" w:ascii="Times New Roman" w:hAnsi="Times New Roman" w:eastAsia="宋体" w:cs="Times New Roman"/>
          <w:bCs/>
          <w:color w:val="auto"/>
          <w:sz w:val="21"/>
          <w:szCs w:val="21"/>
        </w:rPr>
        <w:t>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textAlignment w:val="auto"/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eastAsia="zh-CN"/>
        </w:rPr>
      </w:pP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二档（</w:t>
      </w:r>
      <w:r>
        <w:rPr>
          <w:rFonts w:hint="eastAsia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18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分）：项目实施方案满足项目需求一览表的“技术要求”需求内容，方案的工作方法基本合理，具有可行性和可操作性，人员配置合理、</w:t>
      </w:r>
      <w:r>
        <w:rPr>
          <w:rFonts w:hint="default" w:ascii="Times New Roman" w:hAnsi="Times New Roman" w:eastAsia="宋体" w:cs="Times New Roman"/>
          <w:sz w:val="21"/>
          <w:szCs w:val="21"/>
        </w:rPr>
        <w:t>有相关工作经验</w:t>
      </w:r>
      <w:r>
        <w:rPr>
          <w:rFonts w:hint="eastAsia" w:ascii="Times New Roman" w:hAnsi="Times New Roman" w:eastAsia="宋体" w:cs="Times New Roman"/>
          <w:sz w:val="21"/>
          <w:szCs w:val="21"/>
          <w:lang w:eastAsia="zh-CN"/>
        </w:rPr>
        <w:t>，</w:t>
      </w:r>
      <w:r>
        <w:rPr>
          <w:rFonts w:hint="eastAsia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有实施流程安排</w:t>
      </w:r>
      <w:r>
        <w:rPr>
          <w:rFonts w:hint="default" w:ascii="Times New Roman" w:hAnsi="Times New Roman" w:eastAsia="宋体" w:cs="Times New Roman"/>
          <w:sz w:val="21"/>
          <w:szCs w:val="21"/>
          <w:lang w:eastAsia="zh-CN"/>
        </w:rPr>
        <w:t>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textAlignment w:val="auto"/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</w:pP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三档（</w:t>
      </w:r>
      <w:r>
        <w:rPr>
          <w:rFonts w:hint="eastAsia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27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分）：项目实施方案完全满足项目需求一览表的“技术要求”全部需求内容，方案的工作方法</w:t>
      </w:r>
      <w:r>
        <w:rPr>
          <w:rFonts w:hint="eastAsia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较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完整、规范、专业，可行性和可操作性</w:t>
      </w:r>
      <w:r>
        <w:rPr>
          <w:rFonts w:hint="eastAsia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较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强，人员配置安排合理、工作经验丰富</w:t>
      </w:r>
      <w:r>
        <w:rPr>
          <w:rFonts w:hint="eastAsia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，实施流程安排合理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 xml:space="preserve">。 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textAlignment w:val="auto"/>
        <w:rPr>
          <w:rFonts w:hint="eastAsia" w:ascii="Times New Roman" w:hAnsi="Times New Roman" w:eastAsia="宋体" w:cs="Times New Roman"/>
          <w:b w:val="0"/>
          <w:color w:val="auto"/>
          <w:kern w:val="0"/>
          <w:sz w:val="21"/>
          <w:szCs w:val="21"/>
          <w:highlight w:val="none"/>
          <w:lang w:val="en-US" w:eastAsia="zh-CN"/>
        </w:rPr>
      </w:pPr>
      <w:r>
        <w:rPr>
          <w:rFonts w:hint="eastAsia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四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档（</w:t>
      </w:r>
      <w:r>
        <w:rPr>
          <w:rFonts w:hint="eastAsia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36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分）：项目实施方案完全满足项目需求一览表的“技术要求”全部需求内容，方案的工作方法完整、规范、专业，可行性和可操作性强</w:t>
      </w:r>
      <w:r>
        <w:rPr>
          <w:rFonts w:hint="eastAsia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。</w:t>
      </w:r>
      <w:r>
        <w:rPr>
          <w:rFonts w:hint="eastAsia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zh-CN" w:eastAsia="zh-CN"/>
        </w:rPr>
        <w:t>工作组织管理及实施计划，质量管理</w:t>
      </w:r>
      <w:r>
        <w:rPr>
          <w:rFonts w:hint="eastAsia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实施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安排</w:t>
      </w:r>
      <w:r>
        <w:rPr>
          <w:rFonts w:hint="eastAsia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规范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合理</w:t>
      </w:r>
      <w:r>
        <w:rPr>
          <w:rFonts w:hint="eastAsia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val="en-US" w:eastAsia="zh-CN"/>
        </w:rPr>
        <w:t>，工作程序和实施步骤衔接有序，与时</w:t>
      </w:r>
      <w:r>
        <w:rPr>
          <w:rFonts w:hint="eastAsia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</w:rPr>
        <w:t>间安排和进度相吻合，管理流程有条有理，组织人员职责明确</w:t>
      </w:r>
      <w:r>
        <w:rPr>
          <w:rFonts w:hint="eastAsia" w:ascii="Times New Roman" w:hAnsi="Times New Roman" w:eastAsia="宋体" w:cs="Times New Roman"/>
          <w:color w:val="auto"/>
          <w:kern w:val="0"/>
          <w:sz w:val="21"/>
          <w:szCs w:val="21"/>
          <w:highlight w:val="none"/>
          <w:u w:val="none"/>
          <w:lang w:eastAsia="zh-CN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textAlignment w:val="auto"/>
        <w:rPr>
          <w:rFonts w:hint="default" w:ascii="Times New Roman" w:hAnsi="Times New Roman" w:eastAsia="宋体" w:cs="Times New Roman"/>
          <w:b w:val="0"/>
          <w:color w:val="auto"/>
          <w:kern w:val="0"/>
          <w:sz w:val="21"/>
          <w:szCs w:val="21"/>
          <w:highlight w:val="none"/>
          <w:lang w:val="en-US" w:eastAsia="zh-CN"/>
        </w:rPr>
      </w:pPr>
      <w:r>
        <w:rPr>
          <w:rFonts w:hint="eastAsia" w:ascii="Times New Roman" w:hAnsi="Times New Roman" w:eastAsia="宋体" w:cs="Times New Roman"/>
          <w:b w:val="0"/>
          <w:color w:val="auto"/>
          <w:kern w:val="0"/>
          <w:sz w:val="21"/>
          <w:szCs w:val="21"/>
          <w:highlight w:val="none"/>
          <w:lang w:val="en-US" w:eastAsia="zh-CN"/>
        </w:rPr>
        <w:t>2.</w:t>
      </w:r>
      <w:r>
        <w:rPr>
          <w:rFonts w:hint="default" w:ascii="Times New Roman" w:hAnsi="Times New Roman" w:eastAsia="宋体" w:cs="Times New Roman"/>
          <w:b w:val="0"/>
          <w:color w:val="auto"/>
          <w:kern w:val="0"/>
          <w:sz w:val="21"/>
          <w:szCs w:val="21"/>
          <w:highlight w:val="none"/>
          <w:lang w:val="en-US" w:eastAsia="zh-CN"/>
        </w:rPr>
        <w:t>服务承诺方案（满分</w:t>
      </w:r>
      <w:r>
        <w:rPr>
          <w:rFonts w:hint="eastAsia" w:eastAsia="宋体" w:cs="Times New Roman"/>
          <w:b w:val="0"/>
          <w:color w:val="auto"/>
          <w:kern w:val="0"/>
          <w:sz w:val="21"/>
          <w:szCs w:val="21"/>
          <w:highlight w:val="none"/>
          <w:lang w:val="en-US" w:eastAsia="zh-CN"/>
        </w:rPr>
        <w:t>24</w:t>
      </w:r>
      <w:r>
        <w:rPr>
          <w:rFonts w:hint="default" w:ascii="Times New Roman" w:hAnsi="Times New Roman" w:eastAsia="宋体" w:cs="Times New Roman"/>
          <w:b w:val="0"/>
          <w:color w:val="auto"/>
          <w:kern w:val="0"/>
          <w:sz w:val="21"/>
          <w:szCs w:val="21"/>
          <w:highlight w:val="none"/>
          <w:lang w:val="en-US" w:eastAsia="zh-CN"/>
        </w:rPr>
        <w:t>分）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textAlignment w:val="auto"/>
        <w:outlineLvl w:val="9"/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lang w:eastAsia="zh-CN"/>
        </w:rPr>
      </w:pP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一档（</w:t>
      </w:r>
      <w:r>
        <w:rPr>
          <w:rFonts w:hint="eastAsia" w:eastAsia="宋体" w:cs="Times New Roman"/>
          <w:color w:val="auto"/>
          <w:kern w:val="0"/>
          <w:sz w:val="21"/>
          <w:szCs w:val="21"/>
          <w:lang w:val="en-US" w:eastAsia="zh-CN"/>
        </w:rPr>
        <w:t>6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分）：服务承诺简单，承诺超过</w:t>
      </w:r>
      <w:r>
        <w:rPr>
          <w:rFonts w:hint="eastAsia" w:eastAsia="宋体" w:cs="Times New Roman"/>
          <w:color w:val="auto"/>
          <w:kern w:val="0"/>
          <w:sz w:val="21"/>
          <w:szCs w:val="21"/>
          <w:lang w:val="en-US" w:eastAsia="zh-CN"/>
        </w:rPr>
        <w:t>24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小时到达现场的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lang w:eastAsia="zh-CN"/>
        </w:rPr>
        <w:t>，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售后服务方案简单</w:t>
      </w:r>
      <w:r>
        <w:rPr>
          <w:rFonts w:hint="eastAsia" w:eastAsia="宋体" w:cs="Times New Roman"/>
          <w:color w:val="auto"/>
          <w:kern w:val="0"/>
          <w:sz w:val="21"/>
          <w:szCs w:val="21"/>
          <w:lang w:eastAsia="zh-CN"/>
        </w:rPr>
        <w:t>。接到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设备校准</w:t>
      </w:r>
      <w:r>
        <w:rPr>
          <w:rFonts w:hint="eastAsia" w:eastAsia="宋体" w:cs="Times New Roman"/>
          <w:color w:val="auto"/>
          <w:kern w:val="0"/>
          <w:sz w:val="21"/>
          <w:szCs w:val="21"/>
          <w:lang w:eastAsia="zh-CN"/>
        </w:rPr>
        <w:t>要求，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完成时间承诺在</w:t>
      </w:r>
      <w:r>
        <w:rPr>
          <w:rFonts w:hint="eastAsia" w:eastAsia="宋体" w:cs="Times New Roman"/>
          <w:color w:val="auto"/>
          <w:kern w:val="0"/>
          <w:sz w:val="21"/>
          <w:szCs w:val="21"/>
          <w:lang w:val="en-US" w:eastAsia="zh-CN"/>
        </w:rPr>
        <w:t>10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日内完成。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textAlignment w:val="auto"/>
        <w:outlineLvl w:val="9"/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lang w:eastAsia="zh-CN"/>
        </w:rPr>
      </w:pP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二档（</w:t>
      </w:r>
      <w:r>
        <w:rPr>
          <w:rFonts w:hint="eastAsia" w:eastAsia="宋体" w:cs="Times New Roman"/>
          <w:color w:val="auto"/>
          <w:kern w:val="0"/>
          <w:sz w:val="21"/>
          <w:szCs w:val="21"/>
          <w:lang w:val="en-US" w:eastAsia="zh-CN"/>
        </w:rPr>
        <w:t>12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分）：服务承诺基本完整，有一定针对性，有一定的保障措施，承诺接到采购人通知后</w:t>
      </w:r>
      <w:r>
        <w:rPr>
          <w:rFonts w:hint="eastAsia" w:eastAsia="宋体" w:cs="Times New Roman"/>
          <w:color w:val="auto"/>
          <w:kern w:val="0"/>
          <w:sz w:val="21"/>
          <w:szCs w:val="21"/>
          <w:lang w:val="en-US" w:eastAsia="zh-CN"/>
        </w:rPr>
        <w:t>8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个小时内到达现场的。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lang w:eastAsia="zh-CN"/>
        </w:rPr>
        <w:t>具备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售后服务流程、应急预案、质量保障等内容</w:t>
      </w:r>
      <w:r>
        <w:rPr>
          <w:rFonts w:hint="eastAsia" w:eastAsia="宋体" w:cs="Times New Roman"/>
          <w:color w:val="auto"/>
          <w:kern w:val="0"/>
          <w:sz w:val="21"/>
          <w:szCs w:val="21"/>
          <w:lang w:eastAsia="zh-CN"/>
        </w:rPr>
        <w:t>。接到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设备校准</w:t>
      </w:r>
      <w:r>
        <w:rPr>
          <w:rFonts w:hint="eastAsia" w:eastAsia="宋体" w:cs="Times New Roman"/>
          <w:color w:val="auto"/>
          <w:kern w:val="0"/>
          <w:sz w:val="21"/>
          <w:szCs w:val="21"/>
          <w:lang w:eastAsia="zh-CN"/>
        </w:rPr>
        <w:t>要求，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完成时间承诺在</w:t>
      </w:r>
      <w:r>
        <w:rPr>
          <w:rFonts w:hint="eastAsia" w:eastAsia="宋体" w:cs="Times New Roman"/>
          <w:color w:val="auto"/>
          <w:kern w:val="0"/>
          <w:sz w:val="21"/>
          <w:szCs w:val="21"/>
          <w:lang w:val="en-US" w:eastAsia="zh-CN"/>
        </w:rPr>
        <w:t>5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日内完成。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textAlignment w:val="auto"/>
        <w:outlineLvl w:val="9"/>
        <w:rPr>
          <w:rFonts w:hint="eastAsia" w:ascii="Times New Roman" w:hAnsi="Times New Roman" w:eastAsia="宋体" w:cs="Times New Roman"/>
          <w:color w:val="auto"/>
          <w:kern w:val="0"/>
          <w:sz w:val="21"/>
          <w:szCs w:val="21"/>
          <w:lang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textAlignment w:val="auto"/>
        <w:outlineLvl w:val="9"/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</w:pP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三档（</w:t>
      </w:r>
      <w:r>
        <w:rPr>
          <w:rFonts w:hint="eastAsia" w:eastAsia="宋体" w:cs="Times New Roman"/>
          <w:color w:val="auto"/>
          <w:kern w:val="0"/>
          <w:sz w:val="21"/>
          <w:szCs w:val="21"/>
          <w:lang w:val="en-US" w:eastAsia="zh-CN"/>
        </w:rPr>
        <w:t>24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分）：提供服务承诺科学、合理、规范，组织机构、工作程序和步骤、管理和协调方法、关键步骤的思路和要点等方案完整、要点突出，具备很强的可操作性。承诺接到采购人通知后</w:t>
      </w:r>
      <w:r>
        <w:rPr>
          <w:rFonts w:hint="eastAsia" w:eastAsia="宋体" w:cs="Times New Roman"/>
          <w:color w:val="auto"/>
          <w:kern w:val="0"/>
          <w:sz w:val="21"/>
          <w:szCs w:val="21"/>
          <w:lang w:val="en-US" w:eastAsia="zh-CN"/>
        </w:rPr>
        <w:t>3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个小时内到达现场的。</w:t>
      </w:r>
      <w:r>
        <w:rPr>
          <w:rFonts w:hint="eastAsia" w:eastAsia="宋体" w:cs="Times New Roman"/>
          <w:color w:val="auto"/>
          <w:kern w:val="0"/>
          <w:sz w:val="21"/>
          <w:szCs w:val="21"/>
          <w:lang w:eastAsia="zh-CN"/>
        </w:rPr>
        <w:t>接到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设备校准</w:t>
      </w:r>
      <w:r>
        <w:rPr>
          <w:rFonts w:hint="eastAsia" w:eastAsia="宋体" w:cs="Times New Roman"/>
          <w:color w:val="auto"/>
          <w:kern w:val="0"/>
          <w:sz w:val="21"/>
          <w:szCs w:val="21"/>
          <w:lang w:eastAsia="zh-CN"/>
        </w:rPr>
        <w:t>要求，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完成时间承诺在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lang w:val="en-US"/>
        </w:rPr>
        <w:t>2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</w:rPr>
        <w:t>日内完成。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2" w:firstLineChars="200"/>
        <w:textAlignment w:val="auto"/>
        <w:outlineLvl w:val="1"/>
        <w:rPr>
          <w:rFonts w:hint="default" w:ascii="Times New Roman" w:hAnsi="Times New Roman" w:eastAsia="宋体" w:cs="Times New Roman"/>
          <w:sz w:val="21"/>
          <w:szCs w:val="21"/>
          <w:highlight w:val="none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  <w:lang w:eastAsia="zh-CN"/>
        </w:rPr>
        <w:t>（三）业绩分</w:t>
      </w: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</w:rPr>
        <w:t xml:space="preserve"> </w:t>
      </w: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  <w:lang w:eastAsia="zh-CN"/>
        </w:rPr>
        <w:t>（</w:t>
      </w: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  <w:lang w:val="en-US" w:eastAsia="zh-CN"/>
        </w:rPr>
        <w:t>满分</w:t>
      </w:r>
      <w:r>
        <w:rPr>
          <w:rFonts w:hint="eastAsia" w:ascii="Times New Roman" w:hAnsi="Times New Roman" w:eastAsia="宋体" w:cs="Times New Roman"/>
          <w:b/>
          <w:sz w:val="21"/>
          <w:szCs w:val="21"/>
          <w:highlight w:val="none"/>
          <w:lang w:val="en-US" w:eastAsia="zh-CN"/>
        </w:rPr>
        <w:t>1</w:t>
      </w:r>
      <w:r>
        <w:rPr>
          <w:rFonts w:hint="eastAsia" w:cs="Times New Roman"/>
          <w:b/>
          <w:sz w:val="21"/>
          <w:szCs w:val="21"/>
          <w:highlight w:val="none"/>
          <w:lang w:val="en-US" w:eastAsia="zh-CN"/>
        </w:rPr>
        <w:t>0</w:t>
      </w: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</w:rPr>
        <w:t>分</w:t>
      </w: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  <w:lang w:eastAsia="zh-CN"/>
        </w:rPr>
        <w:t>）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textAlignment w:val="auto"/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lang w:val="en-US" w:eastAsia="zh-CN"/>
        </w:rPr>
      </w:pP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lang w:val="en-US" w:eastAsia="zh-CN"/>
        </w:rPr>
        <w:t>供应商业绩（满分</w:t>
      </w:r>
      <w:r>
        <w:rPr>
          <w:rFonts w:hint="eastAsia" w:ascii="Times New Roman" w:hAnsi="Times New Roman" w:eastAsia="宋体" w:cs="Times New Roman"/>
          <w:color w:val="auto"/>
          <w:kern w:val="0"/>
          <w:sz w:val="21"/>
          <w:szCs w:val="21"/>
          <w:highlight w:val="none"/>
          <w:lang w:val="en-US" w:eastAsia="zh-CN"/>
        </w:rPr>
        <w:t>1</w:t>
      </w:r>
      <w:r>
        <w:rPr>
          <w:rFonts w:hint="eastAsia" w:cs="Times New Roman"/>
          <w:color w:val="auto"/>
          <w:kern w:val="0"/>
          <w:sz w:val="21"/>
          <w:szCs w:val="21"/>
          <w:highlight w:val="none"/>
          <w:lang w:val="en-US" w:eastAsia="zh-CN"/>
        </w:rPr>
        <w:t>0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lang w:val="en-US" w:eastAsia="zh-CN"/>
        </w:rPr>
        <w:t>分）：按供应商完成的近五年来（2019年至今）</w:t>
      </w:r>
      <w:r>
        <w:rPr>
          <w:rFonts w:hint="eastAsia" w:eastAsia="宋体" w:cs="Times New Roman"/>
          <w:color w:val="auto"/>
          <w:kern w:val="0"/>
          <w:sz w:val="21"/>
          <w:szCs w:val="21"/>
          <w:highlight w:val="none"/>
          <w:lang w:val="en-US" w:eastAsia="zh-CN"/>
        </w:rPr>
        <w:t>仪器设备校准服务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lang w:val="en-US" w:eastAsia="zh-CN"/>
        </w:rPr>
        <w:t>同类业绩，每个项目加</w:t>
      </w:r>
      <w:r>
        <w:rPr>
          <w:rFonts w:hint="eastAsia" w:cs="Times New Roman"/>
          <w:color w:val="auto"/>
          <w:kern w:val="0"/>
          <w:sz w:val="21"/>
          <w:szCs w:val="21"/>
          <w:highlight w:val="none"/>
          <w:lang w:val="en-US" w:eastAsia="zh-CN"/>
        </w:rPr>
        <w:t>2.5</w:t>
      </w:r>
      <w:r>
        <w:rPr>
          <w:rFonts w:hint="default" w:ascii="Times New Roman" w:hAnsi="Times New Roman" w:eastAsia="宋体" w:cs="Times New Roman"/>
          <w:color w:val="auto"/>
          <w:kern w:val="0"/>
          <w:sz w:val="21"/>
          <w:szCs w:val="21"/>
          <w:highlight w:val="none"/>
          <w:lang w:val="en-US" w:eastAsia="zh-CN"/>
        </w:rPr>
        <w:t>分。如不提供上述合同或中标通知书佐证材料的，此项不计分。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384"/>
        <w:textAlignment w:val="auto"/>
        <w:outlineLvl w:val="2"/>
        <w:rPr>
          <w:rFonts w:hint="eastAsia" w:ascii="Times New Roman" w:hAnsi="Times New Roman" w:eastAsia="宋体" w:cs="Times New Roman"/>
          <w:b/>
          <w:bCs/>
          <w:spacing w:val="-6"/>
          <w:sz w:val="21"/>
          <w:szCs w:val="21"/>
          <w:highlight w:val="none"/>
          <w:lang w:val="en-US" w:eastAsia="zh-CN"/>
        </w:rPr>
      </w:pPr>
      <w:r>
        <w:rPr>
          <w:rFonts w:hint="default" w:ascii="Times New Roman" w:hAnsi="Times New Roman" w:eastAsia="宋体" w:cs="Times New Roman"/>
          <w:b/>
          <w:bCs/>
          <w:spacing w:val="-6"/>
          <w:sz w:val="21"/>
          <w:szCs w:val="21"/>
          <w:highlight w:val="none"/>
        </w:rPr>
        <w:t>总分值=（一）+（二）+（三）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6" w:firstLineChars="202"/>
        <w:textAlignment w:val="auto"/>
        <w:outlineLvl w:val="0"/>
        <w:rPr>
          <w:rFonts w:hint="default" w:ascii="Times New Roman" w:hAnsi="Times New Roman" w:eastAsia="宋体" w:cs="Times New Roman"/>
          <w:b/>
          <w:sz w:val="21"/>
          <w:szCs w:val="21"/>
          <w:highlight w:val="none"/>
        </w:rPr>
      </w:pPr>
      <w:r>
        <w:rPr>
          <w:rFonts w:hint="default" w:ascii="Times New Roman" w:hAnsi="Times New Roman" w:eastAsia="宋体" w:cs="Times New Roman"/>
          <w:b/>
          <w:sz w:val="21"/>
          <w:szCs w:val="21"/>
          <w:highlight w:val="none"/>
        </w:rPr>
        <w:t>三、评审结果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auto"/>
        <w:ind w:firstLine="420" w:firstLineChars="200"/>
        <w:textAlignment w:val="auto"/>
        <w:rPr>
          <w:rFonts w:hint="default" w:ascii="Times New Roman" w:hAnsi="Times New Roman" w:eastAsia="宋体" w:cs="Times New Roman"/>
          <w:sz w:val="21"/>
          <w:szCs w:val="21"/>
        </w:rPr>
      </w:pPr>
      <w:r>
        <w:rPr>
          <w:rFonts w:hint="default" w:ascii="Times New Roman" w:hAnsi="Times New Roman" w:eastAsia="宋体" w:cs="Times New Roman"/>
          <w:kern w:val="0"/>
          <w:sz w:val="21"/>
          <w:szCs w:val="21"/>
          <w:highlight w:val="none"/>
        </w:rPr>
        <w:t>根据供应商提交的材料进行综合评分，按照得分由高到低顺序得出成交供应商名单，评审得分最高者为成交供应商。评审得分相同的，按报价由低到高排序，评审得分相同且报价也相同的，按技术指标优劣排序。排序第一的供应商为成交供应商。如成交供应商因不可抗力提出不能履行合同，顺位选择第二排名的供应商，以此类推。</w:t>
      </w:r>
    </w:p>
    <w:p/>
    <w:sectPr>
      <w:pgSz w:w="11906" w:h="16838"/>
      <w:pgMar w:top="1417" w:right="1417" w:bottom="1417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 Light">
    <w:altName w:val="宋体"/>
    <w:panose1 w:val="02010600030001010101"/>
    <w:charset w:val="86"/>
    <w:family w:val="auto"/>
    <w:pitch w:val="default"/>
    <w:sig w:usb0="00000000" w:usb1="00000000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5D72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qFormat="1" w:unhideWhenUsed="0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4"/>
    <w:basedOn w:val="1"/>
    <w:next w:val="1"/>
    <w:qFormat/>
    <w:uiPriority w:val="0"/>
    <w:pPr>
      <w:keepNext/>
      <w:keepLines/>
      <w:spacing w:before="120" w:after="120" w:line="360" w:lineRule="auto"/>
      <w:ind w:left="2900" w:hanging="2900"/>
      <w:outlineLvl w:val="3"/>
    </w:pPr>
    <w:rPr>
      <w:rFonts w:ascii="Arial" w:hAnsi="Arial" w:eastAsia="黑体" w:cs="Times New Roman"/>
      <w:color w:val="000000"/>
      <w:sz w:val="28"/>
    </w:rPr>
  </w:style>
  <w:style w:type="character" w:default="1" w:styleId="9">
    <w:name w:val="Default Paragraph Font"/>
    <w:uiPriority w:val="0"/>
  </w:style>
  <w:style w:type="table" w:default="1" w:styleId="10">
    <w:name w:val="Normal Table"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表格文字"/>
    <w:basedOn w:val="1"/>
    <w:qFormat/>
    <w:uiPriority w:val="0"/>
    <w:pPr>
      <w:spacing w:before="25" w:after="25"/>
      <w:jc w:val="left"/>
    </w:pPr>
    <w:rPr>
      <w:bCs/>
      <w:spacing w:val="10"/>
      <w:kern w:val="0"/>
      <w:sz w:val="24"/>
      <w:szCs w:val="20"/>
    </w:rPr>
  </w:style>
  <w:style w:type="paragraph" w:styleId="4">
    <w:name w:val="Body Text First Indent"/>
    <w:basedOn w:val="5"/>
    <w:qFormat/>
    <w:uiPriority w:val="0"/>
    <w:pPr>
      <w:spacing w:line="240" w:lineRule="auto"/>
      <w:ind w:firstLine="420" w:firstLineChars="100"/>
    </w:pPr>
    <w:rPr>
      <w:sz w:val="21"/>
    </w:rPr>
  </w:style>
  <w:style w:type="paragraph" w:styleId="5">
    <w:name w:val="Body Text"/>
    <w:basedOn w:val="1"/>
    <w:next w:val="6"/>
    <w:qFormat/>
    <w:uiPriority w:val="0"/>
    <w:pPr>
      <w:spacing w:after="120"/>
    </w:pPr>
  </w:style>
  <w:style w:type="paragraph" w:styleId="6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等线 Light" w:hAnsi="等线 Light"/>
      <w:b/>
      <w:bCs/>
      <w:sz w:val="32"/>
      <w:szCs w:val="32"/>
    </w:rPr>
  </w:style>
  <w:style w:type="paragraph" w:styleId="7">
    <w:name w:val="Plain Text"/>
    <w:basedOn w:val="1"/>
    <w:next w:val="3"/>
    <w:qFormat/>
    <w:uiPriority w:val="0"/>
    <w:rPr>
      <w:rFonts w:ascii="宋体" w:hAnsi="Courier New"/>
      <w:kern w:val="0"/>
      <w:sz w:val="20"/>
      <w:szCs w:val="21"/>
    </w:rPr>
  </w:style>
  <w:style w:type="paragraph" w:styleId="8">
    <w:name w:val="toc 2"/>
    <w:basedOn w:val="1"/>
    <w:next w:val="1"/>
    <w:qFormat/>
    <w:uiPriority w:val="39"/>
    <w:pPr>
      <w:tabs>
        <w:tab w:val="right" w:leader="dot" w:pos="8296"/>
      </w:tabs>
      <w:ind w:left="420" w:leftChars="200"/>
    </w:pPr>
  </w:style>
  <w:style w:type="paragraph" w:customStyle="1" w:styleId="11">
    <w:name w:val="列出段落1"/>
    <w:qFormat/>
    <w:uiPriority w:val="0"/>
    <w:pPr>
      <w:widowControl w:val="0"/>
      <w:ind w:firstLine="420" w:firstLine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1176</Words>
  <Characters>1199</Characters>
  <Paragraphs>29</Paragraphs>
  <TotalTime>21</TotalTime>
  <ScaleCrop>false</ScaleCrop>
  <LinksUpToDate>false</LinksUpToDate>
  <CharactersWithSpaces>1202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2025-03-05T08:02:00Z</dcterms:created>
  <dc:creator>Administrator</dc:creator>
  <cp:lastModifiedBy>饶桂宾</cp:lastModifiedBy>
  <dcterms:modified xsi:type="dcterms:W3CDTF">2025-03-07T08:08:11Z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  <property fmtid="{D5CDD505-2E9C-101B-9397-08002B2CF9AE}" pid="3" name="KSOTemplateDocerSaveRecord">
    <vt:lpwstr>eyJoZGlkIjoiMGMxMDM4MjliOTc3YjYwMjJmNDgzYzUwZDk1NjBmM2EiLCJ1c2VySWQiOiIzMDIzMjM4OTIifQ==</vt:lpwstr>
  </property>
  <property fmtid="{D5CDD505-2E9C-101B-9397-08002B2CF9AE}" pid="4" name="ICV">
    <vt:lpwstr>BF8ABABFE79A4B12B76785E51F2C89C0_12</vt:lpwstr>
  </property>
</Properties>
</file>