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B76AB5">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color w:val="000000"/>
          <w:sz w:val="32"/>
          <w:szCs w:val="32"/>
          <w:highlight w:val="none"/>
          <w:lang w:val="en-US" w:eastAsia="zh-CN"/>
        </w:rPr>
      </w:pPr>
      <w:r>
        <w:rPr>
          <w:rFonts w:hint="eastAsia" w:ascii="仿宋_GB2312" w:hAnsi="仿宋_GB2312" w:eastAsia="仿宋_GB2312" w:cs="仿宋_GB2312"/>
          <w:color w:val="000000"/>
          <w:sz w:val="32"/>
          <w:szCs w:val="32"/>
          <w:highlight w:val="none"/>
          <w:lang w:val="en-US" w:eastAsia="zh-CN"/>
        </w:rPr>
        <w:t>附件2</w:t>
      </w:r>
    </w:p>
    <w:p w14:paraId="22AF3CD2">
      <w:pPr>
        <w:autoSpaceDE w:val="0"/>
        <w:spacing w:line="600" w:lineRule="exact"/>
        <w:jc w:val="center"/>
        <w:rPr>
          <w:rFonts w:hint="eastAsia" w:ascii="方正小标宋简体" w:hAnsi="Times New Roman" w:eastAsia="方正小标宋简体" w:cs="方正小标宋_GBK"/>
          <w:color w:val="000000"/>
          <w:sz w:val="44"/>
          <w:szCs w:val="44"/>
        </w:rPr>
      </w:pPr>
      <w:r>
        <w:rPr>
          <w:rFonts w:hint="eastAsia" w:ascii="方正小标宋简体" w:hAnsi="Times New Roman" w:eastAsia="方正小标宋简体" w:cs="方正小标宋_GBK"/>
          <w:color w:val="000000"/>
          <w:sz w:val="44"/>
          <w:szCs w:val="44"/>
        </w:rPr>
        <w:t>比选评审标准</w:t>
      </w:r>
    </w:p>
    <w:tbl>
      <w:tblPr>
        <w:tblStyle w:val="6"/>
        <w:tblW w:w="93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2"/>
        <w:gridCol w:w="6832"/>
      </w:tblGrid>
      <w:tr w14:paraId="455FA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blHeader/>
          <w:jc w:val="center"/>
        </w:trPr>
        <w:tc>
          <w:tcPr>
            <w:tcW w:w="2542" w:type="dxa"/>
            <w:noWrap w:val="0"/>
            <w:vAlign w:val="center"/>
          </w:tcPr>
          <w:p w14:paraId="0588AFDC">
            <w:pPr>
              <w:overflowPunct w:val="0"/>
              <w:spacing w:line="360" w:lineRule="exact"/>
              <w:jc w:val="center"/>
              <w:rPr>
                <w:rFonts w:ascii="Times New Roman" w:hAnsi="Times New Roman" w:eastAsia="黑体" w:cs="宋体"/>
                <w:sz w:val="24"/>
              </w:rPr>
            </w:pPr>
            <w:r>
              <w:rPr>
                <w:rFonts w:hint="eastAsia" w:ascii="Times New Roman" w:hAnsi="Times New Roman" w:eastAsia="黑体" w:cs="宋体"/>
                <w:sz w:val="24"/>
              </w:rPr>
              <w:t>评分项及满分</w:t>
            </w:r>
          </w:p>
        </w:tc>
        <w:tc>
          <w:tcPr>
            <w:tcW w:w="6832" w:type="dxa"/>
            <w:noWrap w:val="0"/>
            <w:vAlign w:val="center"/>
          </w:tcPr>
          <w:p w14:paraId="1D0DE115">
            <w:pPr>
              <w:overflowPunct w:val="0"/>
              <w:spacing w:line="360" w:lineRule="exact"/>
              <w:jc w:val="center"/>
              <w:rPr>
                <w:rFonts w:ascii="Times New Roman" w:hAnsi="Times New Roman" w:eastAsia="黑体" w:cs="宋体"/>
                <w:sz w:val="24"/>
              </w:rPr>
            </w:pPr>
            <w:r>
              <w:rPr>
                <w:rFonts w:hint="eastAsia" w:ascii="Times New Roman" w:hAnsi="Times New Roman" w:eastAsia="黑体" w:cs="宋体"/>
                <w:sz w:val="24"/>
              </w:rPr>
              <w:t>评分标准</w:t>
            </w:r>
          </w:p>
        </w:tc>
      </w:tr>
      <w:tr w14:paraId="76A5A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2542" w:type="dxa"/>
            <w:noWrap w:val="0"/>
            <w:vAlign w:val="center"/>
          </w:tcPr>
          <w:p w14:paraId="28A9191B">
            <w:pPr>
              <w:overflowPunct w:val="0"/>
              <w:spacing w:line="320" w:lineRule="exact"/>
              <w:jc w:val="center"/>
              <w:rPr>
                <w:rFonts w:ascii="Times New Roman" w:hAnsi="Times New Roman" w:eastAsia="仿宋" w:cs="宋体"/>
                <w:b/>
                <w:sz w:val="24"/>
              </w:rPr>
            </w:pPr>
            <w:r>
              <w:rPr>
                <w:rFonts w:hint="eastAsia" w:ascii="Times New Roman" w:hAnsi="Times New Roman" w:eastAsia="仿宋" w:cs="宋体"/>
                <w:sz w:val="24"/>
              </w:rPr>
              <w:t>一、价格分（</w:t>
            </w:r>
            <w:r>
              <w:rPr>
                <w:rFonts w:hint="eastAsia" w:ascii="Times New Roman" w:hAnsi="Times New Roman" w:eastAsia="仿宋" w:cs="宋体"/>
                <w:sz w:val="24"/>
                <w:lang w:val="en-US" w:eastAsia="zh-CN"/>
              </w:rPr>
              <w:t>20</w:t>
            </w:r>
            <w:r>
              <w:rPr>
                <w:rFonts w:hint="eastAsia" w:ascii="Times New Roman" w:hAnsi="Times New Roman" w:eastAsia="仿宋" w:cs="宋体"/>
                <w:sz w:val="24"/>
              </w:rPr>
              <w:t>分）</w:t>
            </w:r>
          </w:p>
        </w:tc>
        <w:tc>
          <w:tcPr>
            <w:tcW w:w="6832" w:type="dxa"/>
            <w:noWrap w:val="0"/>
            <w:vAlign w:val="center"/>
          </w:tcPr>
          <w:p w14:paraId="6D05562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default" w:ascii="仿宋" w:hAnsi="仿宋" w:eastAsia="仿宋" w:cs="仿宋"/>
                <w:b w:val="0"/>
                <w:bCs/>
                <w:sz w:val="24"/>
                <w:lang w:val="en-US" w:eastAsia="zh-CN"/>
              </w:rPr>
            </w:pPr>
            <w:r>
              <w:rPr>
                <w:rFonts w:hint="eastAsia" w:ascii="仿宋" w:hAnsi="仿宋" w:eastAsia="仿宋" w:cs="仿宋"/>
                <w:b w:val="0"/>
                <w:bCs/>
                <w:sz w:val="24"/>
              </w:rPr>
              <w:t>投标报价得分=（全部供应商中的最低报价/某供应商投标报价）×</w:t>
            </w:r>
            <w:r>
              <w:rPr>
                <w:rFonts w:hint="eastAsia" w:ascii="仿宋" w:hAnsi="仿宋" w:eastAsia="仿宋" w:cs="仿宋"/>
                <w:b w:val="0"/>
                <w:bCs/>
                <w:sz w:val="24"/>
                <w:lang w:val="en-US" w:eastAsia="zh-CN"/>
              </w:rPr>
              <w:t>20</w:t>
            </w:r>
          </w:p>
          <w:p w14:paraId="01F472F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1.评审价为供应商的最后报价进行政策性扣除后的价格，评审价只是作为评审时使用。最终成交供应商的成交金额等于最后报价。</w:t>
            </w:r>
          </w:p>
          <w:p w14:paraId="03D219A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2.政府采购政策性扣除计算方法</w:t>
            </w:r>
          </w:p>
          <w:p w14:paraId="0F03AAE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根据《政府采购促进中小企业发展管理办法》（财库〔2020〕46号）及《广西壮族自治区财政厅关于持续优化政府采购营商环境推动高质量发展的通知》（桂财采〔2024〕55号）的规定，供应商人属于《政府采购促进中小企业发展管理办法》规定的小微企业的，在其响应文件中提供《中小企业声明函》，且服务全部由小微企业承接，对供应商的竞争性磋商报价给予10%的扣除，扣除后的价格为评审价，即评审价=竞争性磋商报价×（1-10%）。接受大中型企业与小微企业组成联合体或者允许大中型企业向一家或者多家小微企业分包的采购项目，联合协议或者分包意向协议约定小微企业的合同份额占到合同总金额30%以上的，采购人、采购代理机构应当对联合体或者大中型企业的报价给予6%的扣除，用扣除后的价格参加评审，扣除后的价格为评审价，即评审价=竞争性磋商报价×（1-6%）。除上述情况外，评审价=竞争性磋商报价。</w:t>
            </w:r>
          </w:p>
          <w:p w14:paraId="608E8E0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监狱企业属于小型、微型企业的，不重复享受政策。</w:t>
            </w:r>
          </w:p>
          <w:p w14:paraId="3246777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14:paraId="6297B1F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hint="eastAsia" w:ascii="Times New Roman" w:hAnsi="Times New Roman" w:eastAsia="仿宋" w:cs="宋体"/>
                <w:b w:val="0"/>
                <w:bCs/>
                <w:sz w:val="24"/>
              </w:rPr>
            </w:pPr>
            <w:r>
              <w:rPr>
                <w:rFonts w:hint="eastAsia" w:ascii="Times New Roman" w:hAnsi="Times New Roman" w:eastAsia="仿宋" w:cs="宋体"/>
                <w:b w:val="0"/>
                <w:bCs/>
                <w:sz w:val="24"/>
              </w:rPr>
              <w:t>5.报价分采用低价优先法计算，满足磋商文件要求且评审价最低的有效供应商的评审价为基准价，其价格分为满分。</w:t>
            </w:r>
          </w:p>
          <w:p w14:paraId="7C21B93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60" w:lineRule="exact"/>
              <w:ind w:right="0" w:firstLine="0" w:firstLineChars="0"/>
              <w:jc w:val="both"/>
              <w:textAlignment w:val="auto"/>
              <w:rPr>
                <w:rFonts w:ascii="Times New Roman" w:hAnsi="Times New Roman" w:eastAsia="仿宋" w:cs="宋体"/>
                <w:b w:val="0"/>
                <w:bCs/>
                <w:sz w:val="24"/>
              </w:rPr>
            </w:pPr>
          </w:p>
        </w:tc>
      </w:tr>
      <w:tr w14:paraId="455A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2542" w:type="dxa"/>
            <w:noWrap w:val="0"/>
            <w:vAlign w:val="center"/>
          </w:tcPr>
          <w:p w14:paraId="474D1455">
            <w:pPr>
              <w:overflowPunct w:val="0"/>
              <w:spacing w:line="320" w:lineRule="exact"/>
              <w:jc w:val="center"/>
              <w:rPr>
                <w:rFonts w:hint="eastAsia" w:ascii="Times New Roman" w:hAnsi="Times New Roman" w:eastAsia="仿宋" w:cs="宋体"/>
                <w:sz w:val="24"/>
              </w:rPr>
            </w:pPr>
            <w:r>
              <w:rPr>
                <w:rFonts w:hint="eastAsia" w:ascii="Times New Roman" w:hAnsi="Times New Roman" w:eastAsia="仿宋" w:cs="宋体"/>
                <w:sz w:val="24"/>
              </w:rPr>
              <w:t>二、服务方案分</w:t>
            </w:r>
          </w:p>
          <w:p w14:paraId="4DC8AA55">
            <w:pPr>
              <w:overflowPunct w:val="0"/>
              <w:spacing w:line="320" w:lineRule="exact"/>
              <w:jc w:val="center"/>
              <w:rPr>
                <w:rFonts w:ascii="Times New Roman" w:hAnsi="Times New Roman" w:eastAsia="仿宋" w:cs="宋体"/>
                <w:sz w:val="24"/>
              </w:rPr>
            </w:pPr>
            <w:r>
              <w:rPr>
                <w:rFonts w:hint="eastAsia" w:ascii="Times New Roman" w:hAnsi="Times New Roman" w:eastAsia="仿宋" w:cs="宋体"/>
                <w:sz w:val="24"/>
              </w:rPr>
              <w:t>（</w:t>
            </w:r>
            <w:r>
              <w:rPr>
                <w:rFonts w:hint="eastAsia" w:ascii="Times New Roman" w:hAnsi="Times New Roman" w:eastAsia="仿宋" w:cs="宋体"/>
                <w:sz w:val="24"/>
                <w:lang w:val="en-US" w:eastAsia="zh-CN"/>
              </w:rPr>
              <w:t>40</w:t>
            </w:r>
            <w:r>
              <w:rPr>
                <w:rFonts w:hint="eastAsia" w:ascii="Times New Roman" w:hAnsi="Times New Roman" w:eastAsia="仿宋" w:cs="宋体"/>
                <w:sz w:val="24"/>
              </w:rPr>
              <w:t>分）</w:t>
            </w:r>
          </w:p>
        </w:tc>
        <w:tc>
          <w:tcPr>
            <w:tcW w:w="6832" w:type="dxa"/>
            <w:noWrap w:val="0"/>
            <w:vAlign w:val="center"/>
          </w:tcPr>
          <w:p w14:paraId="73DACACB">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lang w:val="zh-CN" w:eastAsia="zh-CN"/>
              </w:rPr>
            </w:pPr>
            <w:r>
              <w:rPr>
                <w:rFonts w:hint="eastAsia" w:ascii="Times New Roman" w:hAnsi="Times New Roman" w:eastAsia="仿宋" w:cs="宋体"/>
                <w:bCs/>
                <w:sz w:val="24"/>
              </w:rPr>
              <w:t>（一）项目</w:t>
            </w:r>
            <w:r>
              <w:rPr>
                <w:rFonts w:hint="eastAsia" w:ascii="Times New Roman" w:hAnsi="Times New Roman" w:eastAsia="仿宋" w:cs="宋体"/>
                <w:bCs/>
                <w:sz w:val="24"/>
                <w:lang w:val="en-US" w:eastAsia="zh-CN"/>
              </w:rPr>
              <w:t>方案</w:t>
            </w:r>
            <w:r>
              <w:rPr>
                <w:rFonts w:hint="eastAsia" w:ascii="Times New Roman" w:hAnsi="Times New Roman" w:eastAsia="仿宋" w:cs="宋体"/>
                <w:bCs/>
                <w:sz w:val="24"/>
              </w:rPr>
              <w:t>分（满分</w:t>
            </w:r>
            <w:r>
              <w:rPr>
                <w:rFonts w:hint="eastAsia" w:ascii="Times New Roman" w:hAnsi="Times New Roman" w:eastAsia="仿宋" w:cs="宋体"/>
                <w:bCs/>
                <w:sz w:val="24"/>
                <w:lang w:val="en-US" w:eastAsia="zh-CN"/>
              </w:rPr>
              <w:t>20</w:t>
            </w:r>
            <w:r>
              <w:rPr>
                <w:rFonts w:hint="eastAsia" w:ascii="Times New Roman" w:hAnsi="Times New Roman" w:eastAsia="仿宋" w:cs="宋体"/>
                <w:bCs/>
                <w:sz w:val="24"/>
              </w:rPr>
              <w:t>分）</w:t>
            </w:r>
          </w:p>
          <w:p w14:paraId="018983F9">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一档（</w:t>
            </w:r>
            <w:r>
              <w:rPr>
                <w:rFonts w:hint="eastAsia" w:ascii="Times New Roman" w:hAnsi="Times New Roman" w:eastAsia="仿宋" w:cs="宋体"/>
                <w:bCs/>
                <w:sz w:val="24"/>
                <w:lang w:val="en-US" w:eastAsia="zh-CN"/>
              </w:rPr>
              <w:t>20</w:t>
            </w:r>
            <w:r>
              <w:rPr>
                <w:rFonts w:hint="default" w:ascii="Times New Roman" w:hAnsi="Times New Roman" w:eastAsia="仿宋" w:cs="宋体"/>
                <w:bCs/>
                <w:sz w:val="24"/>
                <w:lang w:val="zh-CN" w:eastAsia="zh-CN"/>
              </w:rPr>
              <w:t>分）：</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计划详细、清晰、切合本项目服务实际需求、可实施性强；有详细、完整的工作计划，工作目标、工作流程、服务项目计划安排等内容清晰、合理、规范和科学，得</w:t>
            </w:r>
            <w:r>
              <w:rPr>
                <w:rFonts w:hint="eastAsia" w:ascii="Times New Roman" w:hAnsi="Times New Roman" w:eastAsia="仿宋" w:cs="宋体"/>
                <w:bCs/>
                <w:sz w:val="24"/>
                <w:lang w:val="en-US" w:eastAsia="zh-CN"/>
              </w:rPr>
              <w:t>20</w:t>
            </w:r>
            <w:r>
              <w:rPr>
                <w:rFonts w:hint="default" w:ascii="Times New Roman" w:hAnsi="Times New Roman" w:eastAsia="仿宋" w:cs="宋体"/>
                <w:bCs/>
                <w:sz w:val="24"/>
                <w:lang w:val="zh-CN" w:eastAsia="zh-CN"/>
              </w:rPr>
              <w:t>分；</w:t>
            </w:r>
          </w:p>
          <w:p w14:paraId="219C0093">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二档（</w:t>
            </w:r>
            <w:r>
              <w:rPr>
                <w:rFonts w:hint="eastAsia" w:ascii="Times New Roman" w:hAnsi="Times New Roman" w:eastAsia="仿宋" w:cs="宋体"/>
                <w:bCs/>
                <w:sz w:val="24"/>
                <w:lang w:val="en-US" w:eastAsia="zh-CN"/>
              </w:rPr>
              <w:t>15</w:t>
            </w:r>
            <w:r>
              <w:rPr>
                <w:rFonts w:hint="default" w:ascii="Times New Roman" w:hAnsi="Times New Roman" w:eastAsia="仿宋" w:cs="宋体"/>
                <w:bCs/>
                <w:sz w:val="24"/>
                <w:lang w:val="zh-CN" w:eastAsia="zh-CN"/>
              </w:rPr>
              <w:t>分）：</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计划基本清晰，可实施性较强；工作目标、工作流程、服务项目等内容具体描述、比较规范，方案具有可行性，能满足采购文件要求，得</w:t>
            </w:r>
            <w:r>
              <w:rPr>
                <w:rFonts w:hint="eastAsia" w:ascii="Times New Roman" w:hAnsi="Times New Roman" w:eastAsia="仿宋" w:cs="宋体"/>
                <w:bCs/>
                <w:sz w:val="24"/>
                <w:lang w:val="en-US" w:eastAsia="zh-CN"/>
              </w:rPr>
              <w:t>15</w:t>
            </w:r>
            <w:r>
              <w:rPr>
                <w:rFonts w:hint="default" w:ascii="Times New Roman" w:hAnsi="Times New Roman" w:eastAsia="仿宋" w:cs="宋体"/>
                <w:bCs/>
                <w:sz w:val="24"/>
                <w:lang w:val="zh-CN" w:eastAsia="zh-CN"/>
              </w:rPr>
              <w:t>分；</w:t>
            </w:r>
          </w:p>
          <w:p w14:paraId="63891C9A">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zh-CN" w:eastAsia="zh-CN"/>
              </w:rPr>
              <w:t>三档（</w:t>
            </w:r>
            <w:r>
              <w:rPr>
                <w:rFonts w:hint="eastAsia" w:ascii="Times New Roman" w:hAnsi="Times New Roman" w:eastAsia="仿宋" w:cs="宋体"/>
                <w:bCs/>
                <w:sz w:val="24"/>
                <w:lang w:val="en-US" w:eastAsia="zh-CN"/>
              </w:rPr>
              <w:t>10</w:t>
            </w:r>
            <w:r>
              <w:rPr>
                <w:rFonts w:hint="default" w:ascii="Times New Roman" w:hAnsi="Times New Roman" w:eastAsia="仿宋" w:cs="宋体"/>
                <w:bCs/>
                <w:sz w:val="24"/>
                <w:lang w:val="zh-CN" w:eastAsia="zh-CN"/>
              </w:rPr>
              <w:t>分）：有简单的</w:t>
            </w:r>
            <w:r>
              <w:rPr>
                <w:rFonts w:hint="eastAsia" w:ascii="Times New Roman" w:hAnsi="Times New Roman" w:eastAsia="仿宋" w:cs="宋体"/>
                <w:bCs/>
                <w:sz w:val="24"/>
                <w:lang w:val="en-US" w:eastAsia="zh-CN"/>
              </w:rPr>
              <w:t>项目服务</w:t>
            </w:r>
            <w:r>
              <w:rPr>
                <w:rFonts w:hint="default" w:ascii="Times New Roman" w:hAnsi="Times New Roman" w:eastAsia="仿宋" w:cs="宋体"/>
                <w:bCs/>
                <w:sz w:val="24"/>
                <w:lang w:val="zh-CN" w:eastAsia="zh-CN"/>
              </w:rPr>
              <w:t>计划；工作目标、工作流程、服务项目等内容简单描述，方案基本满足采购文件要求，得</w:t>
            </w:r>
            <w:r>
              <w:rPr>
                <w:rFonts w:hint="eastAsia" w:ascii="Times New Roman" w:hAnsi="Times New Roman" w:eastAsia="仿宋" w:cs="宋体"/>
                <w:bCs/>
                <w:sz w:val="24"/>
                <w:lang w:val="en-US" w:eastAsia="zh-CN"/>
              </w:rPr>
              <w:t>10</w:t>
            </w:r>
            <w:r>
              <w:rPr>
                <w:rFonts w:hint="default" w:ascii="Times New Roman" w:hAnsi="Times New Roman" w:eastAsia="仿宋" w:cs="宋体"/>
                <w:bCs/>
                <w:sz w:val="24"/>
                <w:lang w:val="zh-CN" w:eastAsia="zh-CN"/>
              </w:rPr>
              <w:t xml:space="preserve"> 分；</w:t>
            </w:r>
          </w:p>
          <w:p w14:paraId="4D8C4475">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default" w:ascii="Times New Roman" w:hAnsi="Times New Roman" w:eastAsia="仿宋" w:cs="宋体"/>
                <w:bCs/>
                <w:sz w:val="24"/>
                <w:lang w:val="zh-CN" w:eastAsia="zh-CN"/>
              </w:rPr>
              <w:t>四档（5分）：方案不符合本项目运维内容，运维方案不够具体，没有可行性，或没有这方面论述，得5分。</w:t>
            </w:r>
          </w:p>
          <w:p w14:paraId="31942639">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rPr>
              <w:t>（二）</w:t>
            </w:r>
            <w:r>
              <w:rPr>
                <w:rFonts w:hint="eastAsia" w:ascii="Times New Roman" w:hAnsi="Times New Roman" w:eastAsia="仿宋" w:cs="宋体"/>
                <w:bCs/>
                <w:sz w:val="24"/>
                <w:lang w:val="en-US" w:eastAsia="zh-CN"/>
              </w:rPr>
              <w:t>运维管理制度</w:t>
            </w:r>
            <w:r>
              <w:rPr>
                <w:rFonts w:hint="eastAsia" w:ascii="Times New Roman" w:hAnsi="Times New Roman" w:eastAsia="仿宋" w:cs="宋体"/>
                <w:bCs/>
                <w:sz w:val="24"/>
                <w:lang w:val="zh-CN"/>
              </w:rPr>
              <w:t>（满分</w:t>
            </w:r>
            <w:r>
              <w:rPr>
                <w:rFonts w:hint="eastAsia" w:ascii="Times New Roman" w:hAnsi="Times New Roman" w:eastAsia="仿宋" w:cs="宋体"/>
                <w:bCs/>
                <w:sz w:val="24"/>
                <w:lang w:val="en-US" w:eastAsia="zh-CN"/>
              </w:rPr>
              <w:t>12</w:t>
            </w:r>
            <w:r>
              <w:rPr>
                <w:rFonts w:hint="eastAsia" w:ascii="Times New Roman" w:hAnsi="Times New Roman" w:eastAsia="仿宋" w:cs="宋体"/>
                <w:bCs/>
                <w:sz w:val="24"/>
                <w:lang w:val="zh-CN"/>
              </w:rPr>
              <w:t>分）</w:t>
            </w:r>
          </w:p>
          <w:p w14:paraId="53D4B4CC">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en-US" w:eastAsia="zh-CN"/>
              </w:rPr>
            </w:pPr>
            <w:r>
              <w:rPr>
                <w:rFonts w:hint="default" w:ascii="Times New Roman" w:hAnsi="Times New Roman" w:eastAsia="仿宋" w:cs="宋体"/>
                <w:bCs/>
                <w:sz w:val="24"/>
                <w:lang w:val="en-US" w:eastAsia="zh-CN"/>
              </w:rPr>
              <w:t>一</w:t>
            </w:r>
            <w:r>
              <w:rPr>
                <w:rFonts w:hint="default" w:ascii="Times New Roman" w:hAnsi="Times New Roman" w:eastAsia="仿宋" w:cs="宋体"/>
                <w:bCs/>
                <w:sz w:val="24"/>
                <w:lang w:val="zh-CN"/>
              </w:rPr>
              <w:t>档（</w:t>
            </w:r>
            <w:r>
              <w:rPr>
                <w:rFonts w:hint="eastAsia" w:ascii="Times New Roman" w:hAnsi="Times New Roman" w:eastAsia="仿宋" w:cs="宋体"/>
                <w:bCs/>
                <w:sz w:val="24"/>
                <w:lang w:val="en-US" w:eastAsia="zh-CN"/>
              </w:rPr>
              <w:t>12</w:t>
            </w:r>
            <w:r>
              <w:rPr>
                <w:rFonts w:hint="default" w:ascii="Times New Roman" w:hAnsi="Times New Roman" w:eastAsia="仿宋" w:cs="宋体"/>
                <w:bCs/>
                <w:sz w:val="24"/>
                <w:lang w:val="zh-CN"/>
              </w:rPr>
              <w:t>分）：管理制度完善具体、可行性强，综合评定优秀。</w:t>
            </w:r>
          </w:p>
          <w:p w14:paraId="4B39D7D4">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en-US" w:eastAsia="zh-CN"/>
              </w:rPr>
            </w:pPr>
            <w:r>
              <w:rPr>
                <w:rFonts w:hint="default" w:ascii="Times New Roman" w:hAnsi="Times New Roman" w:eastAsia="仿宋" w:cs="宋体"/>
                <w:bCs/>
                <w:sz w:val="24"/>
                <w:lang w:val="en-US" w:eastAsia="zh-CN"/>
              </w:rPr>
              <w:t>二</w:t>
            </w:r>
            <w:r>
              <w:rPr>
                <w:rFonts w:hint="default" w:ascii="Times New Roman" w:hAnsi="Times New Roman" w:eastAsia="仿宋" w:cs="宋体"/>
                <w:bCs/>
                <w:sz w:val="24"/>
                <w:lang w:val="zh-CN"/>
              </w:rPr>
              <w:t>档（</w:t>
            </w:r>
            <w:r>
              <w:rPr>
                <w:rFonts w:hint="eastAsia" w:ascii="Times New Roman" w:hAnsi="Times New Roman" w:eastAsia="仿宋" w:cs="宋体"/>
                <w:bCs/>
                <w:sz w:val="24"/>
                <w:lang w:val="en-US" w:eastAsia="zh-CN"/>
              </w:rPr>
              <w:t>8</w:t>
            </w:r>
            <w:r>
              <w:rPr>
                <w:rFonts w:hint="default" w:ascii="Times New Roman" w:hAnsi="Times New Roman" w:eastAsia="仿宋" w:cs="宋体"/>
                <w:bCs/>
                <w:sz w:val="24"/>
                <w:lang w:val="zh-CN"/>
              </w:rPr>
              <w:t>分）：管理制度基本完善、可行性较强，综合评定良好</w:t>
            </w:r>
            <w:r>
              <w:rPr>
                <w:rFonts w:hint="default" w:ascii="Times New Roman" w:hAnsi="Times New Roman" w:eastAsia="仿宋" w:cs="宋体"/>
                <w:bCs/>
                <w:sz w:val="24"/>
                <w:lang w:val="zh-CN" w:eastAsia="zh-CN"/>
              </w:rPr>
              <w:t>。</w:t>
            </w:r>
          </w:p>
          <w:p w14:paraId="098CA8A6">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rPr>
            </w:pPr>
            <w:r>
              <w:rPr>
                <w:rFonts w:hint="default" w:ascii="Times New Roman" w:hAnsi="Times New Roman" w:eastAsia="仿宋" w:cs="宋体"/>
                <w:bCs/>
                <w:sz w:val="24"/>
                <w:lang w:val="en-US" w:eastAsia="zh-CN"/>
              </w:rPr>
              <w:t>三</w:t>
            </w:r>
            <w:r>
              <w:rPr>
                <w:rFonts w:hint="default" w:ascii="Times New Roman" w:hAnsi="Times New Roman" w:eastAsia="仿宋" w:cs="宋体"/>
                <w:bCs/>
                <w:sz w:val="24"/>
                <w:lang w:val="zh-CN"/>
              </w:rPr>
              <w:t>档（</w:t>
            </w:r>
            <w:r>
              <w:rPr>
                <w:rFonts w:hint="eastAsia" w:ascii="Times New Roman" w:hAnsi="Times New Roman" w:eastAsia="仿宋" w:cs="宋体"/>
                <w:bCs/>
                <w:sz w:val="24"/>
                <w:lang w:val="en-US" w:eastAsia="zh-CN"/>
              </w:rPr>
              <w:t>4</w:t>
            </w:r>
            <w:r>
              <w:rPr>
                <w:rFonts w:hint="default" w:ascii="Times New Roman" w:hAnsi="Times New Roman" w:eastAsia="仿宋" w:cs="宋体"/>
                <w:bCs/>
                <w:sz w:val="24"/>
                <w:lang w:val="zh-CN"/>
              </w:rPr>
              <w:t>分）：管理制度不够完善、可行性一般，综合评定一般</w:t>
            </w:r>
            <w:r>
              <w:rPr>
                <w:rFonts w:hint="default" w:ascii="Times New Roman" w:hAnsi="Times New Roman" w:eastAsia="仿宋" w:cs="宋体"/>
                <w:bCs/>
                <w:sz w:val="24"/>
                <w:lang w:val="zh-CN" w:eastAsia="zh-CN"/>
              </w:rPr>
              <w:t>。</w:t>
            </w:r>
            <w:r>
              <w:rPr>
                <w:rFonts w:hint="default" w:ascii="Times New Roman" w:hAnsi="Times New Roman" w:eastAsia="仿宋" w:cs="宋体"/>
                <w:bCs/>
                <w:sz w:val="24"/>
                <w:lang w:val="zh-CN"/>
              </w:rPr>
              <w:t xml:space="preserve"> </w:t>
            </w:r>
          </w:p>
          <w:p w14:paraId="5744B249">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default" w:ascii="Times New Roman" w:hAnsi="Times New Roman" w:eastAsia="仿宋" w:cs="宋体"/>
                <w:bCs/>
                <w:sz w:val="24"/>
                <w:lang w:val="en-US" w:eastAsia="zh-CN"/>
              </w:rPr>
              <w:t>四</w:t>
            </w:r>
            <w:r>
              <w:rPr>
                <w:rFonts w:hint="default" w:ascii="Times New Roman" w:hAnsi="Times New Roman" w:eastAsia="仿宋" w:cs="宋体"/>
                <w:bCs/>
                <w:sz w:val="24"/>
                <w:lang w:val="zh-CN"/>
              </w:rPr>
              <w:t>档（</w:t>
            </w:r>
            <w:r>
              <w:rPr>
                <w:rFonts w:hint="default" w:ascii="Times New Roman" w:hAnsi="Times New Roman" w:eastAsia="仿宋" w:cs="宋体"/>
                <w:bCs/>
                <w:sz w:val="24"/>
                <w:lang w:val="en-US" w:eastAsia="zh-CN"/>
              </w:rPr>
              <w:t>2</w:t>
            </w:r>
            <w:r>
              <w:rPr>
                <w:rFonts w:hint="default" w:ascii="Times New Roman" w:hAnsi="Times New Roman" w:eastAsia="仿宋" w:cs="宋体"/>
                <w:bCs/>
                <w:sz w:val="24"/>
                <w:lang w:val="zh-CN"/>
              </w:rPr>
              <w:t>分）：管理制度不够具体、没有可行性，或没有相关论述分</w:t>
            </w:r>
            <w:r>
              <w:rPr>
                <w:rFonts w:hint="default" w:ascii="Times New Roman" w:hAnsi="Times New Roman" w:eastAsia="仿宋" w:cs="宋体"/>
                <w:bCs/>
                <w:sz w:val="24"/>
                <w:lang w:val="zh-CN" w:eastAsia="zh-CN"/>
              </w:rPr>
              <w:t>。</w:t>
            </w:r>
          </w:p>
          <w:p w14:paraId="6253A461">
            <w:pPr>
              <w:keepNext w:val="0"/>
              <w:keepLines w:val="0"/>
              <w:pageBreakBefore w:val="0"/>
              <w:widowControl w:val="0"/>
              <w:numPr>
                <w:ilvl w:val="0"/>
                <w:numId w:val="2"/>
              </w:numPr>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en-US" w:eastAsia="zh-CN"/>
              </w:rPr>
            </w:pPr>
            <w:r>
              <w:rPr>
                <w:rFonts w:hint="eastAsia" w:ascii="Times New Roman" w:hAnsi="Times New Roman" w:eastAsia="仿宋" w:cs="宋体"/>
                <w:bCs/>
                <w:sz w:val="24"/>
                <w:lang w:val="en-US" w:eastAsia="zh-CN"/>
              </w:rPr>
              <w:t>应急处理方案（满分8分）</w:t>
            </w:r>
          </w:p>
          <w:p w14:paraId="4F197DAD">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r>
              <w:rPr>
                <w:rFonts w:hint="default" w:ascii="Times New Roman" w:hAnsi="Times New Roman" w:eastAsia="仿宋" w:cs="宋体"/>
                <w:bCs/>
                <w:sz w:val="24"/>
                <w:lang w:val="en-US" w:eastAsia="zh-CN"/>
              </w:rPr>
              <w:t>一档（</w:t>
            </w:r>
            <w:r>
              <w:rPr>
                <w:rFonts w:hint="eastAsia" w:ascii="Times New Roman" w:hAnsi="Times New Roman" w:eastAsia="仿宋" w:cs="宋体"/>
                <w:bCs/>
                <w:sz w:val="24"/>
                <w:lang w:val="en-US" w:eastAsia="zh-CN"/>
              </w:rPr>
              <w:t>8</w:t>
            </w:r>
            <w:r>
              <w:rPr>
                <w:rFonts w:hint="default" w:ascii="Times New Roman" w:hAnsi="Times New Roman" w:eastAsia="仿宋" w:cs="宋体"/>
                <w:bCs/>
                <w:sz w:val="24"/>
                <w:lang w:val="en-US" w:eastAsia="zh-CN"/>
              </w:rPr>
              <w:t>分）：：应急处理方案中有完整、详细的安全、消防、自然灾害、设备故障处置等应急措施，有详细处理流程、步骤、方法及保障措施，且预案具有可行性、合理性、针对性的；</w:t>
            </w:r>
          </w:p>
          <w:p w14:paraId="06378EA8">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r>
              <w:rPr>
                <w:rFonts w:hint="eastAsia" w:ascii="Times New Roman" w:hAnsi="Times New Roman" w:eastAsia="仿宋" w:cs="宋体"/>
                <w:bCs/>
                <w:sz w:val="24"/>
                <w:lang w:val="en-US" w:eastAsia="zh-CN"/>
              </w:rPr>
              <w:t>二</w:t>
            </w:r>
            <w:r>
              <w:rPr>
                <w:rFonts w:hint="default" w:ascii="Times New Roman" w:hAnsi="Times New Roman" w:eastAsia="仿宋" w:cs="宋体"/>
                <w:bCs/>
                <w:sz w:val="24"/>
                <w:lang w:val="en-US" w:eastAsia="zh-CN"/>
              </w:rPr>
              <w:t>档（</w:t>
            </w:r>
            <w:r>
              <w:rPr>
                <w:rFonts w:hint="eastAsia" w:ascii="Times New Roman" w:hAnsi="Times New Roman" w:eastAsia="仿宋" w:cs="宋体"/>
                <w:bCs/>
                <w:sz w:val="24"/>
                <w:lang w:val="en-US" w:eastAsia="zh-CN"/>
              </w:rPr>
              <w:t>6</w:t>
            </w:r>
            <w:r>
              <w:rPr>
                <w:rFonts w:hint="default" w:ascii="Times New Roman" w:hAnsi="Times New Roman" w:eastAsia="仿宋" w:cs="宋体"/>
                <w:bCs/>
                <w:sz w:val="24"/>
                <w:lang w:val="en-US" w:eastAsia="zh-CN"/>
              </w:rPr>
              <w:t>分）：应急处理方案中有完整的安全、消防、设备故障处置等应急措施的，且预案基本可行；</w:t>
            </w:r>
          </w:p>
          <w:p w14:paraId="5D59C8B9">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r>
              <w:rPr>
                <w:rFonts w:hint="eastAsia" w:ascii="Times New Roman" w:hAnsi="Times New Roman" w:eastAsia="仿宋" w:cs="宋体"/>
                <w:bCs/>
                <w:sz w:val="24"/>
                <w:lang w:val="en-US" w:eastAsia="zh-CN"/>
              </w:rPr>
              <w:t>三</w:t>
            </w:r>
            <w:r>
              <w:rPr>
                <w:rFonts w:hint="default" w:ascii="Times New Roman" w:hAnsi="Times New Roman" w:eastAsia="仿宋" w:cs="宋体"/>
                <w:bCs/>
                <w:sz w:val="24"/>
                <w:lang w:val="en-US" w:eastAsia="zh-CN"/>
              </w:rPr>
              <w:t>档（</w:t>
            </w:r>
            <w:r>
              <w:rPr>
                <w:rFonts w:hint="eastAsia" w:ascii="Times New Roman" w:hAnsi="Times New Roman" w:eastAsia="仿宋" w:cs="宋体"/>
                <w:bCs/>
                <w:sz w:val="24"/>
                <w:lang w:val="en-US" w:eastAsia="zh-CN"/>
              </w:rPr>
              <w:t>4</w:t>
            </w:r>
            <w:r>
              <w:rPr>
                <w:rFonts w:hint="default" w:ascii="Times New Roman" w:hAnsi="Times New Roman" w:eastAsia="仿宋" w:cs="宋体"/>
                <w:bCs/>
                <w:sz w:val="24"/>
                <w:lang w:val="en-US" w:eastAsia="zh-CN"/>
              </w:rPr>
              <w:t>分）：应急处理方案中有简单的安全、消防、设备故障处置等应急措施的；</w:t>
            </w:r>
          </w:p>
          <w:p w14:paraId="5FDDEF80">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r>
              <w:rPr>
                <w:rFonts w:hint="default" w:ascii="Times New Roman" w:hAnsi="Times New Roman" w:eastAsia="仿宋" w:cs="宋体"/>
                <w:bCs/>
                <w:sz w:val="24"/>
                <w:lang w:val="en-US" w:eastAsia="zh-CN"/>
              </w:rPr>
              <w:t>四档（</w:t>
            </w:r>
            <w:r>
              <w:rPr>
                <w:rFonts w:hint="eastAsia" w:ascii="Times New Roman" w:hAnsi="Times New Roman" w:eastAsia="仿宋" w:cs="宋体"/>
                <w:bCs/>
                <w:sz w:val="24"/>
                <w:lang w:val="en-US" w:eastAsia="zh-CN"/>
              </w:rPr>
              <w:t>2</w:t>
            </w:r>
            <w:r>
              <w:rPr>
                <w:rFonts w:hint="default" w:ascii="Times New Roman" w:hAnsi="Times New Roman" w:eastAsia="仿宋" w:cs="宋体"/>
                <w:bCs/>
                <w:sz w:val="24"/>
                <w:lang w:val="en-US" w:eastAsia="zh-CN"/>
              </w:rPr>
              <w:t>分）应急处理方案简单、没有可行性，不满足采购文件要求或没有这方面论述。</w:t>
            </w:r>
          </w:p>
          <w:p w14:paraId="497F8E31">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p>
          <w:p w14:paraId="69571709">
            <w:pPr>
              <w:keepNext w:val="0"/>
              <w:keepLines w:val="0"/>
              <w:pageBreakBefore w:val="0"/>
              <w:widowControl w:val="0"/>
              <w:numPr>
                <w:ilvl w:val="0"/>
                <w:numId w:val="0"/>
              </w:numPr>
              <w:kinsoku/>
              <w:wordWrap/>
              <w:overflowPunct w:val="0"/>
              <w:topLinePunct w:val="0"/>
              <w:autoSpaceDE/>
              <w:autoSpaceDN/>
              <w:bidi w:val="0"/>
              <w:adjustRightInd/>
              <w:snapToGrid/>
              <w:spacing w:line="400" w:lineRule="exact"/>
              <w:jc w:val="both"/>
              <w:textAlignment w:val="auto"/>
              <w:rPr>
                <w:rFonts w:hint="default" w:ascii="Times New Roman" w:hAnsi="Times New Roman" w:eastAsia="仿宋" w:cs="宋体"/>
                <w:bCs/>
                <w:sz w:val="24"/>
                <w:lang w:val="en-US" w:eastAsia="zh-CN"/>
              </w:rPr>
            </w:pPr>
          </w:p>
          <w:p w14:paraId="654150BA">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p>
          <w:p w14:paraId="1EFAC3AE">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p>
        </w:tc>
      </w:tr>
      <w:tr w14:paraId="34041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7" w:hRule="atLeast"/>
          <w:jc w:val="center"/>
        </w:trPr>
        <w:tc>
          <w:tcPr>
            <w:tcW w:w="2542" w:type="dxa"/>
            <w:noWrap w:val="0"/>
            <w:vAlign w:val="center"/>
          </w:tcPr>
          <w:p w14:paraId="4D8920B6">
            <w:pPr>
              <w:overflowPunct w:val="0"/>
              <w:spacing w:line="360" w:lineRule="exact"/>
              <w:jc w:val="center"/>
              <w:rPr>
                <w:rFonts w:hint="eastAsia" w:ascii="Times New Roman" w:hAnsi="Times New Roman" w:eastAsia="仿宋" w:cs="宋体"/>
                <w:sz w:val="24"/>
              </w:rPr>
            </w:pPr>
            <w:r>
              <w:rPr>
                <w:rFonts w:hint="eastAsia" w:ascii="Times New Roman" w:hAnsi="Times New Roman" w:eastAsia="仿宋" w:cs="宋体"/>
                <w:sz w:val="24"/>
              </w:rPr>
              <w:t>三、项目团队分</w:t>
            </w:r>
          </w:p>
          <w:p w14:paraId="4D7C0A96">
            <w:pPr>
              <w:overflowPunct w:val="0"/>
              <w:spacing w:line="360" w:lineRule="exact"/>
              <w:jc w:val="center"/>
              <w:rPr>
                <w:rFonts w:ascii="Times New Roman" w:hAnsi="Times New Roman" w:eastAsia="仿宋" w:cs="宋体"/>
                <w:sz w:val="24"/>
              </w:rPr>
            </w:pPr>
            <w:r>
              <w:rPr>
                <w:rFonts w:hint="eastAsia" w:ascii="Times New Roman" w:hAnsi="Times New Roman" w:eastAsia="仿宋" w:cs="宋体"/>
                <w:sz w:val="24"/>
              </w:rPr>
              <w:t>（</w:t>
            </w:r>
            <w:r>
              <w:rPr>
                <w:rFonts w:hint="eastAsia" w:ascii="Times New Roman" w:hAnsi="Times New Roman" w:eastAsia="仿宋" w:cs="宋体"/>
                <w:sz w:val="24"/>
                <w:lang w:val="en-US" w:eastAsia="zh-CN"/>
              </w:rPr>
              <w:t>20</w:t>
            </w:r>
            <w:r>
              <w:rPr>
                <w:rFonts w:hint="eastAsia" w:ascii="Times New Roman" w:hAnsi="Times New Roman" w:eastAsia="仿宋" w:cs="宋体"/>
                <w:sz w:val="24"/>
              </w:rPr>
              <w:t>分）</w:t>
            </w:r>
          </w:p>
        </w:tc>
        <w:tc>
          <w:tcPr>
            <w:tcW w:w="6832" w:type="dxa"/>
            <w:noWrap w:val="0"/>
            <w:vAlign w:val="center"/>
          </w:tcPr>
          <w:p w14:paraId="4823FF29">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eastAsia="zh-CN"/>
              </w:rPr>
              <w:t>（</w:t>
            </w:r>
            <w:r>
              <w:rPr>
                <w:rFonts w:hint="eastAsia" w:ascii="Times New Roman" w:hAnsi="Times New Roman" w:eastAsia="仿宋" w:cs="宋体"/>
                <w:bCs/>
                <w:sz w:val="24"/>
                <w:lang w:val="en-US" w:eastAsia="zh-CN"/>
              </w:rPr>
              <w:t>一</w:t>
            </w:r>
            <w:r>
              <w:rPr>
                <w:rFonts w:hint="eastAsia" w:ascii="Times New Roman" w:hAnsi="Times New Roman" w:eastAsia="仿宋" w:cs="宋体"/>
                <w:bCs/>
                <w:sz w:val="24"/>
                <w:lang w:val="zh-CN" w:eastAsia="zh-CN"/>
              </w:rPr>
              <w:t>）</w:t>
            </w:r>
            <w:r>
              <w:rPr>
                <w:rFonts w:hint="eastAsia" w:ascii="Times New Roman" w:hAnsi="Times New Roman" w:eastAsia="仿宋" w:cs="宋体"/>
                <w:bCs/>
                <w:sz w:val="24"/>
                <w:lang w:val="zh-CN"/>
              </w:rPr>
              <w:t>项目</w:t>
            </w:r>
            <w:r>
              <w:rPr>
                <w:rFonts w:hint="eastAsia" w:ascii="Times New Roman" w:hAnsi="Times New Roman" w:eastAsia="仿宋" w:cs="宋体"/>
                <w:bCs/>
                <w:sz w:val="24"/>
                <w:lang w:val="en-US" w:eastAsia="zh-CN"/>
              </w:rPr>
              <w:t>人员配置</w:t>
            </w:r>
            <w:r>
              <w:rPr>
                <w:rFonts w:hint="eastAsia" w:ascii="Times New Roman" w:hAnsi="Times New Roman" w:eastAsia="仿宋" w:cs="宋体"/>
                <w:bCs/>
                <w:sz w:val="24"/>
                <w:lang w:val="zh-CN"/>
              </w:rPr>
              <w:t>分（满分</w:t>
            </w:r>
            <w:r>
              <w:rPr>
                <w:rFonts w:hint="eastAsia" w:ascii="Times New Roman" w:hAnsi="Times New Roman" w:eastAsia="仿宋" w:cs="宋体"/>
                <w:bCs/>
                <w:sz w:val="24"/>
                <w:lang w:val="en-US" w:eastAsia="zh-CN"/>
              </w:rPr>
              <w:t>10</w:t>
            </w:r>
            <w:r>
              <w:rPr>
                <w:rFonts w:hint="eastAsia" w:ascii="Times New Roman" w:hAnsi="Times New Roman" w:eastAsia="仿宋" w:cs="宋体"/>
                <w:bCs/>
                <w:sz w:val="24"/>
                <w:lang w:val="zh-CN"/>
              </w:rPr>
              <w:t>分）</w:t>
            </w:r>
          </w:p>
          <w:p w14:paraId="576764AD">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en-US" w:eastAsia="zh-CN"/>
              </w:rPr>
            </w:pPr>
            <w:r>
              <w:rPr>
                <w:rFonts w:hint="eastAsia" w:ascii="Times New Roman" w:hAnsi="Times New Roman" w:eastAsia="仿宋" w:cs="宋体"/>
                <w:bCs/>
                <w:sz w:val="24"/>
                <w:lang w:val="en-US" w:eastAsia="zh-CN"/>
              </w:rPr>
              <w:t>1、拟驻点技术人员具有本科及以上学历并具备有效的水质自动监测领域合格证的，得4分，满分4分。</w:t>
            </w:r>
          </w:p>
          <w:p w14:paraId="060BF8F2">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en-US" w:eastAsia="zh-CN"/>
              </w:rPr>
            </w:pPr>
            <w:r>
              <w:rPr>
                <w:rFonts w:hint="eastAsia" w:ascii="Times New Roman" w:hAnsi="Times New Roman" w:eastAsia="仿宋" w:cs="宋体"/>
                <w:bCs/>
                <w:sz w:val="24"/>
                <w:lang w:val="en-US" w:eastAsia="zh-CN"/>
              </w:rPr>
              <w:t>2、拟投入技术人员（除驻点技术人员外），具备有效的水质</w:t>
            </w:r>
            <w:bookmarkStart w:id="0" w:name="_GoBack"/>
            <w:bookmarkEnd w:id="0"/>
            <w:r>
              <w:rPr>
                <w:rFonts w:hint="eastAsia" w:ascii="Times New Roman" w:hAnsi="Times New Roman" w:eastAsia="仿宋" w:cs="宋体"/>
                <w:bCs/>
                <w:sz w:val="24"/>
                <w:lang w:val="en-US" w:eastAsia="zh-CN"/>
              </w:rPr>
              <w:t>自动监测领域合格证的，每有一个得1分，满分6分。</w:t>
            </w:r>
          </w:p>
          <w:p w14:paraId="3313F8A6">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default" w:ascii="Times New Roman" w:hAnsi="Times New Roman" w:eastAsia="仿宋" w:cs="宋体"/>
                <w:bCs/>
                <w:sz w:val="24"/>
                <w:lang w:val="zh-CN" w:eastAsia="zh-CN"/>
              </w:rPr>
            </w:pPr>
            <w:r>
              <w:rPr>
                <w:rFonts w:hint="eastAsia" w:ascii="Times New Roman" w:hAnsi="Times New Roman" w:eastAsia="仿宋" w:cs="宋体"/>
                <w:bCs/>
                <w:sz w:val="24"/>
                <w:lang w:val="en-US" w:eastAsia="zh-CN"/>
              </w:rPr>
              <w:t>提供相关人员的学历证书、培训证书等证明材料并加盖供应商公章，没有加盖公章或没有提供证明材料不予计分。</w:t>
            </w:r>
            <w:r>
              <w:rPr>
                <w:rFonts w:hint="eastAsia" w:ascii="Times New Roman" w:hAnsi="Times New Roman" w:eastAsia="仿宋" w:cs="宋体"/>
                <w:bCs/>
                <w:sz w:val="24"/>
                <w:lang w:val="zh-CN"/>
              </w:rPr>
              <w:t xml:space="preserve">   </w:t>
            </w:r>
            <w:r>
              <w:rPr>
                <w:rFonts w:hint="default" w:ascii="Times New Roman" w:hAnsi="Times New Roman" w:eastAsia="仿宋" w:cs="宋体"/>
                <w:bCs/>
                <w:sz w:val="24"/>
                <w:lang w:val="en-US" w:eastAsia="zh-CN"/>
              </w:rPr>
              <w:t xml:space="preserve">                     </w:t>
            </w:r>
          </w:p>
          <w:p w14:paraId="7A89C133">
            <w:pPr>
              <w:pStyle w:val="4"/>
              <w:keepNext w:val="0"/>
              <w:keepLines w:val="0"/>
              <w:pageBreakBefore w:val="0"/>
              <w:numPr>
                <w:ilvl w:val="0"/>
                <w:numId w:val="0"/>
              </w:numPr>
              <w:kinsoku/>
              <w:wordWrap/>
              <w:topLinePunct w:val="0"/>
              <w:autoSpaceDE/>
              <w:autoSpaceDN/>
              <w:bidi w:val="0"/>
              <w:adjustRightInd/>
              <w:snapToGrid/>
              <w:ind w:firstLine="0" w:firstLineChars="0"/>
              <w:jc w:val="both"/>
              <w:textAlignment w:val="auto"/>
              <w:rPr>
                <w:rFonts w:hint="eastAsia" w:ascii="Times New Roman" w:hAnsi="Times New Roman" w:eastAsia="仿宋" w:cs="宋体"/>
                <w:bCs/>
                <w:kern w:val="2"/>
                <w:sz w:val="24"/>
                <w:szCs w:val="24"/>
                <w:lang w:val="zh-CN" w:eastAsia="zh-CN" w:bidi="ar-SA"/>
              </w:rPr>
            </w:pPr>
            <w:r>
              <w:rPr>
                <w:rFonts w:hint="eastAsia" w:ascii="Times New Roman" w:hAnsi="Times New Roman" w:eastAsia="仿宋" w:cs="宋体"/>
                <w:bCs/>
                <w:kern w:val="2"/>
                <w:sz w:val="24"/>
                <w:szCs w:val="24"/>
                <w:lang w:val="zh-CN" w:eastAsia="zh-CN" w:bidi="ar-SA"/>
              </w:rPr>
              <w:t>（</w:t>
            </w:r>
            <w:r>
              <w:rPr>
                <w:rFonts w:hint="eastAsia" w:ascii="Times New Roman" w:hAnsi="Times New Roman" w:eastAsia="仿宋" w:cs="宋体"/>
                <w:bCs/>
                <w:kern w:val="2"/>
                <w:sz w:val="24"/>
                <w:szCs w:val="24"/>
                <w:lang w:val="en-US" w:eastAsia="zh-CN" w:bidi="ar-SA"/>
              </w:rPr>
              <w:t>二</w:t>
            </w:r>
            <w:r>
              <w:rPr>
                <w:rFonts w:hint="eastAsia" w:ascii="Times New Roman" w:hAnsi="Times New Roman" w:eastAsia="仿宋" w:cs="宋体"/>
                <w:bCs/>
                <w:kern w:val="2"/>
                <w:sz w:val="24"/>
                <w:szCs w:val="24"/>
                <w:lang w:val="zh-CN" w:eastAsia="zh-CN" w:bidi="ar-SA"/>
              </w:rPr>
              <w:t>）车辆配置（满分</w:t>
            </w:r>
            <w:r>
              <w:rPr>
                <w:rFonts w:hint="eastAsia" w:ascii="Times New Roman" w:hAnsi="Times New Roman" w:eastAsia="仿宋" w:cs="宋体"/>
                <w:bCs/>
                <w:kern w:val="2"/>
                <w:sz w:val="24"/>
                <w:szCs w:val="24"/>
                <w:lang w:val="en-US" w:eastAsia="zh-CN" w:bidi="ar-SA"/>
              </w:rPr>
              <w:t>10</w:t>
            </w:r>
            <w:r>
              <w:rPr>
                <w:rFonts w:hint="eastAsia" w:ascii="Times New Roman" w:hAnsi="Times New Roman" w:eastAsia="仿宋" w:cs="宋体"/>
                <w:bCs/>
                <w:kern w:val="2"/>
                <w:sz w:val="24"/>
                <w:szCs w:val="24"/>
                <w:lang w:val="zh-CN" w:eastAsia="zh-CN" w:bidi="ar-SA"/>
              </w:rPr>
              <w:t>分）</w:t>
            </w:r>
          </w:p>
          <w:p w14:paraId="74DFEA48">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eastAsia="zh-CN"/>
              </w:rPr>
            </w:pPr>
            <w:r>
              <w:rPr>
                <w:rFonts w:hint="eastAsia" w:ascii="Times New Roman" w:hAnsi="Times New Roman" w:eastAsia="仿宋" w:cs="宋体"/>
                <w:bCs/>
                <w:sz w:val="24"/>
                <w:lang w:val="zh-CN" w:eastAsia="zh-CN"/>
              </w:rPr>
              <w:t>一档（</w:t>
            </w:r>
            <w:r>
              <w:rPr>
                <w:rFonts w:hint="eastAsia" w:ascii="Times New Roman" w:hAnsi="Times New Roman" w:eastAsia="仿宋" w:cs="宋体"/>
                <w:bCs/>
                <w:sz w:val="24"/>
                <w:lang w:val="en-US" w:eastAsia="zh-CN"/>
              </w:rPr>
              <w:t>10</w:t>
            </w:r>
            <w:r>
              <w:rPr>
                <w:rFonts w:hint="eastAsia" w:ascii="Times New Roman" w:hAnsi="Times New Roman" w:eastAsia="仿宋" w:cs="宋体"/>
                <w:bCs/>
                <w:sz w:val="24"/>
                <w:lang w:val="zh-CN" w:eastAsia="zh-CN"/>
              </w:rPr>
              <w:t>分）：本项目配备有专用运维车辆。</w:t>
            </w:r>
          </w:p>
          <w:p w14:paraId="723161BE">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eastAsia="zh-CN"/>
              </w:rPr>
            </w:pPr>
            <w:r>
              <w:rPr>
                <w:rFonts w:hint="eastAsia" w:ascii="Times New Roman" w:hAnsi="Times New Roman" w:eastAsia="仿宋" w:cs="宋体"/>
                <w:bCs/>
                <w:sz w:val="24"/>
                <w:lang w:val="zh-CN" w:eastAsia="zh-CN"/>
              </w:rPr>
              <w:t>二档（</w:t>
            </w:r>
            <w:r>
              <w:rPr>
                <w:rFonts w:hint="eastAsia" w:ascii="Times New Roman" w:hAnsi="Times New Roman" w:eastAsia="仿宋" w:cs="宋体"/>
                <w:bCs/>
                <w:sz w:val="24"/>
                <w:lang w:val="en-US" w:eastAsia="zh-CN"/>
              </w:rPr>
              <w:t>6</w:t>
            </w:r>
            <w:r>
              <w:rPr>
                <w:rFonts w:hint="eastAsia" w:ascii="Times New Roman" w:hAnsi="Times New Roman" w:eastAsia="仿宋" w:cs="宋体"/>
                <w:bCs/>
                <w:sz w:val="24"/>
                <w:lang w:val="zh-CN" w:eastAsia="zh-CN"/>
              </w:rPr>
              <w:t>分）：本项目配备有非专用运维车辆。</w:t>
            </w:r>
          </w:p>
          <w:p w14:paraId="70EF4794">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eastAsia="zh-CN"/>
              </w:rPr>
            </w:pPr>
            <w:r>
              <w:rPr>
                <w:rFonts w:hint="eastAsia" w:ascii="Times New Roman" w:hAnsi="Times New Roman" w:eastAsia="仿宋" w:cs="宋体"/>
                <w:bCs/>
                <w:sz w:val="24"/>
                <w:lang w:val="zh-CN" w:eastAsia="zh-CN"/>
              </w:rPr>
              <w:t>三档（</w:t>
            </w:r>
            <w:r>
              <w:rPr>
                <w:rFonts w:hint="eastAsia" w:ascii="Times New Roman" w:hAnsi="Times New Roman" w:eastAsia="仿宋" w:cs="宋体"/>
                <w:bCs/>
                <w:sz w:val="24"/>
                <w:lang w:val="en-US" w:eastAsia="zh-CN"/>
              </w:rPr>
              <w:t>4</w:t>
            </w:r>
            <w:r>
              <w:rPr>
                <w:rFonts w:hint="eastAsia" w:ascii="Times New Roman" w:hAnsi="Times New Roman" w:eastAsia="仿宋" w:cs="宋体"/>
                <w:bCs/>
                <w:sz w:val="24"/>
                <w:lang w:val="zh-CN" w:eastAsia="zh-CN"/>
              </w:rPr>
              <w:t>分）：本项目没有配备有运维车辆。</w:t>
            </w:r>
          </w:p>
          <w:p w14:paraId="40B8B5C3">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kern w:val="2"/>
                <w:sz w:val="24"/>
                <w:szCs w:val="24"/>
                <w:lang w:val="zh-CN" w:eastAsia="zh-CN" w:bidi="ar-SA"/>
              </w:rPr>
            </w:pPr>
            <w:r>
              <w:rPr>
                <w:rFonts w:hint="eastAsia" w:ascii="Times New Roman" w:hAnsi="Times New Roman" w:eastAsia="仿宋" w:cs="宋体"/>
                <w:bCs/>
                <w:sz w:val="24"/>
                <w:lang w:val="zh-CN" w:eastAsia="zh-CN"/>
              </w:rPr>
              <w:t>备注：车辆提供购买发票或长期租赁合同及车辆行驶证复印件，车辆仅为本项目服务的承诺书，证明材料复印件上加盖运维机构公章，缺一或不提供不得分。</w:t>
            </w:r>
          </w:p>
        </w:tc>
      </w:tr>
      <w:tr w14:paraId="1B857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2" w:hRule="atLeast"/>
          <w:jc w:val="center"/>
        </w:trPr>
        <w:tc>
          <w:tcPr>
            <w:tcW w:w="2542" w:type="dxa"/>
            <w:noWrap w:val="0"/>
            <w:vAlign w:val="center"/>
          </w:tcPr>
          <w:p w14:paraId="4A9A767C">
            <w:pPr>
              <w:overflowPunct w:val="0"/>
              <w:spacing w:line="360" w:lineRule="exact"/>
              <w:jc w:val="center"/>
              <w:rPr>
                <w:rFonts w:ascii="Times New Roman" w:hAnsi="Times New Roman" w:eastAsia="仿宋" w:cs="宋体"/>
                <w:sz w:val="24"/>
              </w:rPr>
            </w:pPr>
            <w:r>
              <w:rPr>
                <w:rFonts w:hint="eastAsia" w:ascii="Times New Roman" w:hAnsi="Times New Roman" w:eastAsia="仿宋" w:cs="宋体"/>
                <w:sz w:val="24"/>
              </w:rPr>
              <w:t>四、荣誉分（</w:t>
            </w:r>
            <w:r>
              <w:rPr>
                <w:rFonts w:hint="eastAsia" w:ascii="Times New Roman" w:hAnsi="Times New Roman" w:eastAsia="仿宋" w:cs="宋体"/>
                <w:sz w:val="24"/>
                <w:lang w:val="en-US" w:eastAsia="zh-CN"/>
              </w:rPr>
              <w:t>5</w:t>
            </w:r>
            <w:r>
              <w:rPr>
                <w:rFonts w:hint="eastAsia" w:ascii="Times New Roman" w:hAnsi="Times New Roman" w:eastAsia="仿宋" w:cs="宋体"/>
                <w:sz w:val="24"/>
              </w:rPr>
              <w:t>分）</w:t>
            </w:r>
          </w:p>
        </w:tc>
        <w:tc>
          <w:tcPr>
            <w:tcW w:w="6832" w:type="dxa"/>
            <w:noWrap w:val="0"/>
            <w:vAlign w:val="center"/>
          </w:tcPr>
          <w:p w14:paraId="6A665C2A">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default" w:ascii="Times New Roman" w:hAnsi="Times New Roman" w:eastAsia="仿宋" w:cs="宋体"/>
                <w:bCs/>
                <w:sz w:val="24"/>
                <w:lang w:val="zh-CN"/>
              </w:rPr>
              <w:t>供应商在以往环境监测服务中未受到各级环保主管部门行政处罚、通报、记不良记录、记过</w:t>
            </w:r>
            <w:r>
              <w:rPr>
                <w:rFonts w:hint="eastAsia" w:ascii="Times New Roman" w:hAnsi="Times New Roman" w:eastAsia="仿宋" w:cs="宋体"/>
                <w:bCs/>
                <w:sz w:val="24"/>
                <w:lang w:val="zh-CN"/>
              </w:rPr>
              <w:t>或</w:t>
            </w:r>
            <w:r>
              <w:rPr>
                <w:rFonts w:hint="default" w:ascii="Times New Roman" w:hAnsi="Times New Roman" w:eastAsia="仿宋" w:cs="宋体"/>
                <w:bCs/>
                <w:sz w:val="24"/>
                <w:lang w:val="zh-CN"/>
              </w:rPr>
              <w:t>存在弄虚作假等不良行为记录的，加盖供应商公章（供应商应的承诺必须真实有效，若经查实存在虚假承诺的情形，则采购人有权取消其成交资格，并上报监督管理部门处理，且保留追究法律责任的权利），得</w:t>
            </w:r>
            <w:r>
              <w:rPr>
                <w:rFonts w:hint="eastAsia" w:ascii="Times New Roman" w:hAnsi="Times New Roman" w:eastAsia="仿宋" w:cs="宋体"/>
                <w:bCs/>
                <w:sz w:val="24"/>
                <w:lang w:val="en-US" w:eastAsia="zh-CN"/>
              </w:rPr>
              <w:t>5</w:t>
            </w:r>
            <w:r>
              <w:rPr>
                <w:rFonts w:hint="default" w:ascii="Times New Roman" w:hAnsi="Times New Roman" w:eastAsia="仿宋" w:cs="宋体"/>
                <w:bCs/>
                <w:sz w:val="24"/>
                <w:lang w:val="zh-CN"/>
              </w:rPr>
              <w:t>分</w:t>
            </w:r>
            <w:r>
              <w:rPr>
                <w:rFonts w:hint="eastAsia" w:ascii="Times New Roman" w:hAnsi="Times New Roman" w:eastAsia="仿宋" w:cs="宋体"/>
                <w:bCs/>
                <w:sz w:val="24"/>
                <w:lang w:val="en-US" w:eastAsia="zh-CN"/>
              </w:rPr>
              <w:t>；</w:t>
            </w:r>
            <w:r>
              <w:rPr>
                <w:rFonts w:hint="default" w:ascii="Times New Roman" w:hAnsi="Times New Roman" w:eastAsia="仿宋" w:cs="宋体"/>
                <w:bCs/>
                <w:sz w:val="24"/>
                <w:lang w:val="zh-CN"/>
              </w:rPr>
              <w:t>未提供相应承诺函或有不良记录的，不得分</w:t>
            </w:r>
            <w:r>
              <w:rPr>
                <w:rFonts w:hint="default" w:ascii="Times New Roman" w:hAnsi="Times New Roman" w:eastAsia="仿宋" w:cs="宋体"/>
                <w:bCs/>
                <w:sz w:val="24"/>
                <w:lang w:val="zh-CN" w:eastAsia="zh-CN"/>
              </w:rPr>
              <w:t>。</w:t>
            </w:r>
          </w:p>
        </w:tc>
      </w:tr>
      <w:tr w14:paraId="2F144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6" w:hRule="atLeast"/>
          <w:jc w:val="center"/>
        </w:trPr>
        <w:tc>
          <w:tcPr>
            <w:tcW w:w="2542" w:type="dxa"/>
            <w:noWrap w:val="0"/>
            <w:vAlign w:val="center"/>
          </w:tcPr>
          <w:p w14:paraId="11F0B386">
            <w:pPr>
              <w:overflowPunct w:val="0"/>
              <w:spacing w:line="360" w:lineRule="exact"/>
              <w:jc w:val="center"/>
              <w:rPr>
                <w:rFonts w:ascii="Times New Roman" w:hAnsi="Times New Roman" w:eastAsia="仿宋" w:cs="宋体"/>
                <w:sz w:val="24"/>
              </w:rPr>
            </w:pPr>
            <w:r>
              <w:rPr>
                <w:rFonts w:hint="eastAsia" w:ascii="Times New Roman" w:hAnsi="Times New Roman" w:eastAsia="仿宋" w:cs="宋体"/>
                <w:sz w:val="24"/>
              </w:rPr>
              <w:t>五、业绩分（</w:t>
            </w:r>
            <w:r>
              <w:rPr>
                <w:rFonts w:hint="eastAsia" w:ascii="Times New Roman" w:hAnsi="Times New Roman" w:eastAsia="仿宋" w:cs="宋体"/>
                <w:sz w:val="24"/>
                <w:lang w:val="en-US" w:eastAsia="zh-CN"/>
              </w:rPr>
              <w:t>15</w:t>
            </w:r>
            <w:r>
              <w:rPr>
                <w:rFonts w:hint="eastAsia" w:ascii="Times New Roman" w:hAnsi="Times New Roman" w:eastAsia="仿宋" w:cs="宋体"/>
                <w:sz w:val="24"/>
              </w:rPr>
              <w:t>分）</w:t>
            </w:r>
          </w:p>
        </w:tc>
        <w:tc>
          <w:tcPr>
            <w:tcW w:w="6832" w:type="dxa"/>
            <w:noWrap w:val="0"/>
            <w:vAlign w:val="center"/>
          </w:tcPr>
          <w:p w14:paraId="2F127055">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eastAsia="zh-CN"/>
              </w:rPr>
            </w:pPr>
            <w:r>
              <w:rPr>
                <w:rFonts w:hint="eastAsia" w:ascii="Times New Roman" w:hAnsi="Times New Roman" w:eastAsia="仿宋" w:cs="宋体"/>
                <w:bCs/>
                <w:sz w:val="24"/>
                <w:lang w:val="zh-CN" w:eastAsia="zh-CN"/>
              </w:rPr>
              <w:t>（二）业绩分（满分15分）</w:t>
            </w:r>
          </w:p>
          <w:p w14:paraId="538D3F6B">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eastAsia="zh-CN"/>
              </w:rPr>
              <w:t>1、</w:t>
            </w:r>
            <w:r>
              <w:rPr>
                <w:rFonts w:hint="eastAsia" w:ascii="Times New Roman" w:hAnsi="Times New Roman" w:eastAsia="仿宋" w:cs="宋体"/>
                <w:bCs/>
                <w:sz w:val="24"/>
                <w:lang w:val="zh-CN"/>
              </w:rPr>
              <w:t>供应商</w:t>
            </w:r>
            <w:r>
              <w:rPr>
                <w:rFonts w:hint="eastAsia" w:ascii="Times New Roman" w:hAnsi="Times New Roman" w:eastAsia="仿宋" w:cs="宋体"/>
                <w:bCs/>
                <w:sz w:val="24"/>
                <w:lang w:val="zh-CN" w:eastAsia="zh-CN"/>
              </w:rPr>
              <w:t>2019</w:t>
            </w:r>
            <w:r>
              <w:rPr>
                <w:rFonts w:hint="eastAsia" w:ascii="Times New Roman" w:hAnsi="Times New Roman" w:eastAsia="仿宋" w:cs="宋体"/>
                <w:bCs/>
                <w:sz w:val="24"/>
                <w:lang w:val="zh-CN"/>
              </w:rPr>
              <w:t>年至</w:t>
            </w:r>
            <w:r>
              <w:rPr>
                <w:rFonts w:hint="eastAsia" w:ascii="Times New Roman" w:hAnsi="Times New Roman" w:eastAsia="仿宋" w:cs="宋体"/>
                <w:bCs/>
                <w:sz w:val="24"/>
                <w:lang w:val="zh-CN" w:eastAsia="zh-CN"/>
              </w:rPr>
              <w:t>今</w:t>
            </w:r>
            <w:r>
              <w:rPr>
                <w:rFonts w:hint="eastAsia" w:ascii="Times New Roman" w:hAnsi="Times New Roman" w:eastAsia="仿宋" w:cs="宋体"/>
                <w:bCs/>
                <w:sz w:val="24"/>
                <w:lang w:val="zh-CN"/>
              </w:rPr>
              <w:t>具有</w:t>
            </w:r>
            <w:r>
              <w:rPr>
                <w:rFonts w:hint="eastAsia" w:ascii="Times New Roman" w:hAnsi="Times New Roman" w:eastAsia="仿宋" w:cs="宋体"/>
                <w:bCs/>
                <w:sz w:val="24"/>
                <w:lang w:val="zh-CN" w:eastAsia="zh-CN"/>
              </w:rPr>
              <w:t>国控</w:t>
            </w:r>
            <w:r>
              <w:rPr>
                <w:rFonts w:hint="eastAsia" w:ascii="Times New Roman" w:hAnsi="Times New Roman" w:eastAsia="仿宋" w:cs="宋体"/>
                <w:bCs/>
                <w:sz w:val="24"/>
                <w:lang w:val="en-US" w:eastAsia="zh-CN"/>
              </w:rPr>
              <w:t>水质</w:t>
            </w:r>
            <w:r>
              <w:rPr>
                <w:rFonts w:hint="eastAsia" w:ascii="Times New Roman" w:hAnsi="Times New Roman" w:eastAsia="仿宋" w:cs="宋体"/>
                <w:bCs/>
                <w:sz w:val="24"/>
                <w:lang w:val="zh-CN" w:eastAsia="zh-CN"/>
              </w:rPr>
              <w:t>自动监测</w:t>
            </w:r>
            <w:r>
              <w:rPr>
                <w:rFonts w:hint="eastAsia" w:ascii="Times New Roman" w:hAnsi="Times New Roman" w:eastAsia="仿宋" w:cs="宋体"/>
                <w:bCs/>
                <w:sz w:val="24"/>
                <w:lang w:val="zh-CN"/>
              </w:rPr>
              <w:t>站运维项目业绩的，每有</w:t>
            </w:r>
            <w:r>
              <w:rPr>
                <w:rFonts w:hint="eastAsia" w:ascii="Times New Roman" w:hAnsi="Times New Roman" w:eastAsia="仿宋" w:cs="宋体"/>
                <w:bCs/>
                <w:sz w:val="24"/>
                <w:lang w:val="zh-CN" w:eastAsia="zh-CN"/>
              </w:rPr>
              <w:t>1年得3分。须提供相关</w:t>
            </w:r>
            <w:r>
              <w:rPr>
                <w:rFonts w:hint="eastAsia" w:ascii="Times New Roman" w:hAnsi="Times New Roman" w:eastAsia="仿宋" w:cs="宋体"/>
                <w:bCs/>
                <w:sz w:val="24"/>
                <w:lang w:val="zh-CN"/>
              </w:rPr>
              <w:t>证明材料（以合同复印件和中标通知书为准）并加盖供应商公章，否则不予计分。</w:t>
            </w:r>
            <w:r>
              <w:rPr>
                <w:rFonts w:hint="eastAsia" w:ascii="Times New Roman" w:hAnsi="Times New Roman" w:eastAsia="仿宋" w:cs="宋体"/>
                <w:bCs/>
                <w:sz w:val="24"/>
                <w:lang w:val="zh-CN" w:eastAsia="zh-CN"/>
              </w:rPr>
              <w:t>同一年度国控运维项目业绩只算1次。</w:t>
            </w:r>
          </w:p>
          <w:p w14:paraId="3AB9A96C">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eastAsia="zh-CN"/>
              </w:rPr>
              <w:t>2、</w:t>
            </w:r>
            <w:r>
              <w:rPr>
                <w:rFonts w:hint="eastAsia" w:ascii="Times New Roman" w:hAnsi="Times New Roman" w:eastAsia="仿宋" w:cs="宋体"/>
                <w:bCs/>
                <w:sz w:val="24"/>
                <w:lang w:val="zh-CN"/>
              </w:rPr>
              <w:t>供应商</w:t>
            </w:r>
            <w:r>
              <w:rPr>
                <w:rFonts w:hint="eastAsia" w:ascii="Times New Roman" w:hAnsi="Times New Roman" w:eastAsia="仿宋" w:cs="宋体"/>
                <w:bCs/>
                <w:sz w:val="24"/>
                <w:lang w:val="zh-CN" w:eastAsia="zh-CN"/>
              </w:rPr>
              <w:t>2019</w:t>
            </w:r>
            <w:r>
              <w:rPr>
                <w:rFonts w:hint="eastAsia" w:ascii="Times New Roman" w:hAnsi="Times New Roman" w:eastAsia="仿宋" w:cs="宋体"/>
                <w:bCs/>
                <w:sz w:val="24"/>
                <w:lang w:val="zh-CN"/>
              </w:rPr>
              <w:t>年至</w:t>
            </w:r>
            <w:r>
              <w:rPr>
                <w:rFonts w:hint="eastAsia" w:ascii="Times New Roman" w:hAnsi="Times New Roman" w:eastAsia="仿宋" w:cs="宋体"/>
                <w:bCs/>
                <w:sz w:val="24"/>
                <w:lang w:val="zh-CN" w:eastAsia="zh-CN"/>
              </w:rPr>
              <w:t>今</w:t>
            </w:r>
            <w:r>
              <w:rPr>
                <w:rFonts w:hint="eastAsia" w:ascii="Times New Roman" w:hAnsi="Times New Roman" w:eastAsia="仿宋" w:cs="宋体"/>
                <w:bCs/>
                <w:sz w:val="24"/>
                <w:lang w:val="zh-CN"/>
              </w:rPr>
              <w:t>具有</w:t>
            </w:r>
            <w:r>
              <w:rPr>
                <w:rFonts w:hint="eastAsia" w:ascii="Times New Roman" w:hAnsi="Times New Roman" w:eastAsia="仿宋" w:cs="宋体"/>
                <w:bCs/>
                <w:sz w:val="24"/>
                <w:lang w:val="zh-CN" w:eastAsia="zh-CN"/>
              </w:rPr>
              <w:t>区控</w:t>
            </w:r>
            <w:r>
              <w:rPr>
                <w:rFonts w:hint="eastAsia" w:ascii="Times New Roman" w:hAnsi="Times New Roman" w:eastAsia="仿宋" w:cs="宋体"/>
                <w:bCs/>
                <w:sz w:val="24"/>
                <w:lang w:val="en-US" w:eastAsia="zh-CN"/>
              </w:rPr>
              <w:t>水质</w:t>
            </w:r>
            <w:r>
              <w:rPr>
                <w:rFonts w:hint="eastAsia" w:ascii="Times New Roman" w:hAnsi="Times New Roman" w:eastAsia="仿宋" w:cs="宋体"/>
                <w:bCs/>
                <w:sz w:val="24"/>
                <w:lang w:val="zh-CN" w:eastAsia="zh-CN"/>
              </w:rPr>
              <w:t>自动监测</w:t>
            </w:r>
            <w:r>
              <w:rPr>
                <w:rFonts w:hint="eastAsia" w:ascii="Times New Roman" w:hAnsi="Times New Roman" w:eastAsia="仿宋" w:cs="宋体"/>
                <w:bCs/>
                <w:sz w:val="24"/>
                <w:lang w:val="zh-CN"/>
              </w:rPr>
              <w:t>站运维项目业绩的，每有</w:t>
            </w:r>
            <w:r>
              <w:rPr>
                <w:rFonts w:hint="eastAsia" w:ascii="Times New Roman" w:hAnsi="Times New Roman" w:eastAsia="仿宋" w:cs="宋体"/>
                <w:bCs/>
                <w:sz w:val="24"/>
                <w:lang w:val="zh-CN" w:eastAsia="zh-CN"/>
              </w:rPr>
              <w:t>1年得1.5分。须提供相关</w:t>
            </w:r>
            <w:r>
              <w:rPr>
                <w:rFonts w:hint="eastAsia" w:ascii="Times New Roman" w:hAnsi="Times New Roman" w:eastAsia="仿宋" w:cs="宋体"/>
                <w:bCs/>
                <w:sz w:val="24"/>
                <w:lang w:val="zh-CN"/>
              </w:rPr>
              <w:t>证明材料（以合同复印件和中标通知书为准）并加盖供应商公章，否则不予计分。</w:t>
            </w:r>
            <w:r>
              <w:rPr>
                <w:rFonts w:hint="eastAsia" w:ascii="Times New Roman" w:hAnsi="Times New Roman" w:eastAsia="仿宋" w:cs="宋体"/>
                <w:bCs/>
                <w:sz w:val="24"/>
                <w:lang w:val="zh-CN" w:eastAsia="zh-CN"/>
              </w:rPr>
              <w:t>同一年度区控运维项目业绩只算1次。</w:t>
            </w:r>
          </w:p>
          <w:p w14:paraId="25291830">
            <w:pPr>
              <w:keepNext w:val="0"/>
              <w:keepLines w:val="0"/>
              <w:pageBreakBefore w:val="0"/>
              <w:widowControl w:val="0"/>
              <w:kinsoku/>
              <w:wordWrap/>
              <w:overflowPunct w:val="0"/>
              <w:topLinePunct w:val="0"/>
              <w:autoSpaceDE/>
              <w:autoSpaceDN/>
              <w:bidi w:val="0"/>
              <w:adjustRightInd/>
              <w:snapToGrid/>
              <w:spacing w:line="400" w:lineRule="exact"/>
              <w:ind w:firstLine="0" w:firstLineChars="0"/>
              <w:jc w:val="both"/>
              <w:textAlignment w:val="auto"/>
              <w:rPr>
                <w:rFonts w:hint="eastAsia" w:ascii="Times New Roman" w:hAnsi="Times New Roman" w:eastAsia="仿宋" w:cs="宋体"/>
                <w:bCs/>
                <w:sz w:val="24"/>
                <w:lang w:val="zh-CN"/>
              </w:rPr>
            </w:pPr>
            <w:r>
              <w:rPr>
                <w:rFonts w:hint="eastAsia" w:ascii="Times New Roman" w:hAnsi="Times New Roman" w:eastAsia="仿宋" w:cs="宋体"/>
                <w:bCs/>
                <w:sz w:val="24"/>
                <w:lang w:val="zh-CN" w:eastAsia="zh-CN"/>
              </w:rPr>
              <w:t>3.最终得分计算方式：国控</w:t>
            </w:r>
            <w:r>
              <w:rPr>
                <w:rFonts w:hint="eastAsia" w:ascii="Times New Roman" w:hAnsi="Times New Roman" w:eastAsia="仿宋" w:cs="宋体"/>
                <w:bCs/>
                <w:sz w:val="24"/>
                <w:lang w:val="en-US" w:eastAsia="zh-CN"/>
              </w:rPr>
              <w:t>水质</w:t>
            </w:r>
            <w:r>
              <w:rPr>
                <w:rFonts w:hint="eastAsia" w:ascii="Times New Roman" w:hAnsi="Times New Roman" w:eastAsia="仿宋" w:cs="宋体"/>
                <w:bCs/>
                <w:sz w:val="24"/>
                <w:lang w:val="zh-CN" w:eastAsia="zh-CN"/>
              </w:rPr>
              <w:t>自动监测</w:t>
            </w:r>
            <w:r>
              <w:rPr>
                <w:rFonts w:hint="eastAsia" w:ascii="Times New Roman" w:hAnsi="Times New Roman" w:eastAsia="仿宋" w:cs="宋体"/>
                <w:bCs/>
                <w:sz w:val="24"/>
                <w:lang w:val="zh-CN"/>
              </w:rPr>
              <w:t>站运维项目业绩</w:t>
            </w:r>
            <w:r>
              <w:rPr>
                <w:rFonts w:hint="eastAsia" w:ascii="Times New Roman" w:hAnsi="Times New Roman" w:eastAsia="仿宋" w:cs="宋体"/>
                <w:bCs/>
                <w:sz w:val="24"/>
                <w:lang w:val="zh-CN" w:eastAsia="zh-CN"/>
              </w:rPr>
              <w:t>分+区控</w:t>
            </w:r>
            <w:r>
              <w:rPr>
                <w:rFonts w:hint="eastAsia" w:ascii="Times New Roman" w:hAnsi="Times New Roman" w:eastAsia="仿宋" w:cs="宋体"/>
                <w:bCs/>
                <w:sz w:val="24"/>
                <w:lang w:val="en-US" w:eastAsia="zh-CN"/>
              </w:rPr>
              <w:t>水质</w:t>
            </w:r>
            <w:r>
              <w:rPr>
                <w:rFonts w:hint="eastAsia" w:ascii="Times New Roman" w:hAnsi="Times New Roman" w:eastAsia="仿宋" w:cs="宋体"/>
                <w:bCs/>
                <w:sz w:val="24"/>
                <w:lang w:val="zh-CN" w:eastAsia="zh-CN"/>
              </w:rPr>
              <w:t>自动监测</w:t>
            </w:r>
            <w:r>
              <w:rPr>
                <w:rFonts w:hint="eastAsia" w:ascii="Times New Roman" w:hAnsi="Times New Roman" w:eastAsia="仿宋" w:cs="宋体"/>
                <w:bCs/>
                <w:sz w:val="24"/>
                <w:lang w:val="zh-CN"/>
              </w:rPr>
              <w:t>站运维项目业绩</w:t>
            </w:r>
            <w:r>
              <w:rPr>
                <w:rFonts w:hint="eastAsia" w:ascii="Times New Roman" w:hAnsi="Times New Roman" w:eastAsia="仿宋" w:cs="宋体"/>
                <w:bCs/>
                <w:sz w:val="24"/>
                <w:lang w:val="zh-CN" w:eastAsia="zh-CN"/>
              </w:rPr>
              <w:t>分。（满分15分）</w:t>
            </w:r>
          </w:p>
        </w:tc>
      </w:tr>
    </w:tbl>
    <w:p w14:paraId="7FAAB718"/>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E4800F"/>
    <w:multiLevelType w:val="singleLevel"/>
    <w:tmpl w:val="86E4800F"/>
    <w:lvl w:ilvl="0" w:tentative="0">
      <w:start w:val="1"/>
      <w:numFmt w:val="decimal"/>
      <w:pStyle w:val="2"/>
      <w:lvlText w:val="%1."/>
      <w:lvlJc w:val="left"/>
      <w:pPr>
        <w:tabs>
          <w:tab w:val="left" w:pos="360"/>
        </w:tabs>
        <w:ind w:left="360" w:hanging="360"/>
      </w:pPr>
    </w:lvl>
  </w:abstractNum>
  <w:abstractNum w:abstractNumId="1">
    <w:nsid w:val="D99F33D2"/>
    <w:multiLevelType w:val="singleLevel"/>
    <w:tmpl w:val="D99F33D2"/>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20339E"/>
    <w:rsid w:val="0E7151DB"/>
    <w:rsid w:val="12EC4438"/>
    <w:rsid w:val="1A681208"/>
    <w:rsid w:val="1A8F59C3"/>
    <w:rsid w:val="1AA30277"/>
    <w:rsid w:val="1DFC5003"/>
    <w:rsid w:val="1EDC73B8"/>
    <w:rsid w:val="233231E8"/>
    <w:rsid w:val="23D7455C"/>
    <w:rsid w:val="24AF108A"/>
    <w:rsid w:val="2DC35B98"/>
    <w:rsid w:val="30F078C3"/>
    <w:rsid w:val="33D31231"/>
    <w:rsid w:val="3A961470"/>
    <w:rsid w:val="3FE61943"/>
    <w:rsid w:val="4B3D1C65"/>
    <w:rsid w:val="58296BD5"/>
    <w:rsid w:val="619940A8"/>
    <w:rsid w:val="65395A43"/>
    <w:rsid w:val="6852758F"/>
    <w:rsid w:val="68D17CA6"/>
    <w:rsid w:val="6B787D55"/>
    <w:rsid w:val="75115693"/>
    <w:rsid w:val="7B6533B7"/>
    <w:rsid w:val="7E441C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List Number"/>
    <w:basedOn w:val="1"/>
    <w:qFormat/>
    <w:uiPriority w:val="0"/>
    <w:pPr>
      <w:numPr>
        <w:ilvl w:val="0"/>
        <w:numId w:val="1"/>
      </w:numPr>
    </w:pPr>
  </w:style>
  <w:style w:type="paragraph" w:styleId="3">
    <w:name w:val="Body Text"/>
    <w:basedOn w:val="1"/>
    <w:next w:val="1"/>
    <w:unhideWhenUsed/>
    <w:qFormat/>
    <w:uiPriority w:val="0"/>
    <w:pPr>
      <w:spacing w:after="120"/>
    </w:p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unhideWhenUsed/>
    <w:qFormat/>
    <w:uiPriority w:val="0"/>
    <w:pPr>
      <w:spacing w:before="100" w:beforeAutospacing="1" w:after="100" w:afterAutospacing="1"/>
      <w:jc w:val="left"/>
    </w:pPr>
    <w:rPr>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2262</Words>
  <Characters>2324</Characters>
  <Lines>0</Lines>
  <Paragraphs>0</Paragraphs>
  <TotalTime>4</TotalTime>
  <ScaleCrop>false</ScaleCrop>
  <LinksUpToDate>false</LinksUpToDate>
  <CharactersWithSpaces>2350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2025-02-18T03:24:00Z</dcterms:created>
  <dc:creator>lenovo</dc:creator>
  <cp:lastModifiedBy>Luwei</cp:lastModifiedBy>
  <cp:lastPrinted>2025-03-07T03:40:00Z</cp:lastPrinted>
  <dcterms:modified xsi:type="dcterms:W3CDTF">2025-03-19T04:20:10Z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eyJoZGlkIjoiMTkzN2RkZDJjMzNlYjk5NGFkODg1MDNkNTI0OTYxMjUiLCJ1c2VySWQiOiI0Mzc2ODA3NjgifQ==</vt:lpwstr>
  </property>
  <property fmtid="{D5CDD505-2E9C-101B-9397-08002B2CF9AE}" pid="4" name="ICV">
    <vt:lpwstr>D9FD167242E14159868D3E4C5DF07AE6_13</vt:lpwstr>
  </property>
</Properties>
</file>