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70F48B">
      <w:pPr>
        <w:snapToGrid w:val="0"/>
        <w:spacing w:line="600" w:lineRule="exact"/>
        <w:jc w:val="center"/>
        <w:rPr>
          <w:rFonts w:ascii="Times New Roman" w:hAnsi="Times New Roman" w:eastAsia="方正小标宋_GBK"/>
          <w:sz w:val="44"/>
          <w:szCs w:val="44"/>
        </w:rPr>
      </w:pPr>
      <w:r>
        <w:rPr>
          <w:rFonts w:hint="eastAsia" w:ascii="Times New Roman" w:hAnsi="Times New Roman" w:eastAsia="方正小标宋_GBK"/>
          <w:sz w:val="44"/>
          <w:szCs w:val="44"/>
        </w:rPr>
        <w:t>广西壮族自治区南宁生态环境监测中心</w:t>
      </w:r>
    </w:p>
    <w:p w14:paraId="6CD81510">
      <w:pPr>
        <w:snapToGrid w:val="0"/>
        <w:spacing w:line="600" w:lineRule="exact"/>
        <w:jc w:val="center"/>
        <w:rPr>
          <w:rFonts w:hint="default" w:ascii="Times New Roman" w:hAnsi="Times New Roman" w:eastAsia="方正小标宋_GBK" w:cs="Times New Roman"/>
          <w:sz w:val="44"/>
          <w:szCs w:val="44"/>
          <w:lang w:val="en-US" w:eastAsia="zh-CN"/>
        </w:rPr>
      </w:pPr>
      <w:r>
        <w:rPr>
          <w:rFonts w:hint="eastAsia" w:ascii="Times New Roman" w:hAnsi="Times New Roman" w:eastAsia="方正小标宋_GBK" w:cs="Times New Roman"/>
          <w:sz w:val="44"/>
          <w:szCs w:val="44"/>
          <w:lang w:val="en-US" w:eastAsia="zh-CN"/>
        </w:rPr>
        <w:t>2</w:t>
      </w:r>
      <w:r>
        <w:rPr>
          <w:rFonts w:hint="eastAsia" w:ascii="Times New Roman" w:hAnsi="Times New Roman" w:eastAsia="方正小标宋_GBK" w:cs="Times New Roman"/>
          <w:sz w:val="44"/>
          <w:szCs w:val="44"/>
        </w:rPr>
        <w:t>025年降雨自动监测点自动监测设备运行维护服务</w:t>
      </w:r>
      <w:r>
        <w:rPr>
          <w:rFonts w:ascii="Times New Roman" w:hAnsi="Times New Roman" w:eastAsia="方正小标宋_GBK" w:cs="Times New Roman"/>
          <w:sz w:val="44"/>
          <w:szCs w:val="44"/>
        </w:rPr>
        <w:t>采购需求</w:t>
      </w:r>
      <w:r>
        <w:rPr>
          <w:rFonts w:hint="eastAsia" w:ascii="Times New Roman" w:hAnsi="Times New Roman" w:eastAsia="方正小标宋_GBK" w:cs="Times New Roman"/>
          <w:sz w:val="44"/>
          <w:szCs w:val="44"/>
          <w:lang w:val="en-US" w:eastAsia="zh-CN"/>
        </w:rPr>
        <w:t>及评分标</w:t>
      </w:r>
      <w:bookmarkStart w:id="0" w:name="_GoBack"/>
      <w:bookmarkEnd w:id="0"/>
      <w:r>
        <w:rPr>
          <w:rFonts w:hint="eastAsia" w:ascii="Times New Roman" w:hAnsi="Times New Roman" w:eastAsia="方正小标宋_GBK" w:cs="Times New Roman"/>
          <w:sz w:val="44"/>
          <w:szCs w:val="44"/>
          <w:lang w:val="en-US" w:eastAsia="zh-CN"/>
        </w:rPr>
        <w:t>准</w:t>
      </w:r>
    </w:p>
    <w:p w14:paraId="7A1607D9">
      <w:pPr>
        <w:rPr>
          <w:rFonts w:ascii="Times New Roman" w:hAnsi="Times New Roman"/>
        </w:rPr>
      </w:pPr>
    </w:p>
    <w:p w14:paraId="28E80BBD">
      <w:pPr>
        <w:spacing w:line="600" w:lineRule="exact"/>
        <w:rPr>
          <w:rFonts w:ascii="Times New Roman" w:hAnsi="Times New Roman" w:eastAsia="黑体"/>
          <w:sz w:val="32"/>
          <w:szCs w:val="32"/>
        </w:rPr>
      </w:pPr>
      <w:r>
        <w:rPr>
          <w:rFonts w:ascii="Times New Roman" w:hAnsi="Times New Roman" w:eastAsia="黑体"/>
          <w:sz w:val="32"/>
          <w:szCs w:val="32"/>
        </w:rPr>
        <w:t>一、标的名称</w:t>
      </w:r>
    </w:p>
    <w:p w14:paraId="5D215D01">
      <w:pPr>
        <w:spacing w:line="600" w:lineRule="exact"/>
        <w:ind w:firstLine="640" w:firstLineChars="200"/>
        <w:rPr>
          <w:rFonts w:hint="eastAsia" w:ascii="Times New Roman" w:hAnsi="Times New Roman" w:eastAsia="仿宋" w:cs="仿宋"/>
          <w:sz w:val="32"/>
          <w:szCs w:val="32"/>
          <w:lang w:eastAsia="zh-CN"/>
        </w:rPr>
      </w:pPr>
      <w:r>
        <w:rPr>
          <w:rFonts w:hint="eastAsia" w:ascii="Times New Roman" w:hAnsi="Times New Roman" w:eastAsia="仿宋" w:cs="仿宋"/>
          <w:sz w:val="32"/>
          <w:szCs w:val="32"/>
        </w:rPr>
        <w:t>广西壮族</w:t>
      </w:r>
      <w:r>
        <w:rPr>
          <w:rFonts w:hint="eastAsia" w:ascii="Times New Roman" w:hAnsi="Times New Roman" w:eastAsia="仿宋"/>
          <w:sz w:val="32"/>
          <w:szCs w:val="32"/>
        </w:rPr>
        <w:t>自治区</w:t>
      </w:r>
      <w:r>
        <w:rPr>
          <w:rFonts w:hint="eastAsia" w:ascii="Times New Roman" w:hAnsi="Times New Roman" w:eastAsia="仿宋" w:cs="仿宋"/>
          <w:sz w:val="32"/>
          <w:szCs w:val="32"/>
        </w:rPr>
        <w:t>南宁生态环境监测中心2025年降雨自动监测点自动监测设备运行维护服务</w:t>
      </w:r>
      <w:r>
        <w:rPr>
          <w:rFonts w:hint="eastAsia" w:ascii="Times New Roman" w:hAnsi="Times New Roman" w:eastAsia="仿宋" w:cs="仿宋"/>
          <w:sz w:val="32"/>
          <w:szCs w:val="32"/>
          <w:lang w:eastAsia="zh-CN"/>
        </w:rPr>
        <w:t>。</w:t>
      </w:r>
    </w:p>
    <w:p w14:paraId="34F02D15">
      <w:pPr>
        <w:spacing w:line="600" w:lineRule="exact"/>
        <w:rPr>
          <w:rFonts w:ascii="Times New Roman" w:hAnsi="Times New Roman"/>
          <w:b/>
          <w:bCs/>
          <w:sz w:val="28"/>
          <w:szCs w:val="28"/>
        </w:rPr>
      </w:pPr>
      <w:r>
        <w:rPr>
          <w:rFonts w:ascii="Times New Roman" w:hAnsi="Times New Roman" w:eastAsia="黑体"/>
          <w:sz w:val="32"/>
          <w:szCs w:val="32"/>
        </w:rPr>
        <w:t>二、采购项目类别</w:t>
      </w:r>
    </w:p>
    <w:p w14:paraId="7CFE5D2F">
      <w:pPr>
        <w:spacing w:line="600" w:lineRule="exact"/>
        <w:ind w:firstLine="640" w:firstLineChars="200"/>
        <w:rPr>
          <w:rFonts w:ascii="Times New Roman" w:hAnsi="Times New Roman" w:eastAsia="仿宋"/>
          <w:sz w:val="32"/>
          <w:szCs w:val="32"/>
        </w:rPr>
      </w:pPr>
      <w:r>
        <w:rPr>
          <w:rFonts w:ascii="Times New Roman" w:hAnsi="Times New Roman" w:eastAsia="仿宋"/>
          <w:sz w:val="32"/>
          <w:szCs w:val="32"/>
        </w:rPr>
        <w:t>服务。</w:t>
      </w:r>
    </w:p>
    <w:p w14:paraId="4549DD1E">
      <w:pPr>
        <w:spacing w:line="600" w:lineRule="exact"/>
        <w:rPr>
          <w:rFonts w:ascii="Times New Roman" w:hAnsi="Times New Roman" w:eastAsia="黑体"/>
          <w:sz w:val="32"/>
          <w:szCs w:val="32"/>
        </w:rPr>
      </w:pPr>
      <w:r>
        <w:rPr>
          <w:rFonts w:ascii="Times New Roman" w:hAnsi="Times New Roman" w:eastAsia="黑体"/>
          <w:sz w:val="32"/>
          <w:szCs w:val="32"/>
        </w:rPr>
        <w:t>三、项目总概况</w:t>
      </w:r>
    </w:p>
    <w:p w14:paraId="48C44E47">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本项目主要对南宁市4个</w:t>
      </w:r>
      <w:r>
        <w:rPr>
          <w:rFonts w:hint="eastAsia" w:ascii="Times New Roman" w:hAnsi="Times New Roman" w:eastAsia="仿宋"/>
          <w:sz w:val="32"/>
          <w:szCs w:val="32"/>
          <w:lang w:eastAsia="zh-CN"/>
        </w:rPr>
        <w:t>降雨</w:t>
      </w:r>
      <w:r>
        <w:rPr>
          <w:rFonts w:hint="eastAsia" w:ascii="Times New Roman" w:hAnsi="Times New Roman" w:eastAsia="仿宋"/>
          <w:sz w:val="32"/>
          <w:szCs w:val="32"/>
        </w:rPr>
        <w:t>监测站点，其中国控站点2个：市监测站（位于南宁市民主路45号南宁生态环境监测中心院内）、新江镇（位于南宁市邕宁区新江镇人民政府院内）；区控站点2个：青山（南宁市竹溪大道33号南宁市生态环境局院内）、罗文（位于南宁市西乡塘区老口水站院内（大学西路161号万科悦湾附近））的运行维护，维护对象包括</w:t>
      </w:r>
      <w:r>
        <w:rPr>
          <w:rFonts w:hint="eastAsia" w:ascii="Times New Roman" w:hAnsi="Times New Roman" w:eastAsia="仿宋"/>
          <w:sz w:val="32"/>
          <w:szCs w:val="32"/>
          <w:lang w:eastAsia="zh-CN"/>
        </w:rPr>
        <w:t>降雨</w:t>
      </w:r>
      <w:r>
        <w:rPr>
          <w:rFonts w:hint="eastAsia" w:ascii="Times New Roman" w:hAnsi="Times New Roman" w:eastAsia="仿宋"/>
          <w:sz w:val="32"/>
          <w:szCs w:val="32"/>
        </w:rPr>
        <w:t>监测站点内所有监测仪器、辅助设备、站点设施、监测数据的传输等，负责南宁市4个</w:t>
      </w:r>
      <w:r>
        <w:rPr>
          <w:rFonts w:hint="eastAsia" w:ascii="Times New Roman" w:hAnsi="Times New Roman" w:eastAsia="仿宋"/>
          <w:sz w:val="32"/>
          <w:szCs w:val="32"/>
          <w:lang w:eastAsia="zh-CN"/>
        </w:rPr>
        <w:t>降雨</w:t>
      </w:r>
      <w:r>
        <w:rPr>
          <w:rFonts w:hint="eastAsia" w:ascii="Times New Roman" w:hAnsi="Times New Roman" w:eastAsia="仿宋"/>
          <w:sz w:val="32"/>
          <w:szCs w:val="32"/>
        </w:rPr>
        <w:t>监测站点</w:t>
      </w:r>
      <w:r>
        <w:rPr>
          <w:rFonts w:hint="eastAsia" w:ascii="Times New Roman" w:hAnsi="Times New Roman" w:eastAsia="仿宋"/>
          <w:sz w:val="32"/>
          <w:szCs w:val="32"/>
          <w:lang w:eastAsia="zh-CN"/>
        </w:rPr>
        <w:t>降雨</w:t>
      </w:r>
      <w:r>
        <w:rPr>
          <w:rFonts w:hint="eastAsia" w:ascii="Times New Roman" w:hAnsi="Times New Roman" w:eastAsia="仿宋"/>
          <w:sz w:val="32"/>
          <w:szCs w:val="32"/>
        </w:rPr>
        <w:t>样品的采送样工作等。</w:t>
      </w:r>
    </w:p>
    <w:p w14:paraId="5A837FA3">
      <w:pPr>
        <w:adjustRightInd w:val="0"/>
        <w:spacing w:line="600" w:lineRule="exact"/>
        <w:ind w:firstLine="640" w:firstLineChars="200"/>
        <w:jc w:val="left"/>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运维期限：1年。</w:t>
      </w:r>
    </w:p>
    <w:p w14:paraId="5B4B2459">
      <w:pPr>
        <w:adjustRightInd w:val="0"/>
        <w:spacing w:line="600" w:lineRule="exact"/>
        <w:ind w:firstLine="640" w:firstLineChars="200"/>
        <w:jc w:val="left"/>
        <w:rPr>
          <w:rFonts w:ascii="Times New Roman" w:hAnsi="Times New Roman" w:eastAsia="仿宋"/>
          <w:sz w:val="32"/>
          <w:szCs w:val="32"/>
        </w:rPr>
      </w:pPr>
      <w:r>
        <w:rPr>
          <w:rFonts w:ascii="Times New Roman" w:hAnsi="Times New Roman" w:eastAsia="仿宋" w:cs="Times New Roman"/>
          <w:sz w:val="32"/>
          <w:szCs w:val="32"/>
        </w:rPr>
        <w:t>服务</w:t>
      </w:r>
      <w:r>
        <w:rPr>
          <w:rFonts w:hint="eastAsia" w:ascii="Times New Roman" w:hAnsi="Times New Roman" w:eastAsia="仿宋" w:cs="Times New Roman"/>
          <w:sz w:val="32"/>
          <w:szCs w:val="32"/>
          <w:lang w:val="en-US" w:eastAsia="zh-CN"/>
        </w:rPr>
        <w:t>时间：</w:t>
      </w:r>
      <w:r>
        <w:rPr>
          <w:rFonts w:hint="eastAsia" w:ascii="Times New Roman" w:hAnsi="Times New Roman" w:eastAsia="仿宋" w:cs="Times New Roman"/>
          <w:sz w:val="32"/>
          <w:szCs w:val="32"/>
        </w:rPr>
        <w:t>2025年</w:t>
      </w:r>
      <w:r>
        <w:rPr>
          <w:rFonts w:hint="eastAsia" w:ascii="Times New Roman" w:hAnsi="Times New Roman" w:eastAsia="仿宋" w:cs="Times New Roman"/>
          <w:sz w:val="32"/>
          <w:szCs w:val="32"/>
          <w:lang w:val="en-US" w:eastAsia="zh-CN"/>
        </w:rPr>
        <w:t>5</w:t>
      </w:r>
      <w:r>
        <w:rPr>
          <w:rFonts w:hint="eastAsia" w:ascii="Times New Roman" w:hAnsi="Times New Roman" w:eastAsia="仿宋" w:cs="Times New Roman"/>
          <w:sz w:val="32"/>
          <w:szCs w:val="32"/>
        </w:rPr>
        <w:t>月</w:t>
      </w:r>
      <w:r>
        <w:rPr>
          <w:rFonts w:hint="eastAsia" w:ascii="Times New Roman" w:hAnsi="Times New Roman" w:eastAsia="仿宋" w:cs="Times New Roman"/>
          <w:sz w:val="32"/>
          <w:szCs w:val="32"/>
          <w:lang w:val="en-US" w:eastAsia="zh-CN"/>
        </w:rPr>
        <w:t>13</w:t>
      </w:r>
      <w:r>
        <w:rPr>
          <w:rFonts w:hint="eastAsia" w:ascii="Times New Roman" w:hAnsi="Times New Roman" w:eastAsia="仿宋" w:cs="Times New Roman"/>
          <w:sz w:val="32"/>
          <w:szCs w:val="32"/>
        </w:rPr>
        <w:t>日至2026年</w:t>
      </w:r>
      <w:r>
        <w:rPr>
          <w:rFonts w:hint="eastAsia" w:ascii="Times New Roman" w:hAnsi="Times New Roman" w:eastAsia="仿宋" w:cs="Times New Roman"/>
          <w:sz w:val="32"/>
          <w:szCs w:val="32"/>
          <w:lang w:val="en-US" w:eastAsia="zh-CN"/>
        </w:rPr>
        <w:t>5</w:t>
      </w:r>
      <w:r>
        <w:rPr>
          <w:rFonts w:hint="eastAsia" w:ascii="Times New Roman" w:hAnsi="Times New Roman" w:eastAsia="仿宋" w:cs="Times New Roman"/>
          <w:sz w:val="32"/>
          <w:szCs w:val="32"/>
        </w:rPr>
        <w:t>月</w:t>
      </w:r>
      <w:r>
        <w:rPr>
          <w:rFonts w:hint="eastAsia" w:ascii="Times New Roman" w:hAnsi="Times New Roman" w:eastAsia="仿宋" w:cs="Times New Roman"/>
          <w:sz w:val="32"/>
          <w:szCs w:val="32"/>
          <w:lang w:val="en-US" w:eastAsia="zh-CN"/>
        </w:rPr>
        <w:t>12</w:t>
      </w:r>
      <w:r>
        <w:rPr>
          <w:rFonts w:hint="eastAsia" w:ascii="Times New Roman" w:hAnsi="Times New Roman" w:eastAsia="仿宋" w:cs="Times New Roman"/>
          <w:sz w:val="32"/>
          <w:szCs w:val="32"/>
        </w:rPr>
        <w:t>日</w:t>
      </w:r>
    </w:p>
    <w:p w14:paraId="59F4547D">
      <w:pPr>
        <w:spacing w:line="600" w:lineRule="exact"/>
        <w:rPr>
          <w:rFonts w:ascii="Times New Roman" w:hAnsi="Times New Roman" w:eastAsia="黑体"/>
          <w:sz w:val="32"/>
          <w:szCs w:val="32"/>
        </w:rPr>
      </w:pPr>
      <w:r>
        <w:rPr>
          <w:rFonts w:hint="eastAsia" w:ascii="Times New Roman" w:hAnsi="Times New Roman" w:eastAsia="黑体"/>
          <w:sz w:val="32"/>
          <w:szCs w:val="32"/>
        </w:rPr>
        <w:t>四、项目预算金额</w:t>
      </w:r>
    </w:p>
    <w:p w14:paraId="3DB4AA48">
      <w:pPr>
        <w:adjustRightInd w:val="0"/>
        <w:spacing w:line="600" w:lineRule="exact"/>
        <w:ind w:firstLine="640" w:firstLineChars="200"/>
        <w:jc w:val="left"/>
        <w:rPr>
          <w:rFonts w:ascii="Times New Roman" w:hAnsi="Times New Roman" w:eastAsia="仿宋"/>
          <w:sz w:val="32"/>
          <w:szCs w:val="32"/>
        </w:rPr>
      </w:pPr>
      <w:r>
        <w:rPr>
          <w:rFonts w:ascii="Times New Roman" w:hAnsi="Times New Roman" w:eastAsia="仿宋"/>
          <w:sz w:val="32"/>
          <w:szCs w:val="32"/>
        </w:rPr>
        <w:t>项目采购金额为</w:t>
      </w:r>
      <w:r>
        <w:rPr>
          <w:rFonts w:hint="eastAsia" w:ascii="Times New Roman" w:hAnsi="Times New Roman" w:eastAsia="仿宋"/>
          <w:sz w:val="32"/>
          <w:szCs w:val="32"/>
          <w:lang w:val="en-US" w:eastAsia="zh-CN"/>
        </w:rPr>
        <w:t>20</w:t>
      </w:r>
      <w:r>
        <w:rPr>
          <w:rFonts w:ascii="Times New Roman" w:hAnsi="Times New Roman" w:eastAsia="仿宋"/>
          <w:sz w:val="32"/>
          <w:szCs w:val="32"/>
        </w:rPr>
        <w:t>万元。</w:t>
      </w:r>
    </w:p>
    <w:p w14:paraId="56F55296">
      <w:pPr>
        <w:spacing w:line="600" w:lineRule="exact"/>
        <w:jc w:val="left"/>
        <w:rPr>
          <w:rFonts w:ascii="Times New Roman" w:hAnsi="Times New Roman" w:eastAsia="黑体"/>
          <w:sz w:val="32"/>
          <w:szCs w:val="32"/>
        </w:rPr>
      </w:pPr>
      <w:r>
        <w:rPr>
          <w:rFonts w:hint="eastAsia" w:ascii="Times New Roman" w:hAnsi="Times New Roman" w:eastAsia="黑体"/>
          <w:sz w:val="32"/>
          <w:szCs w:val="32"/>
        </w:rPr>
        <w:t>五</w:t>
      </w:r>
      <w:r>
        <w:rPr>
          <w:rFonts w:ascii="Times New Roman" w:hAnsi="Times New Roman" w:eastAsia="黑体"/>
          <w:sz w:val="32"/>
          <w:szCs w:val="32"/>
        </w:rPr>
        <w:t>、运维服务内容及具体要求</w:t>
      </w:r>
    </w:p>
    <w:p w14:paraId="7D7B6387">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（一）方法依据</w:t>
      </w:r>
    </w:p>
    <w:p w14:paraId="7C01FC54">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《酸沉降监测技术规范》（HJ/T 165-2004）、《大气降水采样和分析方法总则》（GB/T 13580.1-1992）、《大气降水样品采集与保存》（GB/T 13580.2-1992）、《大气降水电导率的测定方法》（GB/T 13580.3-1992）、《大气降水pH值的测定电极法》（GB/T 13580.4-1992）、《降雨自动监测仪技术要求及检测方法》（HJ/T 175-2005）、《广西壮族自治区大气降水自动监测技术方案》（详见附件1</w:t>
      </w:r>
      <w:r>
        <w:rPr>
          <w:rFonts w:hint="eastAsia" w:ascii="Times New Roman" w:hAnsi="Times New Roman" w:eastAsia="仿宋"/>
          <w:sz w:val="32"/>
          <w:szCs w:val="32"/>
          <w:lang w:val="en-US" w:eastAsia="zh-CN"/>
        </w:rPr>
        <w:t>-1</w:t>
      </w:r>
      <w:r>
        <w:rPr>
          <w:rFonts w:hint="eastAsia" w:ascii="Times New Roman" w:hAnsi="Times New Roman" w:eastAsia="仿宋"/>
          <w:sz w:val="32"/>
          <w:szCs w:val="32"/>
        </w:rPr>
        <w:t>）；</w:t>
      </w:r>
    </w:p>
    <w:p w14:paraId="27E32351">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（二）具体工作内容</w:t>
      </w:r>
    </w:p>
    <w:p w14:paraId="7789A3CF">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1.按照方法依据的要求清洗采样瓶（仪器自带），晾干备用；准备冷藏箱（供应商自备）、样品标签（采购方提供）、采样交接记录、维护记录、维修记录、仪器校准记录、质控记录、巡查记录等（采购方提供电子模板）。</w:t>
      </w:r>
    </w:p>
    <w:p w14:paraId="05A4EBB1">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2.按规范收集大气降水样品，填写样品标签、采样/送样交接记录表；查看仪器状态，根据《广西壮族自治区大气降水自动监测技术方案》（详见附件1</w:t>
      </w:r>
      <w:r>
        <w:rPr>
          <w:rFonts w:hint="eastAsia" w:ascii="Times New Roman" w:hAnsi="Times New Roman" w:eastAsia="仿宋"/>
          <w:sz w:val="32"/>
          <w:szCs w:val="32"/>
          <w:lang w:val="en-US" w:eastAsia="zh-CN"/>
        </w:rPr>
        <w:t>-1</w:t>
      </w:r>
      <w:r>
        <w:rPr>
          <w:rFonts w:hint="eastAsia" w:ascii="Times New Roman" w:hAnsi="Times New Roman" w:eastAsia="仿宋"/>
          <w:sz w:val="32"/>
          <w:szCs w:val="32"/>
        </w:rPr>
        <w:t>）确定pH值、电导率、降雨量是否需要实验室分析；观察周围环境，是否存在变化和明显污染源；将采集的样品、采样仪器现场拍照，照片须有经纬度及采样时间的水印。</w:t>
      </w:r>
    </w:p>
    <w:p w14:paraId="7D42652A">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3.每天登录广西壮族自治区酸雨监测质量控制系统查看4个降雨监测站点的pH值、电导率、降雨量等数据。</w:t>
      </w:r>
    </w:p>
    <w:p w14:paraId="001F4668">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4.每个站点至少每两周进行1次在线设备pH值和电导率校准（校准要求详见附件1</w:t>
      </w:r>
      <w:r>
        <w:rPr>
          <w:rFonts w:hint="eastAsia" w:ascii="Times New Roman" w:hAnsi="Times New Roman" w:eastAsia="仿宋"/>
          <w:sz w:val="32"/>
          <w:szCs w:val="32"/>
          <w:lang w:val="en-US" w:eastAsia="zh-CN"/>
        </w:rPr>
        <w:t>-1</w:t>
      </w:r>
      <w:r>
        <w:rPr>
          <w:rFonts w:hint="eastAsia" w:ascii="Times New Roman" w:hAnsi="Times New Roman" w:eastAsia="仿宋"/>
          <w:sz w:val="32"/>
          <w:szCs w:val="32"/>
        </w:rPr>
        <w:t>）。完成校准工作后，将校准原始记录表格及校准现场照片发采购方备案。</w:t>
      </w:r>
    </w:p>
    <w:p w14:paraId="1F87D9E5">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5.每个站点每月至少采集一次样品空白（做法要求详见附件1</w:t>
      </w:r>
      <w:r>
        <w:rPr>
          <w:rFonts w:hint="eastAsia" w:ascii="Times New Roman" w:hAnsi="Times New Roman" w:eastAsia="仿宋"/>
          <w:sz w:val="32"/>
          <w:szCs w:val="32"/>
          <w:lang w:val="en-US" w:eastAsia="zh-CN"/>
        </w:rPr>
        <w:t>-1</w:t>
      </w:r>
      <w:r>
        <w:rPr>
          <w:rFonts w:hint="eastAsia" w:ascii="Times New Roman" w:hAnsi="Times New Roman" w:eastAsia="仿宋"/>
          <w:sz w:val="32"/>
          <w:szCs w:val="32"/>
        </w:rPr>
        <w:t>）。</w:t>
      </w:r>
    </w:p>
    <w:p w14:paraId="06B12A5E">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6.每个站点每月至少进行一次实验室与在线设备pH值比对（比对要求详见附件1</w:t>
      </w:r>
      <w:r>
        <w:rPr>
          <w:rFonts w:hint="eastAsia" w:ascii="Times New Roman" w:hAnsi="Times New Roman" w:eastAsia="仿宋"/>
          <w:sz w:val="32"/>
          <w:szCs w:val="32"/>
          <w:lang w:val="en-US" w:eastAsia="zh-CN"/>
        </w:rPr>
        <w:t>-1</w:t>
      </w:r>
      <w:r>
        <w:rPr>
          <w:rFonts w:hint="eastAsia" w:ascii="Times New Roman" w:hAnsi="Times New Roman" w:eastAsia="仿宋"/>
          <w:sz w:val="32"/>
          <w:szCs w:val="32"/>
        </w:rPr>
        <w:t>）。</w:t>
      </w:r>
    </w:p>
    <w:p w14:paraId="40A0E82F">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7.在每月初（第一场雨之前）尽快分析采购方下发的质控考核样并及时向采购方报告结果。并在每月pH值自动监测与实验室监测比对未通过时，及时分析补发的质控考核样。若质控样考核未通过应及时排查原因，校准仪器后再次监测质控样，直到合格为止。</w:t>
      </w:r>
    </w:p>
    <w:p w14:paraId="4C80A12A">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8.每个站点每季度至少清洗一次仪器自带的集雨桶和雨量桶。</w:t>
      </w:r>
    </w:p>
    <w:p w14:paraId="3232B329">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9.每个站点每季度至少采集一个全程序空白样品（要求见附件1</w:t>
      </w:r>
      <w:r>
        <w:rPr>
          <w:rFonts w:hint="eastAsia" w:ascii="Times New Roman" w:hAnsi="Times New Roman" w:eastAsia="仿宋"/>
          <w:sz w:val="32"/>
          <w:szCs w:val="32"/>
          <w:lang w:val="en-US" w:eastAsia="zh-CN"/>
        </w:rPr>
        <w:t>-1</w:t>
      </w:r>
      <w:r>
        <w:rPr>
          <w:rFonts w:hint="eastAsia" w:ascii="Times New Roman" w:hAnsi="Times New Roman" w:eastAsia="仿宋"/>
          <w:sz w:val="32"/>
          <w:szCs w:val="32"/>
        </w:rPr>
        <w:t>）。</w:t>
      </w:r>
    </w:p>
    <w:p w14:paraId="67E50D11">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10.因停电造成仪器无法采集样品，若该点位有备用手工采样器采集的样品，该样品是否由供应商采集送样，由采购方确定，供应商需备注样品性状为“手工采样样品”。</w:t>
      </w:r>
    </w:p>
    <w:p w14:paraId="71C42775">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（三）工作要求</w:t>
      </w:r>
    </w:p>
    <w:p w14:paraId="56D16BD7">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1.每天登录广西壮族自治区酸雨监测质量控制系统查看仪器状态信息、监测数据等信息，拍照或截图上传并填写相关记录。</w:t>
      </w:r>
    </w:p>
    <w:p w14:paraId="12312783">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2.逢雨必采，逢雨必送，每天上午9:00至次日上午9:00的降雨视为一个样品，须在次日15时前送到采购方指定实验室并完成样品交接。因不可抗拒原因造成的样品采集延迟，该次样品仍需送样，并在送样记录单备注延迟原因。</w:t>
      </w:r>
    </w:p>
    <w:p w14:paraId="1D720CAB">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3.运维人员必须按照采购方的要求规范填写样品标签、采样交接记录、维护记录、维修记录、巡查记录等。采样交接记录、仪器校准记录、质控记录及维修记录等应按次提交采购方存档备案；维护记录及巡查记录等按月提交采购方存档备案。</w:t>
      </w:r>
    </w:p>
    <w:p w14:paraId="20744689">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4.广西壮族自治区酸雨监测质量控制系统上降雨监测站点有降雨量数据时，必须到现场。样品不足50mL时，须核实在线数据是否有pH值、电导率、降雨量数据，如数据有效，当次可不送样，仍须拍照给采购方备查。</w:t>
      </w:r>
    </w:p>
    <w:p w14:paraId="53278A72">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5.采样人员在采样现场须拍水印照，样品交接时给接样人员出示手机拍摄的证明照片，证明样品采集的位置，样品的性状。照片水印信息应包括：点位经纬度、点位所在地名称、时间信息。照片内容包括：样品量、样品与仪器的合影、仪器与其周边环境。</w:t>
      </w:r>
    </w:p>
    <w:p w14:paraId="0739EC6C">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6.放置洗涤干净的仪器采样瓶，恢复原始瓶数量。</w:t>
      </w:r>
    </w:p>
    <w:p w14:paraId="0070B90C">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7.瑞士DIGITEL仪器自动换瓶后，无论是否收集到样品，都需要清洗采样瓶。</w:t>
      </w:r>
    </w:p>
    <w:p w14:paraId="47080661">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8.做好4个降雨监测站点的安全保障，并确保仪器设备正常运行。</w:t>
      </w:r>
    </w:p>
    <w:p w14:paraId="477576D6">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9.故障响应时间：当设备出现故障，接到故障通知后，1小时内作出响应，在24小时内到达用户现场，48小时内按国家及行业标准排除故障，并提供7×24小时电话咨询服务。仪器设备故障停机时间应控制在15个自然日内，如遇特殊情况，须同采购人商议解决。</w:t>
      </w:r>
    </w:p>
    <w:p w14:paraId="2DF569A8">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10.定期保养内容包括但不限于系统诊断、添加pH及电导率电极保护液、标定pH及电导率电极、添加清洗液、清洗管路等，该部分耗材、设备清洗用水、实验用水等支出由供应商负责。</w:t>
      </w:r>
    </w:p>
    <w:p w14:paraId="33E006B2">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11.合同期内由供应商负责仪器设备故障的维修，维修内容需经采购人审核确认，产生的维修费用采取由供应商总包方式，全年3万元封顶，超出部分由采购方承担。</w:t>
      </w:r>
    </w:p>
    <w:p w14:paraId="15ED3EC0">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（四）人员配备</w:t>
      </w:r>
    </w:p>
    <w:p w14:paraId="3F1EE76B">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项目运维人员至少2名。运维期间，运维人员离职须提前10日报告采购人，新补充的运维人员应具备同等资质。</w:t>
      </w:r>
    </w:p>
    <w:p w14:paraId="29F24E80">
      <w:pPr>
        <w:adjustRightInd w:val="0"/>
        <w:spacing w:line="600" w:lineRule="exact"/>
        <w:ind w:firstLine="640" w:firstLineChars="200"/>
        <w:jc w:val="left"/>
        <w:rPr>
          <w:rFonts w:hint="default" w:ascii="Times New Roman" w:hAnsi="Times New Roman" w:eastAsia="仿宋"/>
          <w:sz w:val="32"/>
          <w:szCs w:val="32"/>
          <w:lang w:val="en-US" w:eastAsia="zh-CN"/>
        </w:rPr>
      </w:pPr>
      <w:r>
        <w:rPr>
          <w:rFonts w:hint="eastAsia" w:ascii="Times New Roman" w:hAnsi="Times New Roman" w:eastAsia="仿宋"/>
          <w:sz w:val="32"/>
          <w:szCs w:val="32"/>
          <w:lang w:val="en-US" w:eastAsia="zh-CN"/>
        </w:rPr>
        <w:t>设备清单详见表1。</w:t>
      </w:r>
    </w:p>
    <w:p w14:paraId="7C36649F">
      <w:pPr>
        <w:jc w:val="center"/>
        <w:rPr>
          <w:rFonts w:ascii="Times New Roman" w:hAnsi="Times New Roman" w:eastAsia="黑体" w:cs="Times New Roman"/>
          <w:sz w:val="32"/>
          <w:szCs w:val="32"/>
        </w:rPr>
      </w:pPr>
      <w:r>
        <w:rPr>
          <w:rFonts w:hint="eastAsia" w:ascii="Times New Roman" w:hAnsi="Times New Roman" w:eastAsia="黑体" w:cs="Times New Roman"/>
          <w:sz w:val="32"/>
          <w:szCs w:val="32"/>
          <w:lang w:val="en-US" w:eastAsia="zh-CN"/>
        </w:rPr>
        <w:t xml:space="preserve">表1 </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rPr>
        <w:t>2025年降雨自动监测点自动监测设备清单</w:t>
      </w:r>
    </w:p>
    <w:tbl>
      <w:tblPr>
        <w:tblStyle w:val="9"/>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9"/>
        <w:gridCol w:w="1537"/>
        <w:gridCol w:w="5229"/>
      </w:tblGrid>
      <w:tr w14:paraId="77FF5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519" w:type="dxa"/>
            <w:noWrap/>
            <w:vAlign w:val="center"/>
          </w:tcPr>
          <w:p w14:paraId="023234C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kern w:val="0"/>
                <w:sz w:val="28"/>
                <w:szCs w:val="28"/>
              </w:rPr>
            </w:pPr>
            <w:r>
              <w:rPr>
                <w:rFonts w:hint="eastAsia" w:ascii="仿宋" w:hAnsi="仿宋" w:eastAsia="仿宋" w:cs="仿宋"/>
                <w:b/>
                <w:kern w:val="0"/>
                <w:sz w:val="28"/>
                <w:szCs w:val="28"/>
              </w:rPr>
              <w:t>项目</w:t>
            </w:r>
          </w:p>
        </w:tc>
        <w:tc>
          <w:tcPr>
            <w:tcW w:w="1537" w:type="dxa"/>
            <w:noWrap/>
            <w:vAlign w:val="center"/>
          </w:tcPr>
          <w:p w14:paraId="134BFD5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kern w:val="0"/>
                <w:sz w:val="28"/>
                <w:szCs w:val="28"/>
                <w:lang w:val="en-US" w:eastAsia="zh-CN"/>
              </w:rPr>
            </w:pPr>
            <w:r>
              <w:rPr>
                <w:rFonts w:hint="eastAsia" w:ascii="仿宋" w:hAnsi="仿宋" w:eastAsia="仿宋" w:cs="仿宋"/>
                <w:b/>
                <w:kern w:val="0"/>
                <w:sz w:val="28"/>
                <w:szCs w:val="28"/>
                <w:lang w:val="en-US" w:eastAsia="zh-CN"/>
              </w:rPr>
              <w:t>点位</w:t>
            </w:r>
          </w:p>
        </w:tc>
        <w:tc>
          <w:tcPr>
            <w:tcW w:w="5229" w:type="dxa"/>
            <w:noWrap/>
            <w:vAlign w:val="center"/>
          </w:tcPr>
          <w:p w14:paraId="349C7AF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kern w:val="0"/>
                <w:sz w:val="28"/>
                <w:szCs w:val="28"/>
                <w:lang w:val="en-US" w:eastAsia="zh-CN"/>
              </w:rPr>
            </w:pPr>
            <w:r>
              <w:rPr>
                <w:rFonts w:hint="eastAsia" w:ascii="仿宋" w:hAnsi="仿宋" w:eastAsia="仿宋" w:cs="仿宋"/>
                <w:b/>
                <w:kern w:val="0"/>
                <w:sz w:val="28"/>
                <w:szCs w:val="28"/>
                <w:lang w:val="en-US" w:eastAsia="zh-CN"/>
              </w:rPr>
              <w:t>地点</w:t>
            </w:r>
          </w:p>
        </w:tc>
      </w:tr>
      <w:tr w14:paraId="5D0C4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519" w:type="dxa"/>
            <w:noWrap/>
            <w:vAlign w:val="center"/>
          </w:tcPr>
          <w:p w14:paraId="2BA6778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sz w:val="28"/>
                <w:szCs w:val="28"/>
              </w:rPr>
              <w:t>市监测站</w:t>
            </w:r>
          </w:p>
        </w:tc>
        <w:tc>
          <w:tcPr>
            <w:tcW w:w="1537" w:type="dxa"/>
            <w:noWrap/>
            <w:vAlign w:val="center"/>
          </w:tcPr>
          <w:p w14:paraId="1D390BE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lang w:val="en-US"/>
              </w:rPr>
            </w:pPr>
            <w:r>
              <w:rPr>
                <w:rFonts w:hint="eastAsia" w:ascii="仿宋" w:hAnsi="仿宋" w:eastAsia="仿宋" w:cs="仿宋"/>
                <w:kern w:val="0"/>
                <w:sz w:val="28"/>
                <w:szCs w:val="28"/>
                <w:lang w:val="en-US" w:eastAsia="zh-CN"/>
              </w:rPr>
              <w:t>1个</w:t>
            </w:r>
          </w:p>
        </w:tc>
        <w:tc>
          <w:tcPr>
            <w:tcW w:w="5229" w:type="dxa"/>
            <w:noWrap/>
            <w:vAlign w:val="center"/>
          </w:tcPr>
          <w:p w14:paraId="21239FC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sz w:val="28"/>
                <w:szCs w:val="28"/>
              </w:rPr>
              <w:t>位于南宁市民主路45号南宁生态环境监测中心院内</w:t>
            </w:r>
          </w:p>
        </w:tc>
      </w:tr>
      <w:tr w14:paraId="42211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519" w:type="dxa"/>
            <w:noWrap/>
            <w:vAlign w:val="center"/>
          </w:tcPr>
          <w:p w14:paraId="130A326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sz w:val="28"/>
                <w:szCs w:val="28"/>
              </w:rPr>
              <w:t>新江镇</w:t>
            </w:r>
          </w:p>
        </w:tc>
        <w:tc>
          <w:tcPr>
            <w:tcW w:w="1537" w:type="dxa"/>
            <w:noWrap/>
            <w:vAlign w:val="center"/>
          </w:tcPr>
          <w:p w14:paraId="0B9A670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kern w:val="0"/>
                <w:sz w:val="28"/>
                <w:szCs w:val="28"/>
                <w:lang w:val="en-US" w:eastAsia="zh-CN"/>
              </w:rPr>
              <w:t>1个</w:t>
            </w:r>
          </w:p>
        </w:tc>
        <w:tc>
          <w:tcPr>
            <w:tcW w:w="5229" w:type="dxa"/>
            <w:noWrap/>
            <w:vAlign w:val="center"/>
          </w:tcPr>
          <w:p w14:paraId="10F6897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sz w:val="28"/>
                <w:szCs w:val="28"/>
              </w:rPr>
              <w:t>位于南宁市邕宁区新江镇人民政府院内</w:t>
            </w:r>
          </w:p>
        </w:tc>
      </w:tr>
      <w:tr w14:paraId="697C2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519" w:type="dxa"/>
            <w:noWrap/>
            <w:vAlign w:val="center"/>
          </w:tcPr>
          <w:p w14:paraId="1A2591D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sz w:val="28"/>
                <w:szCs w:val="28"/>
              </w:rPr>
              <w:t>青山</w:t>
            </w:r>
          </w:p>
        </w:tc>
        <w:tc>
          <w:tcPr>
            <w:tcW w:w="1537" w:type="dxa"/>
            <w:noWrap/>
            <w:vAlign w:val="center"/>
          </w:tcPr>
          <w:p w14:paraId="5BEDEFE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kern w:val="0"/>
                <w:sz w:val="28"/>
                <w:szCs w:val="28"/>
                <w:lang w:val="en-US" w:eastAsia="zh-CN"/>
              </w:rPr>
              <w:t>1个</w:t>
            </w:r>
          </w:p>
        </w:tc>
        <w:tc>
          <w:tcPr>
            <w:tcW w:w="5229" w:type="dxa"/>
            <w:noWrap/>
            <w:vAlign w:val="center"/>
          </w:tcPr>
          <w:p w14:paraId="0960882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sz w:val="28"/>
                <w:szCs w:val="28"/>
              </w:rPr>
              <w:t>南宁市竹溪大道33号南宁市生态环境局院内</w:t>
            </w:r>
          </w:p>
        </w:tc>
      </w:tr>
      <w:tr w14:paraId="683A1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519" w:type="dxa"/>
            <w:noWrap/>
            <w:vAlign w:val="center"/>
          </w:tcPr>
          <w:p w14:paraId="435E7B3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sz w:val="28"/>
                <w:szCs w:val="28"/>
              </w:rPr>
              <w:t>罗文</w:t>
            </w:r>
          </w:p>
        </w:tc>
        <w:tc>
          <w:tcPr>
            <w:tcW w:w="1537" w:type="dxa"/>
            <w:noWrap/>
            <w:vAlign w:val="center"/>
          </w:tcPr>
          <w:p w14:paraId="53232D9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kern w:val="0"/>
                <w:sz w:val="28"/>
                <w:szCs w:val="28"/>
                <w:lang w:val="en-US" w:eastAsia="zh-CN"/>
              </w:rPr>
              <w:t>1个</w:t>
            </w:r>
          </w:p>
        </w:tc>
        <w:tc>
          <w:tcPr>
            <w:tcW w:w="5229" w:type="dxa"/>
            <w:noWrap/>
            <w:vAlign w:val="center"/>
          </w:tcPr>
          <w:p w14:paraId="47AA3B3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8"/>
                <w:szCs w:val="28"/>
              </w:rPr>
            </w:pPr>
            <w:r>
              <w:rPr>
                <w:rFonts w:hint="eastAsia" w:ascii="仿宋" w:hAnsi="仿宋" w:eastAsia="仿宋" w:cs="仿宋"/>
                <w:sz w:val="28"/>
                <w:szCs w:val="28"/>
              </w:rPr>
              <w:t>位于南宁市西乡塘区老口水站院内（大学西路161号万科悦湾附近）</w:t>
            </w:r>
          </w:p>
        </w:tc>
      </w:tr>
    </w:tbl>
    <w:p w14:paraId="7FC79940">
      <w:pPr>
        <w:spacing w:line="600" w:lineRule="exact"/>
        <w:rPr>
          <w:rFonts w:ascii="Times New Roman" w:hAnsi="Times New Roman" w:eastAsia="黑体"/>
          <w:sz w:val="32"/>
          <w:szCs w:val="32"/>
        </w:rPr>
      </w:pPr>
      <w:r>
        <w:rPr>
          <w:rFonts w:hint="eastAsia" w:ascii="Times New Roman" w:hAnsi="Times New Roman" w:eastAsia="黑体"/>
          <w:sz w:val="32"/>
          <w:szCs w:val="32"/>
        </w:rPr>
        <w:t>六</w:t>
      </w:r>
      <w:r>
        <w:rPr>
          <w:rFonts w:ascii="Times New Roman" w:hAnsi="Times New Roman" w:eastAsia="黑体"/>
          <w:sz w:val="32"/>
          <w:szCs w:val="32"/>
        </w:rPr>
        <w:t>、考核和付款</w:t>
      </w:r>
    </w:p>
    <w:p w14:paraId="34884FEE">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一）考核要求：采购人按附件2进行考核。采购人对成交供应商进行不少于4次考核，并根据每个阶段的考核结果分别支付相应的运维服务费。考核得分≥90分的不扣款；90分＞考核得分≥60分的，每低1分扣除当期合同款的1%；＜60分的不支付当期合同款，解除合同关系并要求中标供应商退回预付款。</w:t>
      </w:r>
    </w:p>
    <w:p w14:paraId="180FBB45">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（二）付款方式：</w:t>
      </w:r>
    </w:p>
    <w:p w14:paraId="2B5783E8">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（1）预付款：合同签订后，30日内支付合同总额20%预付款。</w:t>
      </w:r>
    </w:p>
    <w:p w14:paraId="399F7A97">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2）剩余80%合同款：根据每个阶段的考核结果分别支付相应的运维服务费，分别是：2025年6月、9月、12月以及2026年4月各支付一次，发生扣款的在当次结算时予以扣除（2026年运维服务费按工作考核结果，待财政下达该项预算指标后，进行支付）。</w:t>
      </w:r>
    </w:p>
    <w:p w14:paraId="6BBE7757">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采购人收到供应商提供当次付款金额的发票和请款函后10个工作日内完成支付。</w:t>
      </w:r>
    </w:p>
    <w:p w14:paraId="487564DB">
      <w:pPr>
        <w:adjustRightInd w:val="0"/>
        <w:spacing w:line="600" w:lineRule="exact"/>
        <w:ind w:firstLine="640" w:firstLineChars="200"/>
        <w:jc w:val="left"/>
        <w:rPr>
          <w:rFonts w:hint="eastAsia" w:ascii="Times New Roman" w:hAnsi="Times New Roman" w:eastAsia="仿宋"/>
          <w:sz w:val="32"/>
          <w:szCs w:val="32"/>
        </w:rPr>
      </w:pPr>
      <w:r>
        <w:rPr>
          <w:rFonts w:hint="eastAsia" w:ascii="Times New Roman" w:hAnsi="Times New Roman" w:eastAsia="仿宋"/>
          <w:sz w:val="32"/>
          <w:szCs w:val="32"/>
        </w:rPr>
        <w:t>考核时间、时段、服务金额及支付依据见表</w:t>
      </w:r>
      <w:r>
        <w:rPr>
          <w:rFonts w:hint="eastAsia" w:ascii="Times New Roman" w:hAnsi="Times New Roman" w:eastAsia="仿宋"/>
          <w:sz w:val="32"/>
          <w:szCs w:val="32"/>
          <w:lang w:val="en-US" w:eastAsia="zh-CN"/>
        </w:rPr>
        <w:t>2</w:t>
      </w:r>
      <w:r>
        <w:rPr>
          <w:rFonts w:hint="eastAsia" w:ascii="Times New Roman" w:hAnsi="Times New Roman" w:eastAsia="仿宋"/>
          <w:sz w:val="32"/>
          <w:szCs w:val="32"/>
        </w:rPr>
        <w:t>。考核总分为100分，运维考核指标及扣分标准见附表。</w:t>
      </w:r>
    </w:p>
    <w:p w14:paraId="4E789F62">
      <w:pPr>
        <w:spacing w:line="600" w:lineRule="exact"/>
        <w:jc w:val="center"/>
        <w:rPr>
          <w:rFonts w:ascii="Times New Roman" w:hAnsi="Times New Roman" w:eastAsia="黑体" w:cs="Times New Roman"/>
          <w:sz w:val="32"/>
          <w:szCs w:val="32"/>
        </w:rPr>
      </w:pPr>
      <w:r>
        <w:rPr>
          <w:rFonts w:ascii="Times New Roman" w:hAnsi="Times New Roman" w:eastAsia="黑体" w:cs="Times New Roman"/>
          <w:sz w:val="32"/>
          <w:szCs w:val="32"/>
        </w:rPr>
        <w:t>表</w:t>
      </w:r>
      <w:r>
        <w:rPr>
          <w:rFonts w:hint="eastAsia" w:ascii="Times New Roman" w:hAnsi="Times New Roman" w:eastAsia="黑体" w:cs="Times New Roman"/>
          <w:sz w:val="32"/>
          <w:szCs w:val="32"/>
          <w:lang w:val="en-US" w:eastAsia="zh-CN"/>
        </w:rPr>
        <w:t>2</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lang w:val="en-US" w:eastAsia="zh-CN"/>
        </w:rPr>
        <w:t>考核时间、时段、服务金额及支付依据</w:t>
      </w:r>
    </w:p>
    <w:tbl>
      <w:tblPr>
        <w:tblStyle w:val="9"/>
        <w:tblW w:w="103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44"/>
        <w:gridCol w:w="2224"/>
        <w:gridCol w:w="2108"/>
        <w:gridCol w:w="1276"/>
        <w:gridCol w:w="2268"/>
        <w:gridCol w:w="2008"/>
      </w:tblGrid>
      <w:tr w14:paraId="34D7D2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8" w:hRule="atLeast"/>
          <w:jc w:val="center"/>
        </w:trPr>
        <w:tc>
          <w:tcPr>
            <w:tcW w:w="444" w:type="dxa"/>
            <w:vAlign w:val="center"/>
          </w:tcPr>
          <w:p w14:paraId="04876492">
            <w:pPr>
              <w:snapToGrid w:val="0"/>
              <w:jc w:val="center"/>
              <w:rPr>
                <w:rFonts w:ascii="Times New Roman" w:hAnsi="Times New Roman" w:eastAsia="仿宋" w:cs="Times New Roman"/>
                <w:b/>
                <w:sz w:val="22"/>
                <w:szCs w:val="21"/>
              </w:rPr>
            </w:pPr>
            <w:r>
              <w:rPr>
                <w:rFonts w:ascii="Times New Roman" w:hAnsi="Times New Roman" w:eastAsia="仿宋" w:cs="Times New Roman"/>
                <w:b/>
                <w:sz w:val="22"/>
                <w:szCs w:val="21"/>
              </w:rPr>
              <w:t>序号</w:t>
            </w:r>
          </w:p>
        </w:tc>
        <w:tc>
          <w:tcPr>
            <w:tcW w:w="2224" w:type="dxa"/>
            <w:vAlign w:val="center"/>
          </w:tcPr>
          <w:p w14:paraId="5929F314">
            <w:pPr>
              <w:snapToGrid w:val="0"/>
              <w:jc w:val="center"/>
              <w:rPr>
                <w:rFonts w:ascii="Times New Roman" w:hAnsi="Times New Roman" w:eastAsia="仿宋" w:cs="Times New Roman"/>
                <w:b/>
                <w:sz w:val="22"/>
                <w:szCs w:val="21"/>
              </w:rPr>
            </w:pPr>
            <w:r>
              <w:rPr>
                <w:rFonts w:ascii="Times New Roman" w:hAnsi="Times New Roman" w:eastAsia="仿宋" w:cs="Times New Roman"/>
                <w:b/>
                <w:sz w:val="22"/>
                <w:szCs w:val="21"/>
              </w:rPr>
              <w:t>考核时间</w:t>
            </w:r>
          </w:p>
        </w:tc>
        <w:tc>
          <w:tcPr>
            <w:tcW w:w="2108" w:type="dxa"/>
            <w:vAlign w:val="center"/>
          </w:tcPr>
          <w:p w14:paraId="395F2F64">
            <w:pPr>
              <w:snapToGrid w:val="0"/>
              <w:jc w:val="center"/>
              <w:rPr>
                <w:rFonts w:ascii="Times New Roman" w:hAnsi="Times New Roman" w:eastAsia="仿宋" w:cs="Times New Roman"/>
                <w:b/>
                <w:sz w:val="22"/>
                <w:szCs w:val="21"/>
              </w:rPr>
            </w:pPr>
            <w:r>
              <w:rPr>
                <w:rFonts w:ascii="Times New Roman" w:hAnsi="Times New Roman" w:eastAsia="仿宋" w:cs="Times New Roman"/>
                <w:b/>
                <w:sz w:val="22"/>
                <w:szCs w:val="21"/>
              </w:rPr>
              <w:t>考核时段</w:t>
            </w:r>
          </w:p>
        </w:tc>
        <w:tc>
          <w:tcPr>
            <w:tcW w:w="1276" w:type="dxa"/>
            <w:vAlign w:val="center"/>
          </w:tcPr>
          <w:p w14:paraId="13A9E31A">
            <w:pPr>
              <w:snapToGrid w:val="0"/>
              <w:jc w:val="center"/>
              <w:rPr>
                <w:rFonts w:ascii="Times New Roman" w:hAnsi="Times New Roman" w:eastAsia="仿宋" w:cs="Times New Roman"/>
                <w:b/>
                <w:sz w:val="22"/>
                <w:szCs w:val="21"/>
              </w:rPr>
            </w:pPr>
            <w:r>
              <w:rPr>
                <w:rFonts w:ascii="Times New Roman" w:hAnsi="Times New Roman" w:eastAsia="仿宋" w:cs="Times New Roman"/>
                <w:b/>
                <w:sz w:val="22"/>
                <w:szCs w:val="21"/>
              </w:rPr>
              <w:t>考核/服务内容</w:t>
            </w:r>
          </w:p>
        </w:tc>
        <w:tc>
          <w:tcPr>
            <w:tcW w:w="2268" w:type="dxa"/>
            <w:vAlign w:val="center"/>
          </w:tcPr>
          <w:p w14:paraId="777A12C4">
            <w:pPr>
              <w:snapToGrid w:val="0"/>
              <w:jc w:val="center"/>
              <w:rPr>
                <w:rFonts w:ascii="Times New Roman" w:hAnsi="Times New Roman" w:eastAsia="仿宋" w:cs="Times New Roman"/>
                <w:b/>
                <w:sz w:val="22"/>
                <w:szCs w:val="21"/>
              </w:rPr>
            </w:pPr>
            <w:r>
              <w:rPr>
                <w:rFonts w:ascii="Times New Roman" w:hAnsi="Times New Roman" w:eastAsia="仿宋" w:cs="Times New Roman"/>
                <w:b/>
                <w:sz w:val="22"/>
                <w:szCs w:val="21"/>
              </w:rPr>
              <w:t>应支付金额</w:t>
            </w:r>
          </w:p>
          <w:p w14:paraId="212EDD7E">
            <w:pPr>
              <w:snapToGrid w:val="0"/>
              <w:jc w:val="center"/>
              <w:rPr>
                <w:rFonts w:ascii="Times New Roman" w:hAnsi="Times New Roman" w:eastAsia="仿宋" w:cs="Times New Roman"/>
                <w:b/>
                <w:sz w:val="22"/>
                <w:szCs w:val="21"/>
              </w:rPr>
            </w:pPr>
            <w:r>
              <w:rPr>
                <w:rFonts w:ascii="Times New Roman" w:hAnsi="Times New Roman" w:eastAsia="仿宋" w:cs="Times New Roman"/>
                <w:sz w:val="22"/>
                <w:szCs w:val="21"/>
              </w:rPr>
              <w:t>（以合同价为准）</w:t>
            </w:r>
          </w:p>
        </w:tc>
        <w:tc>
          <w:tcPr>
            <w:tcW w:w="2008" w:type="dxa"/>
            <w:vAlign w:val="center"/>
          </w:tcPr>
          <w:p w14:paraId="1DF40105">
            <w:pPr>
              <w:snapToGrid w:val="0"/>
              <w:jc w:val="center"/>
              <w:rPr>
                <w:rFonts w:ascii="Times New Roman" w:hAnsi="Times New Roman" w:eastAsia="仿宋" w:cs="Times New Roman"/>
                <w:b/>
                <w:sz w:val="22"/>
                <w:szCs w:val="21"/>
              </w:rPr>
            </w:pPr>
            <w:r>
              <w:rPr>
                <w:rFonts w:ascii="Times New Roman" w:hAnsi="Times New Roman" w:eastAsia="仿宋" w:cs="Times New Roman"/>
                <w:b/>
                <w:sz w:val="22"/>
                <w:szCs w:val="21"/>
              </w:rPr>
              <w:t>支付依据</w:t>
            </w:r>
          </w:p>
        </w:tc>
      </w:tr>
      <w:tr w14:paraId="34900C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9" w:hRule="atLeast"/>
          <w:jc w:val="center"/>
        </w:trPr>
        <w:tc>
          <w:tcPr>
            <w:tcW w:w="444" w:type="dxa"/>
            <w:vAlign w:val="center"/>
          </w:tcPr>
          <w:p w14:paraId="56C33A64">
            <w:pPr>
              <w:snapToGrid w:val="0"/>
              <w:jc w:val="center"/>
              <w:rPr>
                <w:rFonts w:ascii="Times New Roman" w:hAnsi="Times New Roman" w:eastAsia="仿宋" w:cs="Times New Roman"/>
                <w:sz w:val="21"/>
                <w:szCs w:val="21"/>
              </w:rPr>
            </w:pPr>
            <w:r>
              <w:rPr>
                <w:rFonts w:ascii="Times New Roman" w:hAnsi="Times New Roman" w:eastAsia="仿宋" w:cs="Times New Roman"/>
                <w:sz w:val="21"/>
                <w:szCs w:val="21"/>
              </w:rPr>
              <w:t>1</w:t>
            </w:r>
          </w:p>
        </w:tc>
        <w:tc>
          <w:tcPr>
            <w:tcW w:w="2224" w:type="dxa"/>
            <w:vAlign w:val="center"/>
          </w:tcPr>
          <w:p w14:paraId="1AA3F0F0">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202</w:t>
            </w:r>
            <w:r>
              <w:rPr>
                <w:rFonts w:hint="eastAsia" w:ascii="Times New Roman" w:hAnsi="Times New Roman" w:eastAsia="仿宋" w:cs="Times New Roman"/>
                <w:color w:val="000000" w:themeColor="text1"/>
                <w:sz w:val="22"/>
                <w:szCs w:val="21"/>
                <w14:textFill>
                  <w14:solidFill>
                    <w14:schemeClr w14:val="tx1"/>
                  </w14:solidFill>
                </w14:textFill>
              </w:rPr>
              <w:t>5</w:t>
            </w:r>
            <w:r>
              <w:rPr>
                <w:rFonts w:ascii="Times New Roman" w:hAnsi="Times New Roman" w:eastAsia="仿宋" w:cs="Times New Roman"/>
                <w:color w:val="000000" w:themeColor="text1"/>
                <w:sz w:val="22"/>
                <w:szCs w:val="21"/>
                <w14:textFill>
                  <w14:solidFill>
                    <w14:schemeClr w14:val="tx1"/>
                  </w14:solidFill>
                </w14:textFill>
              </w:rPr>
              <w:t>年6月</w:t>
            </w:r>
            <w:r>
              <w:rPr>
                <w:rFonts w:hint="eastAsia" w:ascii="Times New Roman" w:hAnsi="Times New Roman" w:eastAsia="仿宋" w:cs="Times New Roman"/>
                <w:color w:val="000000" w:themeColor="text1"/>
                <w:sz w:val="22"/>
                <w:szCs w:val="21"/>
                <w:lang w:val="en-US" w:eastAsia="zh-CN"/>
                <w14:textFill>
                  <w14:solidFill>
                    <w14:schemeClr w14:val="tx1"/>
                  </w14:solidFill>
                </w14:textFill>
              </w:rPr>
              <w:t>15</w:t>
            </w:r>
            <w:r>
              <w:rPr>
                <w:rFonts w:ascii="Times New Roman" w:hAnsi="Times New Roman" w:eastAsia="仿宋" w:cs="Times New Roman"/>
                <w:color w:val="000000" w:themeColor="text1"/>
                <w:sz w:val="22"/>
                <w:szCs w:val="21"/>
                <w14:textFill>
                  <w14:solidFill>
                    <w14:schemeClr w14:val="tx1"/>
                  </w14:solidFill>
                </w14:textFill>
              </w:rPr>
              <w:t>日前</w:t>
            </w:r>
          </w:p>
        </w:tc>
        <w:tc>
          <w:tcPr>
            <w:tcW w:w="2108" w:type="dxa"/>
            <w:vAlign w:val="center"/>
          </w:tcPr>
          <w:p w14:paraId="1E5EDC2A">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合同</w:t>
            </w:r>
            <w:r>
              <w:rPr>
                <w:rFonts w:hint="eastAsia" w:ascii="Times New Roman" w:hAnsi="Times New Roman" w:eastAsia="仿宋" w:cs="Times New Roman"/>
                <w:color w:val="000000" w:themeColor="text1"/>
                <w:sz w:val="22"/>
                <w:szCs w:val="21"/>
                <w14:textFill>
                  <w14:solidFill>
                    <w14:schemeClr w14:val="tx1"/>
                  </w14:solidFill>
                </w14:textFill>
              </w:rPr>
              <w:t>生效</w:t>
            </w:r>
            <w:r>
              <w:rPr>
                <w:rFonts w:ascii="Times New Roman" w:hAnsi="Times New Roman" w:eastAsia="仿宋" w:cs="Times New Roman"/>
                <w:color w:val="000000" w:themeColor="text1"/>
                <w:sz w:val="22"/>
                <w:szCs w:val="21"/>
                <w14:textFill>
                  <w14:solidFill>
                    <w14:schemeClr w14:val="tx1"/>
                  </w14:solidFill>
                </w14:textFill>
              </w:rPr>
              <w:t>之日起-202</w:t>
            </w:r>
            <w:r>
              <w:rPr>
                <w:rFonts w:hint="eastAsia" w:ascii="Times New Roman" w:hAnsi="Times New Roman" w:eastAsia="仿宋" w:cs="Times New Roman"/>
                <w:color w:val="000000" w:themeColor="text1"/>
                <w:sz w:val="22"/>
                <w:szCs w:val="21"/>
                <w14:textFill>
                  <w14:solidFill>
                    <w14:schemeClr w14:val="tx1"/>
                  </w14:solidFill>
                </w14:textFill>
              </w:rPr>
              <w:t>5</w:t>
            </w:r>
            <w:r>
              <w:rPr>
                <w:rFonts w:ascii="Times New Roman" w:hAnsi="Times New Roman" w:eastAsia="仿宋" w:cs="Times New Roman"/>
                <w:color w:val="000000" w:themeColor="text1"/>
                <w:sz w:val="22"/>
                <w:szCs w:val="21"/>
                <w14:textFill>
                  <w14:solidFill>
                    <w14:schemeClr w14:val="tx1"/>
                  </w14:solidFill>
                </w14:textFill>
              </w:rPr>
              <w:t>.5.31</w:t>
            </w:r>
          </w:p>
        </w:tc>
        <w:tc>
          <w:tcPr>
            <w:tcW w:w="1276" w:type="dxa"/>
            <w:vMerge w:val="restart"/>
            <w:vAlign w:val="center"/>
          </w:tcPr>
          <w:p w14:paraId="3830FAD8">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hint="eastAsia" w:ascii="Times New Roman" w:hAnsi="Times New Roman" w:eastAsia="仿宋" w:cs="Times New Roman"/>
                <w:color w:val="000000" w:themeColor="text1"/>
                <w:sz w:val="22"/>
                <w:szCs w:val="21"/>
                <w:lang w:val="en-US" w:eastAsia="zh-CN"/>
                <w14:textFill>
                  <w14:solidFill>
                    <w14:schemeClr w14:val="tx1"/>
                  </w14:solidFill>
                </w14:textFill>
              </w:rPr>
              <w:t>2</w:t>
            </w:r>
            <w:r>
              <w:rPr>
                <w:rFonts w:hint="eastAsia" w:ascii="Times New Roman" w:hAnsi="Times New Roman" w:eastAsia="仿宋" w:cs="Times New Roman"/>
                <w:color w:val="000000" w:themeColor="text1"/>
                <w:sz w:val="22"/>
                <w:szCs w:val="21"/>
                <w14:textFill>
                  <w14:solidFill>
                    <w14:schemeClr w14:val="tx1"/>
                  </w14:solidFill>
                </w14:textFill>
              </w:rPr>
              <w:t>025年</w:t>
            </w:r>
            <w:r>
              <w:rPr>
                <w:rFonts w:hint="eastAsia" w:ascii="Times New Roman" w:hAnsi="Times New Roman" w:eastAsia="仿宋" w:cs="Times New Roman"/>
                <w:color w:val="000000" w:themeColor="text1"/>
                <w:sz w:val="22"/>
                <w:szCs w:val="21"/>
                <w:lang w:eastAsia="zh-CN"/>
                <w14:textFill>
                  <w14:solidFill>
                    <w14:schemeClr w14:val="tx1"/>
                  </w14:solidFill>
                </w14:textFill>
              </w:rPr>
              <w:t>降雨</w:t>
            </w:r>
            <w:r>
              <w:rPr>
                <w:rFonts w:hint="eastAsia" w:ascii="Times New Roman" w:hAnsi="Times New Roman" w:eastAsia="仿宋" w:cs="Times New Roman"/>
                <w:color w:val="000000" w:themeColor="text1"/>
                <w:sz w:val="22"/>
                <w:szCs w:val="21"/>
                <w14:textFill>
                  <w14:solidFill>
                    <w14:schemeClr w14:val="tx1"/>
                  </w14:solidFill>
                </w14:textFill>
              </w:rPr>
              <w:t>自动监测站点运维服务</w:t>
            </w:r>
          </w:p>
        </w:tc>
        <w:tc>
          <w:tcPr>
            <w:tcW w:w="2268" w:type="dxa"/>
            <w:vAlign w:val="center"/>
          </w:tcPr>
          <w:p w14:paraId="4A14042A">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该项合同款的20%</w:t>
            </w:r>
          </w:p>
        </w:tc>
        <w:tc>
          <w:tcPr>
            <w:tcW w:w="2008" w:type="dxa"/>
            <w:vMerge w:val="restart"/>
            <w:vAlign w:val="center"/>
          </w:tcPr>
          <w:p w14:paraId="7CF094F9">
            <w:pPr>
              <w:pStyle w:val="6"/>
              <w:spacing w:line="300" w:lineRule="exact"/>
              <w:ind w:left="0" w:leftChars="0" w:firstLine="0" w:firstLineChars="0"/>
              <w:jc w:val="left"/>
              <w:rPr>
                <w:rFonts w:ascii="Times New Roman" w:hAnsi="Times New Roman" w:eastAsia="仿宋" w:cs="Times New Roman"/>
                <w:sz w:val="21"/>
                <w:szCs w:val="21"/>
              </w:rPr>
            </w:pPr>
            <w:r>
              <w:rPr>
                <w:rFonts w:hint="eastAsia" w:ascii="Times New Roman" w:hAnsi="Times New Roman" w:eastAsia="仿宋" w:cs="Times New Roman"/>
                <w:sz w:val="21"/>
                <w:szCs w:val="21"/>
              </w:rPr>
              <w:t>考核得分≥90分的不扣款</w:t>
            </w:r>
            <w:r>
              <w:rPr>
                <w:rFonts w:hint="eastAsia" w:ascii="Times New Roman" w:hAnsi="Times New Roman" w:eastAsia="仿宋" w:cs="Times New Roman"/>
                <w:sz w:val="21"/>
                <w:szCs w:val="21"/>
                <w:lang w:eastAsia="zh-CN"/>
              </w:rPr>
              <w:t>；</w:t>
            </w:r>
            <w:r>
              <w:rPr>
                <w:rFonts w:hint="eastAsia" w:ascii="Times New Roman" w:hAnsi="Times New Roman" w:eastAsia="仿宋" w:cs="Times New Roman"/>
                <w:sz w:val="21"/>
                <w:szCs w:val="21"/>
              </w:rPr>
              <w:t>90分＞考核得分≥60分的，每低1分扣除当期合同款的1%</w:t>
            </w:r>
            <w:r>
              <w:rPr>
                <w:rFonts w:hint="eastAsia" w:ascii="Times New Roman" w:hAnsi="Times New Roman" w:eastAsia="仿宋" w:cs="Times New Roman"/>
                <w:sz w:val="21"/>
                <w:szCs w:val="21"/>
                <w:lang w:eastAsia="zh-CN"/>
              </w:rPr>
              <w:t>，</w:t>
            </w:r>
            <w:r>
              <w:rPr>
                <w:rFonts w:hint="eastAsia" w:ascii="Times New Roman" w:hAnsi="Times New Roman" w:eastAsia="仿宋" w:cs="Times New Roman"/>
                <w:sz w:val="21"/>
                <w:szCs w:val="21"/>
              </w:rPr>
              <w:t>每次扣款最高不超过总合同款的10%，实际扣款在当次结算时予以扣除</w:t>
            </w:r>
            <w:r>
              <w:rPr>
                <w:rFonts w:hint="eastAsia" w:ascii="Times New Roman" w:hAnsi="Times New Roman" w:eastAsia="仿宋" w:cs="Times New Roman"/>
                <w:sz w:val="21"/>
                <w:szCs w:val="21"/>
                <w:lang w:eastAsia="zh-CN"/>
              </w:rPr>
              <w:t>；</w:t>
            </w:r>
            <w:r>
              <w:rPr>
                <w:rFonts w:hint="eastAsia" w:ascii="Times New Roman" w:hAnsi="Times New Roman" w:eastAsia="仿宋" w:cs="Times New Roman"/>
                <w:sz w:val="21"/>
                <w:szCs w:val="21"/>
                <w:lang w:val="en-US" w:eastAsia="zh-CN"/>
              </w:rPr>
              <w:t>考核得分</w:t>
            </w:r>
            <w:r>
              <w:rPr>
                <w:rFonts w:hint="eastAsia" w:ascii="Times New Roman" w:hAnsi="Times New Roman" w:eastAsia="仿宋" w:cs="Times New Roman"/>
                <w:sz w:val="21"/>
                <w:szCs w:val="21"/>
              </w:rPr>
              <w:t>＜60分的不支付当期合同款，</w:t>
            </w:r>
            <w:r>
              <w:rPr>
                <w:rFonts w:ascii="Times New Roman" w:hAnsi="Times New Roman" w:eastAsia="仿宋" w:cs="Times New Roman"/>
                <w:sz w:val="21"/>
                <w:szCs w:val="21"/>
              </w:rPr>
              <w:t xml:space="preserve">解除合同关系并退回预付合同款，且两年内不得参与本单位同类项目竞标。 </w:t>
            </w:r>
          </w:p>
        </w:tc>
      </w:tr>
      <w:tr w14:paraId="02588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44" w:type="dxa"/>
            <w:vAlign w:val="center"/>
          </w:tcPr>
          <w:p w14:paraId="154A7698">
            <w:pPr>
              <w:snapToGrid w:val="0"/>
              <w:jc w:val="center"/>
              <w:rPr>
                <w:rFonts w:ascii="Times New Roman" w:hAnsi="Times New Roman" w:eastAsia="仿宋" w:cs="Times New Roman"/>
                <w:sz w:val="21"/>
                <w:szCs w:val="21"/>
              </w:rPr>
            </w:pPr>
            <w:r>
              <w:rPr>
                <w:rFonts w:ascii="Times New Roman" w:hAnsi="Times New Roman" w:eastAsia="仿宋" w:cs="Times New Roman"/>
                <w:sz w:val="21"/>
                <w:szCs w:val="21"/>
              </w:rPr>
              <w:t>2</w:t>
            </w:r>
          </w:p>
        </w:tc>
        <w:tc>
          <w:tcPr>
            <w:tcW w:w="2224" w:type="dxa"/>
            <w:vAlign w:val="center"/>
          </w:tcPr>
          <w:p w14:paraId="64B465CE">
            <w:pPr>
              <w:snapToGrid w:val="0"/>
              <w:jc w:val="center"/>
              <w:rPr>
                <w:rFonts w:ascii="Times New Roman" w:hAnsi="Times New Roman" w:eastAsia="仿宋" w:cs="Times New Roman"/>
                <w:color w:val="000000" w:themeColor="text1"/>
                <w:sz w:val="21"/>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202</w:t>
            </w:r>
            <w:r>
              <w:rPr>
                <w:rFonts w:hint="eastAsia" w:ascii="Times New Roman" w:hAnsi="Times New Roman" w:eastAsia="仿宋" w:cs="Times New Roman"/>
                <w:color w:val="000000" w:themeColor="text1"/>
                <w:sz w:val="22"/>
                <w:szCs w:val="21"/>
                <w14:textFill>
                  <w14:solidFill>
                    <w14:schemeClr w14:val="tx1"/>
                  </w14:solidFill>
                </w14:textFill>
              </w:rPr>
              <w:t>5</w:t>
            </w:r>
            <w:r>
              <w:rPr>
                <w:rFonts w:ascii="Times New Roman" w:hAnsi="Times New Roman" w:eastAsia="仿宋" w:cs="Times New Roman"/>
                <w:color w:val="000000" w:themeColor="text1"/>
                <w:sz w:val="22"/>
                <w:szCs w:val="21"/>
                <w14:textFill>
                  <w14:solidFill>
                    <w14:schemeClr w14:val="tx1"/>
                  </w14:solidFill>
                </w14:textFill>
              </w:rPr>
              <w:t>年9月15日前</w:t>
            </w:r>
          </w:p>
        </w:tc>
        <w:tc>
          <w:tcPr>
            <w:tcW w:w="2108" w:type="dxa"/>
            <w:vAlign w:val="center"/>
          </w:tcPr>
          <w:p w14:paraId="77B27FB3">
            <w:pPr>
              <w:snapToGrid w:val="0"/>
              <w:jc w:val="center"/>
              <w:rPr>
                <w:rFonts w:ascii="Times New Roman" w:hAnsi="Times New Roman" w:eastAsia="仿宋" w:cs="Times New Roman"/>
                <w:color w:val="000000" w:themeColor="text1"/>
                <w:sz w:val="21"/>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202</w:t>
            </w:r>
            <w:r>
              <w:rPr>
                <w:rFonts w:hint="eastAsia" w:ascii="Times New Roman" w:hAnsi="Times New Roman" w:eastAsia="仿宋" w:cs="Times New Roman"/>
                <w:color w:val="000000" w:themeColor="text1"/>
                <w:sz w:val="22"/>
                <w:szCs w:val="21"/>
                <w14:textFill>
                  <w14:solidFill>
                    <w14:schemeClr w14:val="tx1"/>
                  </w14:solidFill>
                </w14:textFill>
              </w:rPr>
              <w:t>5</w:t>
            </w:r>
            <w:r>
              <w:rPr>
                <w:rFonts w:ascii="Times New Roman" w:hAnsi="Times New Roman" w:eastAsia="仿宋" w:cs="Times New Roman"/>
                <w:color w:val="000000" w:themeColor="text1"/>
                <w:sz w:val="22"/>
                <w:szCs w:val="21"/>
                <w14:textFill>
                  <w14:solidFill>
                    <w14:schemeClr w14:val="tx1"/>
                  </w14:solidFill>
                </w14:textFill>
              </w:rPr>
              <w:t>.6.1-2025.8.31</w:t>
            </w:r>
          </w:p>
        </w:tc>
        <w:tc>
          <w:tcPr>
            <w:tcW w:w="1276" w:type="dxa"/>
            <w:vMerge w:val="continue"/>
            <w:vAlign w:val="center"/>
          </w:tcPr>
          <w:p w14:paraId="15D9FD80">
            <w:pPr>
              <w:snapToGrid w:val="0"/>
              <w:jc w:val="center"/>
              <w:rPr>
                <w:rFonts w:ascii="Times New Roman" w:hAnsi="Times New Roman" w:eastAsia="仿宋" w:cs="Times New Roman"/>
                <w:color w:val="000000" w:themeColor="text1"/>
                <w:sz w:val="22"/>
                <w:szCs w:val="21"/>
                <w14:textFill>
                  <w14:solidFill>
                    <w14:schemeClr w14:val="tx1"/>
                  </w14:solidFill>
                </w14:textFill>
              </w:rPr>
            </w:pPr>
          </w:p>
        </w:tc>
        <w:tc>
          <w:tcPr>
            <w:tcW w:w="2268" w:type="dxa"/>
            <w:vAlign w:val="center"/>
          </w:tcPr>
          <w:p w14:paraId="66DEDA8F">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该项合同款的20%</w:t>
            </w:r>
          </w:p>
        </w:tc>
        <w:tc>
          <w:tcPr>
            <w:tcW w:w="2008" w:type="dxa"/>
            <w:vMerge w:val="continue"/>
            <w:vAlign w:val="center"/>
          </w:tcPr>
          <w:p w14:paraId="0E738F99">
            <w:pPr>
              <w:pStyle w:val="6"/>
              <w:ind w:firstLine="440" w:firstLineChars="200"/>
              <w:jc w:val="left"/>
              <w:rPr>
                <w:rFonts w:ascii="Times New Roman" w:hAnsi="Times New Roman" w:eastAsia="仿宋" w:cs="Times New Roman"/>
                <w:sz w:val="22"/>
                <w:szCs w:val="21"/>
              </w:rPr>
            </w:pPr>
          </w:p>
        </w:tc>
      </w:tr>
      <w:tr w14:paraId="56B7E3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0" w:hRule="atLeast"/>
          <w:jc w:val="center"/>
        </w:trPr>
        <w:tc>
          <w:tcPr>
            <w:tcW w:w="444" w:type="dxa"/>
            <w:vAlign w:val="center"/>
          </w:tcPr>
          <w:p w14:paraId="1929ACA9">
            <w:pPr>
              <w:snapToGrid w:val="0"/>
              <w:jc w:val="center"/>
              <w:rPr>
                <w:rFonts w:ascii="Times New Roman" w:hAnsi="Times New Roman" w:eastAsia="仿宋" w:cs="Times New Roman"/>
                <w:sz w:val="21"/>
                <w:szCs w:val="21"/>
              </w:rPr>
            </w:pPr>
            <w:r>
              <w:rPr>
                <w:rFonts w:ascii="Times New Roman" w:hAnsi="Times New Roman" w:eastAsia="仿宋" w:cs="Times New Roman"/>
                <w:sz w:val="21"/>
                <w:szCs w:val="21"/>
              </w:rPr>
              <w:t>3</w:t>
            </w:r>
          </w:p>
        </w:tc>
        <w:tc>
          <w:tcPr>
            <w:tcW w:w="2224" w:type="dxa"/>
            <w:vAlign w:val="center"/>
          </w:tcPr>
          <w:p w14:paraId="6ED1978D">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202</w:t>
            </w:r>
            <w:r>
              <w:rPr>
                <w:rFonts w:hint="eastAsia" w:ascii="Times New Roman" w:hAnsi="Times New Roman" w:eastAsia="仿宋" w:cs="Times New Roman"/>
                <w:color w:val="000000" w:themeColor="text1"/>
                <w:sz w:val="22"/>
                <w:szCs w:val="21"/>
                <w14:textFill>
                  <w14:solidFill>
                    <w14:schemeClr w14:val="tx1"/>
                  </w14:solidFill>
                </w14:textFill>
              </w:rPr>
              <w:t>5</w:t>
            </w:r>
            <w:r>
              <w:rPr>
                <w:rFonts w:ascii="Times New Roman" w:hAnsi="Times New Roman" w:eastAsia="仿宋" w:cs="Times New Roman"/>
                <w:color w:val="000000" w:themeColor="text1"/>
                <w:sz w:val="22"/>
                <w:szCs w:val="21"/>
                <w14:textFill>
                  <w14:solidFill>
                    <w14:schemeClr w14:val="tx1"/>
                  </w14:solidFill>
                </w14:textFill>
              </w:rPr>
              <w:t>年12月15日前</w:t>
            </w:r>
          </w:p>
        </w:tc>
        <w:tc>
          <w:tcPr>
            <w:tcW w:w="2108" w:type="dxa"/>
            <w:vAlign w:val="center"/>
          </w:tcPr>
          <w:p w14:paraId="79AFE9FD">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202</w:t>
            </w:r>
            <w:r>
              <w:rPr>
                <w:rFonts w:hint="eastAsia" w:ascii="Times New Roman" w:hAnsi="Times New Roman" w:eastAsia="仿宋" w:cs="Times New Roman"/>
                <w:color w:val="000000" w:themeColor="text1"/>
                <w:sz w:val="22"/>
                <w:szCs w:val="21"/>
                <w14:textFill>
                  <w14:solidFill>
                    <w14:schemeClr w14:val="tx1"/>
                  </w14:solidFill>
                </w14:textFill>
              </w:rPr>
              <w:t>5</w:t>
            </w:r>
            <w:r>
              <w:rPr>
                <w:rFonts w:ascii="Times New Roman" w:hAnsi="Times New Roman" w:eastAsia="仿宋" w:cs="Times New Roman"/>
                <w:color w:val="000000" w:themeColor="text1"/>
                <w:sz w:val="22"/>
                <w:szCs w:val="21"/>
                <w14:textFill>
                  <w14:solidFill>
                    <w14:schemeClr w14:val="tx1"/>
                  </w14:solidFill>
                </w14:textFill>
              </w:rPr>
              <w:t>.9.1-2025.11.30</w:t>
            </w:r>
          </w:p>
        </w:tc>
        <w:tc>
          <w:tcPr>
            <w:tcW w:w="1276" w:type="dxa"/>
            <w:vMerge w:val="continue"/>
            <w:vAlign w:val="center"/>
          </w:tcPr>
          <w:p w14:paraId="6CB09328">
            <w:pPr>
              <w:snapToGrid w:val="0"/>
              <w:jc w:val="center"/>
              <w:rPr>
                <w:rFonts w:ascii="Times New Roman" w:hAnsi="Times New Roman" w:eastAsia="仿宋" w:cs="Times New Roman"/>
                <w:color w:val="000000" w:themeColor="text1"/>
                <w:sz w:val="22"/>
                <w:szCs w:val="21"/>
                <w14:textFill>
                  <w14:solidFill>
                    <w14:schemeClr w14:val="tx1"/>
                  </w14:solidFill>
                </w14:textFill>
              </w:rPr>
            </w:pPr>
          </w:p>
        </w:tc>
        <w:tc>
          <w:tcPr>
            <w:tcW w:w="2268" w:type="dxa"/>
            <w:vAlign w:val="center"/>
          </w:tcPr>
          <w:p w14:paraId="4D0A564C">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该项合同款的20%</w:t>
            </w:r>
          </w:p>
        </w:tc>
        <w:tc>
          <w:tcPr>
            <w:tcW w:w="2008" w:type="dxa"/>
            <w:vMerge w:val="continue"/>
            <w:vAlign w:val="center"/>
          </w:tcPr>
          <w:p w14:paraId="209D89B0">
            <w:pPr>
              <w:pStyle w:val="6"/>
              <w:ind w:firstLine="440" w:firstLineChars="200"/>
              <w:jc w:val="left"/>
              <w:rPr>
                <w:rFonts w:ascii="Times New Roman" w:hAnsi="Times New Roman" w:eastAsia="仿宋" w:cs="Times New Roman"/>
                <w:sz w:val="22"/>
                <w:szCs w:val="21"/>
              </w:rPr>
            </w:pPr>
          </w:p>
        </w:tc>
      </w:tr>
      <w:tr w14:paraId="3E2BF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23" w:hRule="atLeast"/>
          <w:jc w:val="center"/>
        </w:trPr>
        <w:tc>
          <w:tcPr>
            <w:tcW w:w="444" w:type="dxa"/>
            <w:vAlign w:val="center"/>
          </w:tcPr>
          <w:p w14:paraId="67ADF864">
            <w:pPr>
              <w:snapToGrid w:val="0"/>
              <w:jc w:val="center"/>
              <w:rPr>
                <w:rFonts w:ascii="Times New Roman" w:hAnsi="Times New Roman" w:eastAsia="仿宋" w:cs="Times New Roman"/>
                <w:sz w:val="21"/>
                <w:szCs w:val="21"/>
              </w:rPr>
            </w:pPr>
            <w:r>
              <w:rPr>
                <w:rFonts w:ascii="Times New Roman" w:hAnsi="Times New Roman" w:eastAsia="仿宋" w:cs="Times New Roman"/>
                <w:sz w:val="21"/>
                <w:szCs w:val="21"/>
              </w:rPr>
              <w:t>4</w:t>
            </w:r>
          </w:p>
        </w:tc>
        <w:tc>
          <w:tcPr>
            <w:tcW w:w="2224" w:type="dxa"/>
            <w:vAlign w:val="center"/>
          </w:tcPr>
          <w:p w14:paraId="181F0360">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202</w:t>
            </w:r>
            <w:r>
              <w:rPr>
                <w:rFonts w:hint="eastAsia" w:ascii="Times New Roman" w:hAnsi="Times New Roman" w:eastAsia="仿宋" w:cs="Times New Roman"/>
                <w:color w:val="000000" w:themeColor="text1"/>
                <w:sz w:val="22"/>
                <w:szCs w:val="21"/>
                <w14:textFill>
                  <w14:solidFill>
                    <w14:schemeClr w14:val="tx1"/>
                  </w14:solidFill>
                </w14:textFill>
              </w:rPr>
              <w:t>6</w:t>
            </w:r>
            <w:r>
              <w:rPr>
                <w:rFonts w:ascii="Times New Roman" w:hAnsi="Times New Roman" w:eastAsia="仿宋" w:cs="Times New Roman"/>
                <w:color w:val="000000" w:themeColor="text1"/>
                <w:sz w:val="22"/>
                <w:szCs w:val="21"/>
                <w14:textFill>
                  <w14:solidFill>
                    <w14:schemeClr w14:val="tx1"/>
                  </w14:solidFill>
                </w14:textFill>
              </w:rPr>
              <w:t>年</w:t>
            </w:r>
            <w:r>
              <w:rPr>
                <w:rFonts w:hint="eastAsia" w:ascii="Times New Roman" w:hAnsi="Times New Roman" w:eastAsia="仿宋" w:cs="Times New Roman"/>
                <w:color w:val="000000" w:themeColor="text1"/>
                <w:sz w:val="22"/>
                <w:szCs w:val="21"/>
                <w:lang w:val="en-US" w:eastAsia="zh-CN"/>
                <w14:textFill>
                  <w14:solidFill>
                    <w14:schemeClr w14:val="tx1"/>
                  </w14:solidFill>
                </w14:textFill>
              </w:rPr>
              <w:t>5</w:t>
            </w:r>
            <w:r>
              <w:rPr>
                <w:rFonts w:ascii="Times New Roman" w:hAnsi="Times New Roman" w:eastAsia="仿宋" w:cs="Times New Roman"/>
                <w:color w:val="000000" w:themeColor="text1"/>
                <w:sz w:val="22"/>
                <w:szCs w:val="21"/>
                <w14:textFill>
                  <w14:solidFill>
                    <w14:schemeClr w14:val="tx1"/>
                  </w14:solidFill>
                </w14:textFill>
              </w:rPr>
              <w:t>月30日前</w:t>
            </w:r>
          </w:p>
        </w:tc>
        <w:tc>
          <w:tcPr>
            <w:tcW w:w="2108" w:type="dxa"/>
            <w:vAlign w:val="center"/>
          </w:tcPr>
          <w:p w14:paraId="78D134B1">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202</w:t>
            </w:r>
            <w:r>
              <w:rPr>
                <w:rFonts w:hint="eastAsia" w:ascii="Times New Roman" w:hAnsi="Times New Roman" w:eastAsia="仿宋" w:cs="Times New Roman"/>
                <w:color w:val="000000" w:themeColor="text1"/>
                <w:sz w:val="22"/>
                <w:szCs w:val="21"/>
                <w14:textFill>
                  <w14:solidFill>
                    <w14:schemeClr w14:val="tx1"/>
                  </w14:solidFill>
                </w14:textFill>
              </w:rPr>
              <w:t>5</w:t>
            </w:r>
            <w:r>
              <w:rPr>
                <w:rFonts w:ascii="Times New Roman" w:hAnsi="Times New Roman" w:eastAsia="仿宋" w:cs="Times New Roman"/>
                <w:color w:val="000000" w:themeColor="text1"/>
                <w:sz w:val="22"/>
                <w:szCs w:val="21"/>
                <w14:textFill>
                  <w14:solidFill>
                    <w14:schemeClr w14:val="tx1"/>
                  </w14:solidFill>
                </w14:textFill>
              </w:rPr>
              <w:t>.12.1-合同结束之日</w:t>
            </w:r>
          </w:p>
        </w:tc>
        <w:tc>
          <w:tcPr>
            <w:tcW w:w="1276" w:type="dxa"/>
            <w:vMerge w:val="continue"/>
          </w:tcPr>
          <w:p w14:paraId="0CDF5AB2">
            <w:pPr>
              <w:snapToGrid w:val="0"/>
              <w:jc w:val="center"/>
              <w:rPr>
                <w:rFonts w:ascii="Times New Roman" w:hAnsi="Times New Roman" w:eastAsia="仿宋" w:cs="Times New Roman"/>
                <w:color w:val="000000" w:themeColor="text1"/>
                <w:sz w:val="22"/>
                <w:szCs w:val="21"/>
                <w14:textFill>
                  <w14:solidFill>
                    <w14:schemeClr w14:val="tx1"/>
                  </w14:solidFill>
                </w14:textFill>
              </w:rPr>
            </w:pPr>
          </w:p>
        </w:tc>
        <w:tc>
          <w:tcPr>
            <w:tcW w:w="2268" w:type="dxa"/>
            <w:vAlign w:val="center"/>
          </w:tcPr>
          <w:p w14:paraId="6FA723D2">
            <w:pPr>
              <w:snapToGrid w:val="0"/>
              <w:jc w:val="center"/>
              <w:rPr>
                <w:rFonts w:ascii="Times New Roman" w:hAnsi="Times New Roman" w:eastAsia="仿宋" w:cs="Times New Roman"/>
                <w:color w:val="000000" w:themeColor="text1"/>
                <w:sz w:val="22"/>
                <w:szCs w:val="21"/>
                <w14:textFill>
                  <w14:solidFill>
                    <w14:schemeClr w14:val="tx1"/>
                  </w14:solidFill>
                </w14:textFill>
              </w:rPr>
            </w:pPr>
            <w:r>
              <w:rPr>
                <w:rFonts w:ascii="Times New Roman" w:hAnsi="Times New Roman" w:eastAsia="仿宋" w:cs="Times New Roman"/>
                <w:color w:val="000000" w:themeColor="text1"/>
                <w:sz w:val="22"/>
                <w:szCs w:val="21"/>
                <w14:textFill>
                  <w14:solidFill>
                    <w14:schemeClr w14:val="tx1"/>
                  </w14:solidFill>
                </w14:textFill>
              </w:rPr>
              <w:t>该项合同款的20%，</w:t>
            </w:r>
            <w:r>
              <w:rPr>
                <w:rFonts w:ascii="Times New Roman" w:hAnsi="Times New Roman" w:eastAsia="仿宋" w:cs="Times New Roman"/>
                <w:color w:val="000000" w:themeColor="text1"/>
                <w:sz w:val="21"/>
                <w:szCs w:val="21"/>
                <w14:textFill>
                  <w14:solidFill>
                    <w14:schemeClr w14:val="tx1"/>
                  </w14:solidFill>
                </w14:textFill>
              </w:rPr>
              <w:t>按工作考核结果，待财政下达该项预算指标后，支付合同款</w:t>
            </w:r>
          </w:p>
        </w:tc>
        <w:tc>
          <w:tcPr>
            <w:tcW w:w="2008" w:type="dxa"/>
            <w:vMerge w:val="continue"/>
            <w:vAlign w:val="center"/>
          </w:tcPr>
          <w:p w14:paraId="7A16223A">
            <w:pPr>
              <w:pStyle w:val="6"/>
              <w:ind w:firstLine="440" w:firstLineChars="200"/>
              <w:jc w:val="left"/>
              <w:rPr>
                <w:rFonts w:ascii="Times New Roman" w:hAnsi="Times New Roman" w:eastAsia="仿宋" w:cs="Times New Roman"/>
                <w:sz w:val="22"/>
                <w:szCs w:val="21"/>
              </w:rPr>
            </w:pPr>
          </w:p>
        </w:tc>
      </w:tr>
    </w:tbl>
    <w:p w14:paraId="38A865F9">
      <w:pPr>
        <w:spacing w:line="600" w:lineRule="exact"/>
        <w:rPr>
          <w:rFonts w:ascii="Times New Roman" w:hAnsi="Times New Roman" w:eastAsia="黑体"/>
          <w:sz w:val="32"/>
          <w:szCs w:val="32"/>
        </w:rPr>
      </w:pPr>
      <w:r>
        <w:rPr>
          <w:rFonts w:hint="eastAsia" w:ascii="Times New Roman" w:hAnsi="Times New Roman" w:eastAsia="黑体"/>
          <w:sz w:val="32"/>
          <w:szCs w:val="32"/>
        </w:rPr>
        <w:t>七</w:t>
      </w:r>
      <w:r>
        <w:rPr>
          <w:rFonts w:ascii="Times New Roman" w:hAnsi="Times New Roman" w:eastAsia="黑体"/>
          <w:sz w:val="32"/>
          <w:szCs w:val="32"/>
        </w:rPr>
        <w:t>、商务条款</w:t>
      </w:r>
    </w:p>
    <w:p w14:paraId="1325E498">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（一）合同签订期：自成交通知书发出之日起7个工作日。</w:t>
      </w:r>
    </w:p>
    <w:p w14:paraId="07F44819">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（二）合同款已包括成交供应商履行本合同的全部报酬和所需的全部费用。报价必须含以下部分，包括：</w:t>
      </w:r>
    </w:p>
    <w:p w14:paraId="2BE01F52">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（1）服务的价格（其中人员工资不能低于南宁市最低标准）；</w:t>
      </w:r>
    </w:p>
    <w:p w14:paraId="4C37F5BB">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（2）必要的保险费用和各项税金；</w:t>
      </w:r>
    </w:p>
    <w:p w14:paraId="50D5989E">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（3）服务内容涉及的所有开支</w:t>
      </w:r>
    </w:p>
    <w:p w14:paraId="1C3C8C8F">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（三）投标人如需实地勘察，请自行前往，勘察费用自理。</w:t>
      </w:r>
    </w:p>
    <w:p w14:paraId="64FB00A2">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（四）本项目不接受投标人联合体投标、不得转包、不得挂靠。</w:t>
      </w:r>
    </w:p>
    <w:p w14:paraId="2DBD034B">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（五）后续服务：供应商提交经验收后完善的成果文件，据采购方需要继续配合对成果进行必要补充。</w:t>
      </w:r>
    </w:p>
    <w:p w14:paraId="3ACD12BA">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（六）合同履行：投标人投标文件中必须就合同履行要求作出承诺，并提供合同履约承诺函。否则视投标文件无效。</w:t>
      </w:r>
    </w:p>
    <w:p w14:paraId="7F5B2281">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（七）其他说明：投标人须在投标文件中提供详细的服务技术方案，中标之后须严格按照方案及承诺提供服务。服务技术方案包含但不限于以下内容：</w:t>
      </w:r>
    </w:p>
    <w:p w14:paraId="14449341">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（1）服务实施计划方案。</w:t>
      </w:r>
    </w:p>
    <w:p w14:paraId="7DB048E1">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a.提出针对本项目要求和实际情况的项目执行方案；</w:t>
      </w:r>
    </w:p>
    <w:p w14:paraId="0AF8E7CD">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b.列明承诺参与本项目的主要专业人员情况；</w:t>
      </w:r>
    </w:p>
    <w:p w14:paraId="52714EF9">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c.对各项工作内容明确针对性解决方案；</w:t>
      </w:r>
    </w:p>
    <w:p w14:paraId="7D41CDB6">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d.整体服务质量承诺书。</w:t>
      </w:r>
    </w:p>
    <w:p w14:paraId="2CE1EAFD">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（2）服务质量保证措施。应包括主要技术方法、技术路线、技术规范，机构内部质量控制办法、业务管理制度等。</w:t>
      </w:r>
    </w:p>
    <w:p w14:paraId="1B5442E1">
      <w:pPr>
        <w:spacing w:line="600" w:lineRule="exact"/>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（3）服务进度保证措施。应包括资金及时间安排、各项工作进度计划、业务管理及内部服务等。</w:t>
      </w:r>
    </w:p>
    <w:p w14:paraId="0C876433">
      <w:pPr>
        <w:spacing w:line="600" w:lineRule="exact"/>
        <w:ind w:firstLine="640" w:firstLineChars="200"/>
        <w:rPr>
          <w:rFonts w:ascii="Times New Roman" w:hAnsi="Times New Roman" w:eastAsia="仿宋"/>
          <w:sz w:val="32"/>
          <w:szCs w:val="32"/>
        </w:rPr>
      </w:pPr>
      <w:r>
        <w:rPr>
          <w:rFonts w:hint="eastAsia" w:ascii="Times New Roman" w:hAnsi="Times New Roman" w:eastAsia="仿宋"/>
          <w:sz w:val="32"/>
          <w:szCs w:val="32"/>
        </w:rPr>
        <w:t>（4）投入项目实施人员配置方案、设备配置方案。</w:t>
      </w:r>
      <w:r>
        <w:rPr>
          <w:rFonts w:ascii="Times New Roman" w:hAnsi="Times New Roman" w:eastAsia="仿宋"/>
          <w:sz w:val="32"/>
          <w:szCs w:val="32"/>
        </w:rPr>
        <w:t>。</w:t>
      </w:r>
    </w:p>
    <w:p w14:paraId="411BBAEA">
      <w:pPr>
        <w:spacing w:line="600" w:lineRule="exact"/>
        <w:jc w:val="left"/>
        <w:rPr>
          <w:rFonts w:ascii="Times New Roman" w:hAnsi="Times New Roman" w:eastAsia="黑体"/>
          <w:sz w:val="32"/>
          <w:szCs w:val="32"/>
        </w:rPr>
      </w:pPr>
      <w:r>
        <w:rPr>
          <w:rFonts w:hint="eastAsia" w:ascii="Times New Roman" w:hAnsi="Times New Roman" w:eastAsia="黑体"/>
          <w:sz w:val="32"/>
          <w:szCs w:val="32"/>
        </w:rPr>
        <w:t>八</w:t>
      </w:r>
      <w:r>
        <w:rPr>
          <w:rFonts w:ascii="Times New Roman" w:hAnsi="Times New Roman" w:eastAsia="黑体"/>
          <w:sz w:val="32"/>
          <w:szCs w:val="32"/>
        </w:rPr>
        <w:t>、侵权责任</w:t>
      </w:r>
    </w:p>
    <w:p w14:paraId="4F301283">
      <w:pPr>
        <w:widowControl/>
        <w:autoSpaceDE w:val="0"/>
        <w:autoSpaceDN w:val="0"/>
        <w:spacing w:line="600" w:lineRule="exact"/>
        <w:ind w:firstLine="640" w:firstLineChars="200"/>
        <w:textAlignment w:val="bottom"/>
        <w:rPr>
          <w:rFonts w:ascii="Times New Roman" w:hAnsi="Times New Roman" w:eastAsia="仿宋" w:cs="Times New Roman"/>
          <w:sz w:val="32"/>
          <w:szCs w:val="32"/>
        </w:rPr>
      </w:pPr>
      <w:r>
        <w:rPr>
          <w:rFonts w:ascii="Times New Roman" w:hAnsi="Times New Roman" w:eastAsia="仿宋" w:cs="Times New Roman"/>
          <w:sz w:val="32"/>
          <w:szCs w:val="32"/>
        </w:rPr>
        <w:t>（一）成交供应商应当保证，其依本合同为采购人提供技术服务过程中和其为采购人提供的服务成果不侵犯任何第三人的合法权益。如果有人提出法律或行政程序（合称</w:t>
      </w:r>
      <w:r>
        <w:rPr>
          <w:rFonts w:hint="eastAsia" w:ascii="Times New Roman" w:hAnsi="Times New Roman" w:eastAsia="仿宋" w:cs="Times New Roman"/>
          <w:sz w:val="32"/>
          <w:szCs w:val="32"/>
          <w:lang w:eastAsia="zh-CN"/>
        </w:rPr>
        <w:t>“</w:t>
      </w:r>
      <w:r>
        <w:rPr>
          <w:rFonts w:ascii="Times New Roman" w:hAnsi="Times New Roman" w:eastAsia="仿宋" w:cs="Times New Roman"/>
          <w:sz w:val="32"/>
          <w:szCs w:val="32"/>
        </w:rPr>
        <w:t>侵权指控</w:t>
      </w:r>
      <w:r>
        <w:rPr>
          <w:rFonts w:hint="eastAsia" w:ascii="Times New Roman" w:hAnsi="Times New Roman" w:eastAsia="仿宋" w:cs="Times New Roman"/>
          <w:sz w:val="32"/>
          <w:szCs w:val="32"/>
          <w:lang w:eastAsia="zh-CN"/>
        </w:rPr>
        <w:t>”</w:t>
      </w:r>
      <w:r>
        <w:rPr>
          <w:rFonts w:ascii="Times New Roman" w:hAnsi="Times New Roman" w:eastAsia="仿宋" w:cs="Times New Roman"/>
          <w:sz w:val="32"/>
          <w:szCs w:val="32"/>
        </w:rPr>
        <w:t>），声称采购人侵犯了其知识产权等合法权益的，成交供应商应当负责解决，并赔偿采购人就此所承担的一切损失和费用，包括但不限于上述侵权指控中所产生的诉讼费用、合理的律师费用、调查费用、和解金额或生效法律文书中规定的赔偿金额。</w:t>
      </w:r>
    </w:p>
    <w:p w14:paraId="7EBDD1F6">
      <w:pPr>
        <w:widowControl/>
        <w:autoSpaceDE w:val="0"/>
        <w:autoSpaceDN w:val="0"/>
        <w:spacing w:line="600" w:lineRule="exact"/>
        <w:ind w:firstLine="640" w:firstLineChars="200"/>
        <w:textAlignment w:val="bottom"/>
        <w:rPr>
          <w:rFonts w:ascii="Times New Roman" w:hAnsi="Times New Roman" w:eastAsia="仿宋" w:cs="Times New Roman"/>
          <w:sz w:val="32"/>
          <w:szCs w:val="32"/>
        </w:rPr>
      </w:pPr>
      <w:r>
        <w:rPr>
          <w:rFonts w:ascii="Times New Roman" w:hAnsi="Times New Roman" w:eastAsia="仿宋" w:cs="Times New Roman"/>
          <w:sz w:val="32"/>
          <w:szCs w:val="32"/>
        </w:rPr>
        <w:t>（二）如果在侵权指控的审理过程中有关机关禁止采购人继续使用技术服务成果的部分或全部，成交供应商应当</w:t>
      </w:r>
      <w:r>
        <w:rPr>
          <w:rFonts w:hint="eastAsia" w:ascii="Times New Roman" w:hAnsi="Times New Roman" w:eastAsia="仿宋" w:cs="Times New Roman"/>
          <w:sz w:val="32"/>
          <w:szCs w:val="32"/>
        </w:rPr>
        <w:t>在不收取额外费用的情况下，</w:t>
      </w:r>
      <w:r>
        <w:rPr>
          <w:rFonts w:ascii="Times New Roman" w:hAnsi="Times New Roman" w:eastAsia="仿宋" w:cs="Times New Roman"/>
          <w:sz w:val="32"/>
          <w:szCs w:val="32"/>
        </w:rPr>
        <w:t>采取以下措施之一：</w:t>
      </w:r>
    </w:p>
    <w:p w14:paraId="34CF4183">
      <w:pPr>
        <w:widowControl/>
        <w:autoSpaceDE w:val="0"/>
        <w:autoSpaceDN w:val="0"/>
        <w:spacing w:line="600" w:lineRule="exact"/>
        <w:ind w:firstLine="640" w:firstLineChars="200"/>
        <w:textAlignment w:val="bottom"/>
        <w:rPr>
          <w:rFonts w:ascii="Times New Roman" w:hAnsi="Times New Roman" w:eastAsia="仿宋" w:cs="Times New Roman"/>
          <w:sz w:val="32"/>
          <w:szCs w:val="32"/>
        </w:rPr>
      </w:pPr>
      <w:r>
        <w:rPr>
          <w:rFonts w:ascii="Times New Roman" w:hAnsi="Times New Roman" w:eastAsia="仿宋" w:cs="Times New Roman"/>
          <w:sz w:val="32"/>
          <w:szCs w:val="32"/>
        </w:rPr>
        <w:t>1.使采购人重新获得使用上述技术服务成果的权利。</w:t>
      </w:r>
    </w:p>
    <w:p w14:paraId="465EEDF7">
      <w:pPr>
        <w:widowControl/>
        <w:autoSpaceDE w:val="0"/>
        <w:autoSpaceDN w:val="0"/>
        <w:spacing w:line="600" w:lineRule="exact"/>
        <w:ind w:firstLine="640" w:firstLineChars="200"/>
        <w:textAlignment w:val="bottom"/>
        <w:rPr>
          <w:rFonts w:ascii="Times New Roman" w:hAnsi="Times New Roman" w:eastAsia="仿宋" w:cs="Times New Roman"/>
          <w:sz w:val="32"/>
          <w:szCs w:val="32"/>
        </w:rPr>
      </w:pPr>
      <w:r>
        <w:rPr>
          <w:rFonts w:ascii="Times New Roman" w:hAnsi="Times New Roman" w:eastAsia="仿宋" w:cs="Times New Roman"/>
          <w:sz w:val="32"/>
          <w:szCs w:val="32"/>
        </w:rPr>
        <w:t>2.更换或改造上述技术服务成果，使采购人不受上述禁令限制继续使用技术服务成果。</w:t>
      </w:r>
    </w:p>
    <w:p w14:paraId="3CE09EC8">
      <w:pPr>
        <w:widowControl/>
        <w:autoSpaceDE w:val="0"/>
        <w:autoSpaceDN w:val="0"/>
        <w:spacing w:line="600" w:lineRule="exact"/>
        <w:ind w:firstLine="640" w:firstLineChars="200"/>
        <w:textAlignment w:val="bottom"/>
        <w:rPr>
          <w:rFonts w:ascii="Times New Roman" w:hAnsi="Times New Roman" w:eastAsia="仿宋" w:cs="Times New Roman"/>
          <w:sz w:val="32"/>
          <w:szCs w:val="32"/>
        </w:rPr>
      </w:pPr>
      <w:r>
        <w:rPr>
          <w:rFonts w:ascii="Times New Roman" w:hAnsi="Times New Roman" w:eastAsia="仿宋" w:cs="Times New Roman"/>
          <w:sz w:val="32"/>
          <w:szCs w:val="32"/>
        </w:rPr>
        <w:t>3.</w:t>
      </w:r>
      <w:r>
        <w:rPr>
          <w:rFonts w:ascii="Times New Roman" w:hAnsi="Times New Roman" w:eastAsia="仿宋" w:cs="Times New Roman"/>
          <w:bCs/>
          <w:sz w:val="32"/>
          <w:szCs w:val="32"/>
        </w:rPr>
        <w:t>其它使采购人对技术服务成果拥有合法使用权，或其它弥补采购人受损利益、实现合同目的的合理方式。</w:t>
      </w:r>
    </w:p>
    <w:p w14:paraId="40D05D85">
      <w:pPr>
        <w:spacing w:line="600" w:lineRule="exact"/>
        <w:jc w:val="left"/>
        <w:rPr>
          <w:rFonts w:ascii="Times New Roman" w:hAnsi="Times New Roman" w:eastAsia="仿宋" w:cs="Times New Roman"/>
          <w:sz w:val="32"/>
          <w:szCs w:val="32"/>
        </w:rPr>
      </w:pPr>
      <w:r>
        <w:rPr>
          <w:rFonts w:ascii="Times New Roman" w:hAnsi="Times New Roman" w:eastAsia="仿宋" w:cs="Times New Roman"/>
          <w:sz w:val="32"/>
          <w:szCs w:val="32"/>
        </w:rPr>
        <w:t>成交供应商采取上述措施不能免除成交供应商就采购人因此遭受的损失进行赔偿的义务。</w:t>
      </w:r>
    </w:p>
    <w:p w14:paraId="41455463">
      <w:pPr>
        <w:spacing w:line="600" w:lineRule="exact"/>
        <w:jc w:val="left"/>
        <w:rPr>
          <w:rFonts w:ascii="Times New Roman" w:hAnsi="Times New Roman" w:eastAsia="黑体"/>
          <w:sz w:val="32"/>
          <w:szCs w:val="32"/>
        </w:rPr>
      </w:pPr>
      <w:r>
        <w:rPr>
          <w:rFonts w:hint="eastAsia" w:ascii="Times New Roman" w:hAnsi="Times New Roman" w:eastAsia="黑体"/>
          <w:sz w:val="32"/>
          <w:szCs w:val="32"/>
        </w:rPr>
        <w:t>九</w:t>
      </w:r>
      <w:r>
        <w:rPr>
          <w:rFonts w:ascii="Times New Roman" w:hAnsi="Times New Roman" w:eastAsia="黑体"/>
          <w:sz w:val="32"/>
          <w:szCs w:val="32"/>
        </w:rPr>
        <w:t>、 违约责任</w:t>
      </w:r>
    </w:p>
    <w:p w14:paraId="5AFE5142">
      <w:pPr>
        <w:pStyle w:val="6"/>
        <w:spacing w:line="600" w:lineRule="exact"/>
        <w:ind w:firstLine="640" w:firstLineChars="200"/>
        <w:jc w:val="left"/>
        <w:rPr>
          <w:rFonts w:ascii="Times New Roman" w:hAnsi="Times New Roman" w:eastAsia="仿宋" w:cs="Times New Roman"/>
          <w:sz w:val="32"/>
          <w:szCs w:val="32"/>
        </w:rPr>
      </w:pPr>
      <w:r>
        <w:rPr>
          <w:rFonts w:ascii="Times New Roman" w:hAnsi="Times New Roman" w:eastAsia="仿宋" w:cs="Times New Roman"/>
          <w:sz w:val="32"/>
          <w:szCs w:val="32"/>
        </w:rPr>
        <w:t>1</w:t>
      </w:r>
      <w:r>
        <w:rPr>
          <w:rFonts w:ascii="Times New Roman" w:hAnsi="Times New Roman" w:eastAsia="仿宋" w:cs="Times New Roman"/>
          <w:sz w:val="32"/>
          <w:szCs w:val="32"/>
          <w:lang w:val="en"/>
        </w:rPr>
        <w:t>.</w:t>
      </w:r>
      <w:r>
        <w:rPr>
          <w:rFonts w:ascii="Times New Roman" w:hAnsi="Times New Roman" w:eastAsia="仿宋" w:cs="Times New Roman"/>
          <w:sz w:val="32"/>
          <w:szCs w:val="32"/>
        </w:rPr>
        <w:t>成交供应商没有按照合同、招标文件、投标文件规定的时间或期限提供服务的（另有约定除外），每逾期一日，成交供应商应当按照技术服务费总额的1‰向采购人支付违约金。如违约金数额累计达到运维服务费总额的20%时，采购人有权终止合同，成交供应商仍应支付上述违约金、退还采购人已支付款项并按照贷款市场报价利率计付利息，同时赔偿采购人的相应损失。</w:t>
      </w:r>
    </w:p>
    <w:p w14:paraId="25D1950C">
      <w:pPr>
        <w:spacing w:line="58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2</w:t>
      </w:r>
      <w:r>
        <w:rPr>
          <w:rFonts w:ascii="Times New Roman" w:hAnsi="Times New Roman" w:eastAsia="仿宋" w:cs="Times New Roman"/>
          <w:sz w:val="32"/>
          <w:szCs w:val="32"/>
          <w:lang w:val="en"/>
        </w:rPr>
        <w:t>.</w:t>
      </w:r>
      <w:r>
        <w:rPr>
          <w:rFonts w:ascii="Times New Roman" w:hAnsi="Times New Roman" w:eastAsia="仿宋" w:cs="Times New Roman"/>
          <w:sz w:val="32"/>
          <w:szCs w:val="32"/>
        </w:rPr>
        <w:t>成交供应商所提供的服务、服务质量、服务内容等不符合合同、招标文件、投标文件规定的要求的，应按采购人的要求、在采购人指定的期限内予以更正或改进，未在采购人指定的期限内更正或改进的，按成交供应商逾期提供服务承担违约责任。</w:t>
      </w:r>
    </w:p>
    <w:p w14:paraId="523E2AC4">
      <w:pPr>
        <w:spacing w:line="58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3</w:t>
      </w:r>
      <w:r>
        <w:rPr>
          <w:rFonts w:ascii="Times New Roman" w:hAnsi="Times New Roman" w:eastAsia="仿宋" w:cs="Times New Roman"/>
          <w:sz w:val="32"/>
          <w:szCs w:val="32"/>
          <w:lang w:val="en"/>
        </w:rPr>
        <w:t>.</w:t>
      </w:r>
      <w:r>
        <w:rPr>
          <w:rFonts w:ascii="Times New Roman" w:hAnsi="Times New Roman" w:eastAsia="仿宋" w:cs="Times New Roman"/>
          <w:sz w:val="32"/>
          <w:szCs w:val="32"/>
        </w:rPr>
        <w:t>成交供应商提供的服务如侵犯了第三方合法权益而引发的任何纠纷或者诉讼，均由成交供应商负责交涉并承担全部责任，如采购人为解决纠纷矛盾先期支付了费用的，成交供应商应当自收到采购人要求偿还费用的函之日起五日内向采购人偿还完毕。</w:t>
      </w:r>
    </w:p>
    <w:p w14:paraId="502B5451">
      <w:pPr>
        <w:spacing w:line="58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4</w:t>
      </w:r>
      <w:r>
        <w:rPr>
          <w:rFonts w:ascii="Times New Roman" w:hAnsi="Times New Roman" w:eastAsia="仿宋" w:cs="Times New Roman"/>
          <w:sz w:val="32"/>
          <w:szCs w:val="32"/>
          <w:lang w:val="en"/>
        </w:rPr>
        <w:t>.</w:t>
      </w:r>
      <w:r>
        <w:rPr>
          <w:rFonts w:ascii="Times New Roman" w:hAnsi="Times New Roman" w:eastAsia="仿宋" w:cs="Times New Roman"/>
          <w:sz w:val="32"/>
          <w:szCs w:val="32"/>
        </w:rPr>
        <w:t>成交供应商因履行合同所发生的其他违约行为，每违约一次，应按合同合计金额的5%向采购人支付违约金，并赔偿采购人因此所造成全部损失。</w:t>
      </w:r>
    </w:p>
    <w:p w14:paraId="7B0902C6">
      <w:pPr>
        <w:spacing w:line="58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5</w:t>
      </w:r>
      <w:r>
        <w:rPr>
          <w:rFonts w:ascii="Times New Roman" w:hAnsi="Times New Roman" w:eastAsia="仿宋" w:cs="Times New Roman"/>
          <w:sz w:val="32"/>
          <w:szCs w:val="32"/>
          <w:lang w:val="en"/>
        </w:rPr>
        <w:t>.</w:t>
      </w:r>
      <w:r>
        <w:rPr>
          <w:rFonts w:ascii="Times New Roman" w:hAnsi="Times New Roman" w:eastAsia="仿宋" w:cs="Times New Roman"/>
          <w:sz w:val="32"/>
          <w:szCs w:val="32"/>
        </w:rPr>
        <w:t>成交供应商支付的违约金不足以弥补采购人损失的，应承担赔偿责任，采购人有权继续向成交供应商追偿。成交供应商应支付给采购人的任何款项，采购人有权从任何应支付未支付给成交供应商的款项中直接抵扣。</w:t>
      </w:r>
    </w:p>
    <w:p w14:paraId="01085549">
      <w:pPr>
        <w:spacing w:line="580" w:lineRule="exact"/>
        <w:ind w:firstLine="640" w:firstLineChars="200"/>
        <w:rPr>
          <w:rFonts w:ascii="Times New Roman" w:hAnsi="Times New Roman" w:eastAsia="仿宋"/>
          <w:sz w:val="32"/>
          <w:szCs w:val="32"/>
        </w:rPr>
      </w:pPr>
      <w:r>
        <w:rPr>
          <w:rFonts w:ascii="Times New Roman" w:hAnsi="Times New Roman" w:eastAsia="仿宋" w:cs="Times New Roman"/>
          <w:sz w:val="32"/>
          <w:szCs w:val="32"/>
        </w:rPr>
        <w:t>6</w:t>
      </w:r>
      <w:r>
        <w:rPr>
          <w:rFonts w:ascii="Times New Roman" w:hAnsi="Times New Roman" w:eastAsia="仿宋" w:cs="Times New Roman"/>
          <w:sz w:val="32"/>
          <w:szCs w:val="32"/>
          <w:lang w:val="en"/>
        </w:rPr>
        <w:t>.</w:t>
      </w:r>
      <w:r>
        <w:rPr>
          <w:rFonts w:ascii="Times New Roman" w:hAnsi="Times New Roman" w:eastAsia="仿宋" w:cs="Times New Roman"/>
          <w:sz w:val="32"/>
          <w:szCs w:val="32"/>
        </w:rPr>
        <w:t>本需求中采购人经济损失或者采购人损失，包括采购人遭受的全部直接经济损失及为此支出的合理费用（包括但不限于为此支出的调查费、诉讼费、保全费、律师费、差旅费等）。</w:t>
      </w:r>
    </w:p>
    <w:p w14:paraId="76C42DEB">
      <w:pPr>
        <w:rPr>
          <w:rFonts w:ascii="Times New Roman" w:hAnsi="Times New Roman" w:eastAsia="黑体"/>
          <w:sz w:val="28"/>
          <w:szCs w:val="28"/>
        </w:rPr>
        <w:sectPr>
          <w:type w:val="continuous"/>
          <w:pgSz w:w="11906" w:h="16838"/>
          <w:pgMar w:top="1418" w:right="1418" w:bottom="1418" w:left="1418" w:header="851" w:footer="992" w:gutter="0"/>
          <w:pgNumType w:fmt="numberInDash"/>
          <w:cols w:space="720" w:num="1"/>
          <w:docGrid w:type="lines" w:linePitch="312" w:charSpace="0"/>
        </w:sectPr>
      </w:pPr>
    </w:p>
    <w:p w14:paraId="33C99C5F">
      <w:pPr>
        <w:jc w:val="center"/>
        <w:rPr>
          <w:rFonts w:hint="eastAsia" w:ascii="Times New Roman" w:hAnsi="Times New Roman" w:eastAsia="黑体" w:cs="Times New Roman"/>
          <w:sz w:val="28"/>
          <w:szCs w:val="28"/>
        </w:rPr>
      </w:pPr>
      <w:r>
        <w:rPr>
          <w:rFonts w:ascii="Times New Roman" w:hAnsi="Times New Roman" w:eastAsia="黑体" w:cs="Times New Roman"/>
          <w:sz w:val="28"/>
          <w:szCs w:val="28"/>
        </w:rPr>
        <w:t>附表</w:t>
      </w:r>
      <w:r>
        <w:rPr>
          <w:rFonts w:hint="eastAsia" w:ascii="Times New Roman" w:hAnsi="Times New Roman" w:eastAsia="黑体" w:cs="Times New Roman"/>
          <w:sz w:val="28"/>
          <w:szCs w:val="28"/>
          <w:lang w:val="en-US" w:eastAsia="zh-CN"/>
        </w:rPr>
        <w:t xml:space="preserve">  </w:t>
      </w:r>
      <w:r>
        <w:rPr>
          <w:rFonts w:ascii="Times New Roman" w:hAnsi="Times New Roman" w:eastAsia="黑体" w:cs="Times New Roman"/>
          <w:sz w:val="28"/>
          <w:szCs w:val="28"/>
        </w:rPr>
        <w:t xml:space="preserve"> </w:t>
      </w:r>
      <w:r>
        <w:rPr>
          <w:rFonts w:hint="eastAsia" w:ascii="Times New Roman" w:hAnsi="Times New Roman" w:eastAsia="黑体" w:cs="Times New Roman"/>
          <w:sz w:val="28"/>
          <w:szCs w:val="28"/>
        </w:rPr>
        <w:t>2025年降雨自动监测点运维服务考核表</w:t>
      </w:r>
    </w:p>
    <w:p w14:paraId="38D8CD8D">
      <w:pPr>
        <w:ind w:firstLine="210" w:firstLineChars="100"/>
        <w:jc w:val="left"/>
        <w:rPr>
          <w:rFonts w:ascii="宋体" w:hAnsi="宋体" w:cs="方正小标宋_GBK"/>
          <w:highlight w:val="none"/>
        </w:rPr>
      </w:pPr>
      <w:r>
        <w:rPr>
          <w:rFonts w:hint="eastAsia" w:ascii="宋体" w:hAnsi="宋体" w:cs="方正小标宋_GBK"/>
          <w:highlight w:val="none"/>
        </w:rPr>
        <w:t>考核时间：    月     日</w:t>
      </w:r>
      <w:r>
        <w:rPr>
          <w:rFonts w:hint="eastAsia" w:ascii="宋体" w:hAnsi="宋体" w:cs="方正小标宋_GBK"/>
          <w:highlight w:val="none"/>
          <w:lang w:val="en-US" w:eastAsia="zh-CN"/>
        </w:rPr>
        <w:t>至     月     日</w:t>
      </w:r>
    </w:p>
    <w:tbl>
      <w:tblPr>
        <w:tblStyle w:val="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1020"/>
        <w:gridCol w:w="3826"/>
        <w:gridCol w:w="3943"/>
        <w:gridCol w:w="850"/>
        <w:gridCol w:w="711"/>
        <w:gridCol w:w="3056"/>
      </w:tblGrid>
      <w:tr w14:paraId="4F2F6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82" w:type="pct"/>
            <w:noWrap w:val="0"/>
            <w:vAlign w:val="center"/>
          </w:tcPr>
          <w:p w14:paraId="3125FDA6">
            <w:pPr>
              <w:pStyle w:val="13"/>
              <w:keepNext w:val="0"/>
              <w:keepLines w:val="0"/>
              <w:pageBreakBefore w:val="0"/>
              <w:widowControl w:val="0"/>
              <w:kinsoku/>
              <w:wordWrap/>
              <w:overflowPunct/>
              <w:topLinePunct w:val="0"/>
              <w:autoSpaceDE/>
              <w:autoSpaceDN/>
              <w:bidi w:val="0"/>
              <w:adjustRightInd/>
              <w:snapToGrid w:val="0"/>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序号</w:t>
            </w:r>
          </w:p>
        </w:tc>
        <w:tc>
          <w:tcPr>
            <w:tcW w:w="359" w:type="pct"/>
            <w:noWrap w:val="0"/>
            <w:vAlign w:val="center"/>
          </w:tcPr>
          <w:p w14:paraId="7AF5CB0D">
            <w:pPr>
              <w:pStyle w:val="13"/>
              <w:keepNext w:val="0"/>
              <w:keepLines w:val="0"/>
              <w:pageBreakBefore w:val="0"/>
              <w:widowControl w:val="0"/>
              <w:kinsoku/>
              <w:wordWrap/>
              <w:overflowPunct/>
              <w:topLinePunct w:val="0"/>
              <w:autoSpaceDE/>
              <w:autoSpaceDN/>
              <w:bidi w:val="0"/>
              <w:adjustRightInd/>
              <w:snapToGrid w:val="0"/>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考核</w:t>
            </w:r>
          </w:p>
          <w:p w14:paraId="7F9CCF22">
            <w:pPr>
              <w:pStyle w:val="13"/>
              <w:keepNext w:val="0"/>
              <w:keepLines w:val="0"/>
              <w:pageBreakBefore w:val="0"/>
              <w:widowControl w:val="0"/>
              <w:kinsoku/>
              <w:wordWrap/>
              <w:overflowPunct/>
              <w:topLinePunct w:val="0"/>
              <w:autoSpaceDE/>
              <w:autoSpaceDN/>
              <w:bidi w:val="0"/>
              <w:adjustRightInd/>
              <w:snapToGrid w:val="0"/>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指标</w:t>
            </w:r>
          </w:p>
        </w:tc>
        <w:tc>
          <w:tcPr>
            <w:tcW w:w="1345" w:type="pct"/>
            <w:noWrap w:val="0"/>
            <w:vAlign w:val="center"/>
          </w:tcPr>
          <w:p w14:paraId="6844E84F">
            <w:pPr>
              <w:pStyle w:val="13"/>
              <w:keepNext w:val="0"/>
              <w:keepLines w:val="0"/>
              <w:pageBreakBefore w:val="0"/>
              <w:widowControl w:val="0"/>
              <w:kinsoku/>
              <w:wordWrap/>
              <w:overflowPunct/>
              <w:topLinePunct w:val="0"/>
              <w:autoSpaceDE/>
              <w:autoSpaceDN/>
              <w:bidi w:val="0"/>
              <w:adjustRightInd/>
              <w:snapToGrid w:val="0"/>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考核内容</w:t>
            </w:r>
          </w:p>
        </w:tc>
        <w:tc>
          <w:tcPr>
            <w:tcW w:w="1387" w:type="pct"/>
            <w:noWrap w:val="0"/>
            <w:vAlign w:val="center"/>
          </w:tcPr>
          <w:p w14:paraId="7850A98F">
            <w:pPr>
              <w:pStyle w:val="13"/>
              <w:keepNext w:val="0"/>
              <w:keepLines w:val="0"/>
              <w:pageBreakBefore w:val="0"/>
              <w:widowControl w:val="0"/>
              <w:kinsoku/>
              <w:wordWrap/>
              <w:overflowPunct/>
              <w:topLinePunct w:val="0"/>
              <w:autoSpaceDE/>
              <w:autoSpaceDN/>
              <w:bidi w:val="0"/>
              <w:adjustRightInd/>
              <w:snapToGrid w:val="0"/>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考核要求</w:t>
            </w:r>
          </w:p>
        </w:tc>
        <w:tc>
          <w:tcPr>
            <w:tcW w:w="299" w:type="pct"/>
            <w:noWrap w:val="0"/>
            <w:vAlign w:val="center"/>
          </w:tcPr>
          <w:p w14:paraId="24180638">
            <w:pPr>
              <w:pStyle w:val="13"/>
              <w:keepNext w:val="0"/>
              <w:keepLines w:val="0"/>
              <w:pageBreakBefore w:val="0"/>
              <w:widowControl w:val="0"/>
              <w:kinsoku/>
              <w:wordWrap/>
              <w:overflowPunct/>
              <w:topLinePunct w:val="0"/>
              <w:autoSpaceDE/>
              <w:autoSpaceDN/>
              <w:bidi w:val="0"/>
              <w:adjustRightInd/>
              <w:snapToGrid w:val="0"/>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分值</w:t>
            </w:r>
          </w:p>
        </w:tc>
        <w:tc>
          <w:tcPr>
            <w:tcW w:w="250" w:type="pct"/>
            <w:noWrap w:val="0"/>
            <w:vAlign w:val="center"/>
          </w:tcPr>
          <w:p w14:paraId="57FA5105">
            <w:pPr>
              <w:pStyle w:val="13"/>
              <w:keepNext w:val="0"/>
              <w:keepLines w:val="0"/>
              <w:pageBreakBefore w:val="0"/>
              <w:widowControl w:val="0"/>
              <w:kinsoku/>
              <w:wordWrap/>
              <w:overflowPunct/>
              <w:topLinePunct w:val="0"/>
              <w:autoSpaceDE/>
              <w:autoSpaceDN/>
              <w:bidi w:val="0"/>
              <w:adjustRightInd/>
              <w:snapToGrid w:val="0"/>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评分结果</w:t>
            </w:r>
          </w:p>
        </w:tc>
        <w:tc>
          <w:tcPr>
            <w:tcW w:w="1075" w:type="pct"/>
            <w:noWrap w:val="0"/>
            <w:vAlign w:val="center"/>
          </w:tcPr>
          <w:p w14:paraId="73D16FC9">
            <w:pPr>
              <w:pStyle w:val="13"/>
              <w:keepNext w:val="0"/>
              <w:keepLines w:val="0"/>
              <w:pageBreakBefore w:val="0"/>
              <w:widowControl w:val="0"/>
              <w:kinsoku/>
              <w:wordWrap/>
              <w:overflowPunct/>
              <w:topLinePunct w:val="0"/>
              <w:autoSpaceDE/>
              <w:autoSpaceDN/>
              <w:bidi w:val="0"/>
              <w:adjustRightInd/>
              <w:snapToGrid w:val="0"/>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备注</w:t>
            </w:r>
          </w:p>
          <w:p w14:paraId="1849045D">
            <w:pPr>
              <w:pStyle w:val="13"/>
              <w:keepNext w:val="0"/>
              <w:keepLines w:val="0"/>
              <w:pageBreakBefore w:val="0"/>
              <w:widowControl w:val="0"/>
              <w:kinsoku/>
              <w:wordWrap/>
              <w:overflowPunct/>
              <w:topLinePunct w:val="0"/>
              <w:autoSpaceDE/>
              <w:autoSpaceDN/>
              <w:bidi w:val="0"/>
              <w:adjustRightInd/>
              <w:snapToGrid w:val="0"/>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（说明扣分原因或其他事项）</w:t>
            </w:r>
          </w:p>
        </w:tc>
      </w:tr>
      <w:tr w14:paraId="05863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jc w:val="center"/>
        </w:trPr>
        <w:tc>
          <w:tcPr>
            <w:tcW w:w="282" w:type="pct"/>
            <w:noWrap w:val="0"/>
            <w:vAlign w:val="center"/>
          </w:tcPr>
          <w:p w14:paraId="7989AF9D">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一</w:t>
            </w:r>
          </w:p>
        </w:tc>
        <w:tc>
          <w:tcPr>
            <w:tcW w:w="359" w:type="pct"/>
            <w:noWrap w:val="0"/>
            <w:vAlign w:val="center"/>
          </w:tcPr>
          <w:p w14:paraId="654EAA4B">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降雨样品采送</w:t>
            </w:r>
          </w:p>
        </w:tc>
        <w:tc>
          <w:tcPr>
            <w:tcW w:w="1345" w:type="pct"/>
            <w:noWrap w:val="0"/>
            <w:vAlign w:val="center"/>
          </w:tcPr>
          <w:p w14:paraId="7C62BC53">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（一）每天登录广西壮族自治区酸雨监测质量控制系统查看仪器状态信息、监测数据信息，并拍照或截图上传。</w:t>
            </w:r>
          </w:p>
          <w:p w14:paraId="27ABEE68">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（二）逢雨必采，逢雨必送，降雨按时送到指定实验室并提交采样交接记录。</w:t>
            </w:r>
          </w:p>
        </w:tc>
        <w:tc>
          <w:tcPr>
            <w:tcW w:w="1387" w:type="pct"/>
            <w:noWrap w:val="0"/>
            <w:vAlign w:val="center"/>
          </w:tcPr>
          <w:p w14:paraId="57079724">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（一）每天登录广西壮族自治区酸雨监测质量控制系统查看仪器状态信息、监测数据信息，并拍照或截图上传指定微信群。缺少一天扣0.5分，扣完为止。</w:t>
            </w:r>
          </w:p>
          <w:p w14:paraId="63FB108B">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（二）降雨未按时送到指定实验室或未按要求提交采样交接记录。每次扣0.5分，扣完为止。</w:t>
            </w:r>
          </w:p>
        </w:tc>
        <w:tc>
          <w:tcPr>
            <w:tcW w:w="299" w:type="pct"/>
            <w:noWrap w:val="0"/>
            <w:vAlign w:val="center"/>
          </w:tcPr>
          <w:p w14:paraId="071FF96A">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25</w:t>
            </w:r>
          </w:p>
        </w:tc>
        <w:tc>
          <w:tcPr>
            <w:tcW w:w="250" w:type="pct"/>
            <w:noWrap w:val="0"/>
            <w:vAlign w:val="center"/>
          </w:tcPr>
          <w:p w14:paraId="463CC55E">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075" w:type="pct"/>
            <w:noWrap w:val="0"/>
            <w:vAlign w:val="center"/>
          </w:tcPr>
          <w:p w14:paraId="658F3E98">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逢雨必采，逢雨必送，每天上午9：00至次日上午9：00的降雨视为一个样品，须在次日15时前送到采购人指定实验室。因不可抗拒原因造成的样品采集延迟，该次样品仍需送样，并在采样记录单备注延迟原因。</w:t>
            </w:r>
          </w:p>
        </w:tc>
      </w:tr>
      <w:tr w14:paraId="3CD3F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jc w:val="center"/>
        </w:trPr>
        <w:tc>
          <w:tcPr>
            <w:tcW w:w="282" w:type="pct"/>
            <w:noWrap w:val="0"/>
            <w:vAlign w:val="center"/>
          </w:tcPr>
          <w:p w14:paraId="37AE93F9">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二</w:t>
            </w:r>
          </w:p>
        </w:tc>
        <w:tc>
          <w:tcPr>
            <w:tcW w:w="359" w:type="pct"/>
            <w:noWrap w:val="0"/>
            <w:vAlign w:val="center"/>
          </w:tcPr>
          <w:p w14:paraId="198713B7">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质量控制</w:t>
            </w:r>
          </w:p>
        </w:tc>
        <w:tc>
          <w:tcPr>
            <w:tcW w:w="1345" w:type="pct"/>
            <w:noWrap w:val="0"/>
            <w:vAlign w:val="center"/>
          </w:tcPr>
          <w:p w14:paraId="5408F0A0">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（一）</w:t>
            </w:r>
            <w:r>
              <w:rPr>
                <w:rFonts w:hint="default" w:ascii="Times New Roman" w:hAnsi="Times New Roman" w:eastAsia="仿宋" w:cs="Times New Roman"/>
                <w:bCs/>
                <w:sz w:val="21"/>
                <w:szCs w:val="21"/>
                <w:highlight w:val="none"/>
              </w:rPr>
              <w:t>在每月初(第一场雨之前)尽快分析采购方下发的质控考核样并及时向采购方报告结果。并在每月pH值自动监测与实验室监测比对未通过时，及时分析补发的质控考核样。若质控样考核未通过应及时排查原因，校准仪器后再次监测质控样，直到合格为止。</w:t>
            </w:r>
          </w:p>
        </w:tc>
        <w:tc>
          <w:tcPr>
            <w:tcW w:w="1387" w:type="pct"/>
            <w:noWrap w:val="0"/>
            <w:vAlign w:val="center"/>
          </w:tcPr>
          <w:p w14:paraId="304EF002">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bCs/>
                <w:sz w:val="21"/>
                <w:szCs w:val="21"/>
                <w:highlight w:val="none"/>
              </w:rPr>
              <w:t>每月初(第一场雨之前)尽快分析采购方下发的质控考核样并及时向采购方报告结果。如补发一次质控样后仍考核不合格的，扣20分。</w:t>
            </w:r>
          </w:p>
        </w:tc>
        <w:tc>
          <w:tcPr>
            <w:tcW w:w="299" w:type="pct"/>
            <w:noWrap w:val="0"/>
            <w:vAlign w:val="center"/>
          </w:tcPr>
          <w:p w14:paraId="23FB10DC">
            <w:pPr>
              <w:keepNext w:val="0"/>
              <w:keepLines w:val="0"/>
              <w:pageBreakBefore w:val="0"/>
              <w:widowControl w:val="0"/>
              <w:tabs>
                <w:tab w:val="left" w:pos="222"/>
                <w:tab w:val="center" w:pos="359"/>
              </w:tabs>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ab/>
            </w:r>
            <w:r>
              <w:rPr>
                <w:rFonts w:hint="default" w:ascii="Times New Roman" w:hAnsi="Times New Roman" w:eastAsia="仿宋" w:cs="Times New Roman"/>
                <w:sz w:val="21"/>
                <w:szCs w:val="21"/>
                <w:highlight w:val="none"/>
              </w:rPr>
              <w:t>20</w:t>
            </w:r>
          </w:p>
        </w:tc>
        <w:tc>
          <w:tcPr>
            <w:tcW w:w="250" w:type="pct"/>
            <w:noWrap w:val="0"/>
            <w:vAlign w:val="center"/>
          </w:tcPr>
          <w:p w14:paraId="549340FF">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075" w:type="pct"/>
            <w:noWrap w:val="0"/>
            <w:vAlign w:val="center"/>
          </w:tcPr>
          <w:p w14:paraId="6E7A85A3">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left"/>
              <w:textAlignment w:val="auto"/>
              <w:rPr>
                <w:rFonts w:hint="default" w:ascii="Times New Roman" w:hAnsi="Times New Roman" w:eastAsia="仿宋" w:cs="Times New Roman"/>
                <w:sz w:val="21"/>
                <w:szCs w:val="21"/>
                <w:highlight w:val="none"/>
              </w:rPr>
            </w:pPr>
          </w:p>
        </w:tc>
      </w:tr>
      <w:tr w14:paraId="50A57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jc w:val="center"/>
        </w:trPr>
        <w:tc>
          <w:tcPr>
            <w:tcW w:w="282" w:type="pct"/>
            <w:noWrap w:val="0"/>
            <w:vAlign w:val="center"/>
          </w:tcPr>
          <w:p w14:paraId="5E76EEED">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三</w:t>
            </w:r>
          </w:p>
        </w:tc>
        <w:tc>
          <w:tcPr>
            <w:tcW w:w="359" w:type="pct"/>
            <w:noWrap w:val="0"/>
            <w:vAlign w:val="center"/>
          </w:tcPr>
          <w:p w14:paraId="1BEA8ABC">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日常运维工作</w:t>
            </w:r>
          </w:p>
        </w:tc>
        <w:tc>
          <w:tcPr>
            <w:tcW w:w="1345" w:type="pct"/>
            <w:noWrap w:val="0"/>
            <w:vAlign w:val="center"/>
          </w:tcPr>
          <w:p w14:paraId="5D223641">
            <w:pPr>
              <w:keepNext w:val="0"/>
              <w:keepLines w:val="0"/>
              <w:pageBreakBefore w:val="0"/>
              <w:widowControl w:val="0"/>
              <w:numPr>
                <w:ilvl w:val="0"/>
                <w:numId w:val="1"/>
              </w:numPr>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至少每两周进行1次在线设备pH值和电导率校准。</w:t>
            </w:r>
          </w:p>
          <w:p w14:paraId="0A1A8883">
            <w:pPr>
              <w:keepNext w:val="0"/>
              <w:keepLines w:val="0"/>
              <w:pageBreakBefore w:val="0"/>
              <w:widowControl w:val="0"/>
              <w:numPr>
                <w:ilvl w:val="0"/>
                <w:numId w:val="1"/>
              </w:numPr>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每个月至少采集一次样品空白。</w:t>
            </w:r>
          </w:p>
          <w:p w14:paraId="7308AB21">
            <w:pPr>
              <w:keepNext w:val="0"/>
              <w:keepLines w:val="0"/>
              <w:pageBreakBefore w:val="0"/>
              <w:widowControl w:val="0"/>
              <w:numPr>
                <w:ilvl w:val="0"/>
                <w:numId w:val="1"/>
              </w:numPr>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每季度至少清洗一次仪器的集雨桶和雨量桶，并采集一个全程序空白样品。</w:t>
            </w:r>
          </w:p>
          <w:p w14:paraId="579B6228">
            <w:pPr>
              <w:keepNext w:val="0"/>
              <w:keepLines w:val="0"/>
              <w:pageBreakBefore w:val="0"/>
              <w:widowControl w:val="0"/>
              <w:numPr>
                <w:ilvl w:val="0"/>
                <w:numId w:val="1"/>
              </w:numPr>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每个站点每月至少进行一次实验室与在线设备pH值比对。</w:t>
            </w:r>
          </w:p>
          <w:p w14:paraId="1FA26E0E">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（五）日常运维工作完成后应按要求及时填写维护记录、仪器校准记录、质控记录、巡查记录等相关记录。所有表格应在要求时限内提交给采购人存档备案。</w:t>
            </w:r>
          </w:p>
          <w:p w14:paraId="6C8D3303">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（六）无论是否有降水，每天登录广西壮族自治区酸雨监测质量控制系统查看仪器状态信息、监测数据信息，并拍照或截图上传。</w:t>
            </w:r>
          </w:p>
          <w:p w14:paraId="083C3FC4">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（七）其他配套装置维护管理等要求。</w:t>
            </w:r>
          </w:p>
        </w:tc>
        <w:tc>
          <w:tcPr>
            <w:tcW w:w="1387" w:type="pct"/>
            <w:noWrap w:val="0"/>
            <w:vAlign w:val="center"/>
          </w:tcPr>
          <w:p w14:paraId="00564CA8">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（一）至少每两周进行1次在线设备pH值和电导率校准，缺少一次扣2分。</w:t>
            </w:r>
          </w:p>
          <w:p w14:paraId="45F7C096">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（二）每个月至少采集一次样品空白，缺少一次扣2分。</w:t>
            </w:r>
          </w:p>
          <w:p w14:paraId="696E614D">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（三）每季度至少清洗一次仪器的集雨桶和雨量桶，并采集一个全程序空白样品，缺少一次扣2分。</w:t>
            </w:r>
          </w:p>
          <w:p w14:paraId="1DA94684">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四）每个站点每月至少进行一次实验室与在线设备pH值比对，pH值偏差不能超过±0.3个pH单位，如超过范围，则再次校准设备，再次监测有证标准样品，直到合格为止。在仪器无故障的情况下，如比对超过三次不合格的，从第三次起，每次扣1分，扣完为止。</w:t>
            </w:r>
          </w:p>
          <w:p w14:paraId="0842C4C8">
            <w:pPr>
              <w:keepNext w:val="0"/>
              <w:keepLines w:val="0"/>
              <w:pageBreakBefore w:val="0"/>
              <w:widowControl w:val="0"/>
              <w:kinsoku/>
              <w:wordWrap/>
              <w:overflowPunct/>
              <w:topLinePunct w:val="0"/>
              <w:autoSpaceDE/>
              <w:autoSpaceDN/>
              <w:bidi w:val="0"/>
              <w:adjustRightInd/>
              <w:spacing w:line="240" w:lineRule="exac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（五）日常运维工作完成后未及时填写相关记录，或未按要求时限将各类记录提交给采购人存档备案，每缺一项扣0.5分，扣完为止。</w:t>
            </w:r>
          </w:p>
          <w:p w14:paraId="5C6400E5">
            <w:pPr>
              <w:keepNext w:val="0"/>
              <w:keepLines w:val="0"/>
              <w:pageBreakBefore w:val="0"/>
              <w:widowControl w:val="0"/>
              <w:kinsoku/>
              <w:wordWrap/>
              <w:overflowPunct/>
              <w:topLinePunct w:val="0"/>
              <w:autoSpaceDE/>
              <w:autoSpaceDN/>
              <w:bidi w:val="0"/>
              <w:adjustRightInd/>
              <w:spacing w:line="240" w:lineRule="exac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（六）无论是否有降水，每天登录广西壮族自治区酸雨监测质量控制系统查看仪器状态信息、监测数据信息，并拍照或截图上传，缺少一天扣1分，扣完为止。</w:t>
            </w:r>
          </w:p>
          <w:p w14:paraId="293B830E">
            <w:pPr>
              <w:keepNext w:val="0"/>
              <w:keepLines w:val="0"/>
              <w:pageBreakBefore w:val="0"/>
              <w:widowControl w:val="0"/>
              <w:kinsoku/>
              <w:wordWrap/>
              <w:overflowPunct/>
              <w:topLinePunct w:val="0"/>
              <w:autoSpaceDE/>
              <w:autoSpaceDN/>
              <w:bidi w:val="0"/>
              <w:adjustRightInd/>
              <w:spacing w:line="240" w:lineRule="exac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（七）其他违反维护管理要求的事项，每次扣1分，扣完为止。</w:t>
            </w:r>
          </w:p>
        </w:tc>
        <w:tc>
          <w:tcPr>
            <w:tcW w:w="299" w:type="pct"/>
            <w:noWrap w:val="0"/>
            <w:vAlign w:val="center"/>
          </w:tcPr>
          <w:p w14:paraId="156B34C8">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25</w:t>
            </w:r>
          </w:p>
        </w:tc>
        <w:tc>
          <w:tcPr>
            <w:tcW w:w="250" w:type="pct"/>
            <w:noWrap w:val="0"/>
            <w:vAlign w:val="center"/>
          </w:tcPr>
          <w:p w14:paraId="4FB359E4">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075" w:type="pct"/>
            <w:noWrap w:val="0"/>
            <w:vAlign w:val="center"/>
          </w:tcPr>
          <w:p w14:paraId="5BA23D34">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r>
      <w:tr w14:paraId="0E10A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jc w:val="center"/>
        </w:trPr>
        <w:tc>
          <w:tcPr>
            <w:tcW w:w="282" w:type="pct"/>
            <w:noWrap w:val="0"/>
            <w:vAlign w:val="center"/>
          </w:tcPr>
          <w:p w14:paraId="5BEE5772">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四</w:t>
            </w:r>
          </w:p>
        </w:tc>
        <w:tc>
          <w:tcPr>
            <w:tcW w:w="359" w:type="pct"/>
            <w:noWrap w:val="0"/>
            <w:vAlign w:val="center"/>
          </w:tcPr>
          <w:p w14:paraId="56553BA5">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仪器设备维修</w:t>
            </w:r>
          </w:p>
        </w:tc>
        <w:tc>
          <w:tcPr>
            <w:tcW w:w="1345" w:type="pct"/>
            <w:noWrap w:val="0"/>
            <w:vAlign w:val="center"/>
          </w:tcPr>
          <w:p w14:paraId="7E564B95">
            <w:pPr>
              <w:keepNext w:val="0"/>
              <w:keepLines w:val="0"/>
              <w:pageBreakBefore w:val="0"/>
              <w:widowControl w:val="0"/>
              <w:numPr>
                <w:ilvl w:val="0"/>
                <w:numId w:val="2"/>
              </w:numPr>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初步判断现场监测仪器设备故障。</w:t>
            </w:r>
          </w:p>
          <w:p w14:paraId="759994B5">
            <w:pPr>
              <w:keepNext w:val="0"/>
              <w:keepLines w:val="0"/>
              <w:pageBreakBefore w:val="0"/>
              <w:widowControl w:val="0"/>
              <w:numPr>
                <w:ilvl w:val="0"/>
                <w:numId w:val="2"/>
              </w:numPr>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协助做好仪器设备维修相关工作。</w:t>
            </w:r>
          </w:p>
          <w:p w14:paraId="1CD977DB">
            <w:pPr>
              <w:keepNext w:val="0"/>
              <w:keepLines w:val="0"/>
              <w:pageBreakBefore w:val="0"/>
              <w:widowControl w:val="0"/>
              <w:numPr>
                <w:ilvl w:val="0"/>
                <w:numId w:val="2"/>
              </w:numPr>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承担现场监测仪器设备维修，（合同期内总价不超过三万元）。</w:t>
            </w:r>
          </w:p>
          <w:p w14:paraId="5805AF70">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（四）按要求填写维修记录并在仪器完成维修通过验收后提交给采购人存档备案。</w:t>
            </w:r>
          </w:p>
          <w:p w14:paraId="4A9C03D6">
            <w:pPr>
              <w:pStyle w:val="4"/>
              <w:keepNext w:val="0"/>
              <w:keepLines w:val="0"/>
              <w:pageBreakBefore w:val="0"/>
              <w:widowControl w:val="0"/>
              <w:kinsoku/>
              <w:wordWrap/>
              <w:overflowPunct/>
              <w:topLinePunct w:val="0"/>
              <w:autoSpaceDE/>
              <w:autoSpaceDN/>
              <w:bidi w:val="0"/>
              <w:adjustRightInd/>
              <w:spacing w:line="240" w:lineRule="exact"/>
              <w:textAlignment w:val="auto"/>
              <w:rPr>
                <w:rFonts w:hint="default" w:ascii="Times New Roman" w:hAnsi="Times New Roman" w:eastAsia="仿宋" w:cs="Times New Roman"/>
                <w:sz w:val="21"/>
                <w:szCs w:val="21"/>
                <w:highlight w:val="none"/>
              </w:rPr>
            </w:pPr>
          </w:p>
        </w:tc>
        <w:tc>
          <w:tcPr>
            <w:tcW w:w="1387" w:type="pct"/>
            <w:noWrap w:val="0"/>
            <w:vAlign w:val="center"/>
          </w:tcPr>
          <w:p w14:paraId="53396151">
            <w:pPr>
              <w:keepNext w:val="0"/>
              <w:keepLines w:val="0"/>
              <w:pageBreakBefore w:val="0"/>
              <w:widowControl w:val="0"/>
              <w:numPr>
                <w:ilvl w:val="0"/>
                <w:numId w:val="3"/>
              </w:numPr>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及时判断仪器设备故障，于2个工作日内完成故障原因分析及承诺排除故障时限，并向采购人提供书面报告（未按要求完成的每次扣1分），于15个自然日内完成维修并通过验收，如未完成从第16个自然日起，每增加1天，扣1分，扣完为止。如遇特殊情况，须同采购人商议解决。</w:t>
            </w:r>
          </w:p>
          <w:p w14:paraId="3B2C5DEB">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（二）协助仪器设备维修人员做好相关工作，并完成仪器设备维修后状态确认，未按要求完成的每次扣1分，扣完为止。</w:t>
            </w:r>
          </w:p>
          <w:p w14:paraId="578D804A">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（三）仪器设备故障诊断、维修方式及费由双方确认。</w:t>
            </w:r>
          </w:p>
          <w:p w14:paraId="43A6D7F4">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（四）未按要求填写维修记录并在仪器完成维修通过验收后提交给采购人存档备案。每次扣1分，扣完为止。</w:t>
            </w:r>
          </w:p>
        </w:tc>
        <w:tc>
          <w:tcPr>
            <w:tcW w:w="299" w:type="pct"/>
            <w:noWrap w:val="0"/>
            <w:vAlign w:val="center"/>
          </w:tcPr>
          <w:p w14:paraId="2A1953CB">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15</w:t>
            </w:r>
          </w:p>
        </w:tc>
        <w:tc>
          <w:tcPr>
            <w:tcW w:w="250" w:type="pct"/>
            <w:noWrap w:val="0"/>
            <w:vAlign w:val="center"/>
          </w:tcPr>
          <w:p w14:paraId="64AA0364">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075" w:type="pct"/>
            <w:noWrap w:val="0"/>
            <w:vAlign w:val="center"/>
          </w:tcPr>
          <w:p w14:paraId="308B4C8A">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r>
      <w:tr w14:paraId="55BE7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282" w:type="pct"/>
            <w:noWrap w:val="0"/>
            <w:vAlign w:val="center"/>
          </w:tcPr>
          <w:p w14:paraId="6135A337">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五</w:t>
            </w:r>
          </w:p>
        </w:tc>
        <w:tc>
          <w:tcPr>
            <w:tcW w:w="359" w:type="pct"/>
            <w:noWrap w:val="0"/>
            <w:vAlign w:val="center"/>
          </w:tcPr>
          <w:p w14:paraId="7C49DBDE">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记录</w:t>
            </w:r>
          </w:p>
        </w:tc>
        <w:tc>
          <w:tcPr>
            <w:tcW w:w="1345" w:type="pct"/>
            <w:noWrap w:val="0"/>
            <w:vAlign w:val="center"/>
          </w:tcPr>
          <w:p w14:paraId="1B515234">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（一）按照要求规范填写样品标签、</w:t>
            </w:r>
            <w:r>
              <w:rPr>
                <w:rFonts w:hint="default" w:ascii="Times New Roman" w:hAnsi="Times New Roman" w:eastAsia="仿宋" w:cs="Times New Roman"/>
                <w:bCs/>
                <w:sz w:val="21"/>
                <w:szCs w:val="21"/>
                <w:highlight w:val="none"/>
              </w:rPr>
              <w:t>采样</w:t>
            </w:r>
            <w:r>
              <w:rPr>
                <w:rFonts w:hint="default" w:ascii="Times New Roman" w:hAnsi="Times New Roman" w:eastAsia="仿宋" w:cs="Times New Roman"/>
                <w:sz w:val="21"/>
                <w:szCs w:val="21"/>
                <w:highlight w:val="none"/>
              </w:rPr>
              <w:t>交接记录、维护记录、维修记录、仪器校准记录、质控记录、巡查记录等。</w:t>
            </w:r>
          </w:p>
          <w:p w14:paraId="200E2EA0">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（二）所有记录须字体清晰，不得模糊潦草，并按规范填写相应内容。</w:t>
            </w:r>
          </w:p>
          <w:p w14:paraId="620656BB">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（三）采购方可随时抽查记录内容，服务方须及时提供，不得阻挠、拖延、伪造。</w:t>
            </w:r>
          </w:p>
        </w:tc>
        <w:tc>
          <w:tcPr>
            <w:tcW w:w="1387" w:type="pct"/>
            <w:noWrap w:val="0"/>
            <w:vAlign w:val="center"/>
          </w:tcPr>
          <w:p w14:paraId="7B3306E6">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（一）按照要求规范填写样品标签、</w:t>
            </w:r>
            <w:r>
              <w:rPr>
                <w:rFonts w:hint="default" w:ascii="Times New Roman" w:hAnsi="Times New Roman" w:eastAsia="仿宋" w:cs="Times New Roman"/>
                <w:bCs/>
                <w:sz w:val="21"/>
                <w:szCs w:val="21"/>
                <w:highlight w:val="none"/>
              </w:rPr>
              <w:t>采样</w:t>
            </w:r>
            <w:r>
              <w:rPr>
                <w:rFonts w:hint="default" w:ascii="Times New Roman" w:hAnsi="Times New Roman" w:eastAsia="仿宋" w:cs="Times New Roman"/>
                <w:sz w:val="21"/>
                <w:szCs w:val="21"/>
                <w:highlight w:val="none"/>
              </w:rPr>
              <w:t>交接记录、维护记录、维修记录、仪器校准记录、质控记录、巡查记录等，出现错误不及时更改的每次扣0.5分，扣完为止。</w:t>
            </w:r>
          </w:p>
          <w:p w14:paraId="10C3B394">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（二）记录字体潦草、模糊不清的，每份扣0.5分，扣完为止。</w:t>
            </w:r>
          </w:p>
          <w:p w14:paraId="2DD19B9E">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（三）发现有拖延、伪造记录、阻挠审查记录的，该项不得分。</w:t>
            </w:r>
          </w:p>
        </w:tc>
        <w:tc>
          <w:tcPr>
            <w:tcW w:w="299" w:type="pct"/>
            <w:noWrap w:val="0"/>
            <w:vAlign w:val="center"/>
          </w:tcPr>
          <w:p w14:paraId="6E3082A0">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5</w:t>
            </w:r>
          </w:p>
        </w:tc>
        <w:tc>
          <w:tcPr>
            <w:tcW w:w="250" w:type="pct"/>
            <w:noWrap w:val="0"/>
            <w:vAlign w:val="center"/>
          </w:tcPr>
          <w:p w14:paraId="45393C76">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075" w:type="pct"/>
            <w:noWrap w:val="0"/>
            <w:vAlign w:val="center"/>
          </w:tcPr>
          <w:p w14:paraId="77ABC7F5">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r>
      <w:tr w14:paraId="12BD7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jc w:val="center"/>
        </w:trPr>
        <w:tc>
          <w:tcPr>
            <w:tcW w:w="282" w:type="pct"/>
            <w:noWrap w:val="0"/>
            <w:vAlign w:val="center"/>
          </w:tcPr>
          <w:p w14:paraId="6AA63DF9">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六</w:t>
            </w:r>
          </w:p>
        </w:tc>
        <w:tc>
          <w:tcPr>
            <w:tcW w:w="359" w:type="pct"/>
            <w:noWrap w:val="0"/>
            <w:vAlign w:val="center"/>
          </w:tcPr>
          <w:p w14:paraId="0E7F475C">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数据  保密</w:t>
            </w:r>
          </w:p>
        </w:tc>
        <w:tc>
          <w:tcPr>
            <w:tcW w:w="1345" w:type="pct"/>
            <w:noWrap w:val="0"/>
            <w:vAlign w:val="center"/>
          </w:tcPr>
          <w:p w14:paraId="70C075ED">
            <w:pPr>
              <w:keepNext w:val="0"/>
              <w:keepLines w:val="0"/>
              <w:pageBreakBefore w:val="0"/>
              <w:widowControl w:val="0"/>
              <w:numPr>
                <w:ilvl w:val="0"/>
                <w:numId w:val="4"/>
              </w:numPr>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承担监测数据的保密责任，不得以任何方式和渠道向外界传递任何监测数据。</w:t>
            </w:r>
          </w:p>
        </w:tc>
        <w:tc>
          <w:tcPr>
            <w:tcW w:w="1387" w:type="pct"/>
            <w:noWrap w:val="0"/>
            <w:vAlign w:val="center"/>
          </w:tcPr>
          <w:p w14:paraId="20EA75B1">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若出现擅自向外界传递采购方监测数据的，该项不得分。</w:t>
            </w:r>
          </w:p>
        </w:tc>
        <w:tc>
          <w:tcPr>
            <w:tcW w:w="299" w:type="pct"/>
            <w:noWrap w:val="0"/>
            <w:vAlign w:val="center"/>
          </w:tcPr>
          <w:p w14:paraId="451DF1FD">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5</w:t>
            </w:r>
          </w:p>
        </w:tc>
        <w:tc>
          <w:tcPr>
            <w:tcW w:w="250" w:type="pct"/>
            <w:noWrap w:val="0"/>
            <w:vAlign w:val="center"/>
          </w:tcPr>
          <w:p w14:paraId="4F453FD0">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075" w:type="pct"/>
            <w:noWrap w:val="0"/>
            <w:vAlign w:val="center"/>
          </w:tcPr>
          <w:p w14:paraId="0F58C1BA">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r>
      <w:tr w14:paraId="35561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282" w:type="pct"/>
            <w:noWrap w:val="0"/>
            <w:vAlign w:val="center"/>
          </w:tcPr>
          <w:p w14:paraId="2D38E4F5">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七</w:t>
            </w:r>
          </w:p>
        </w:tc>
        <w:tc>
          <w:tcPr>
            <w:tcW w:w="359" w:type="pct"/>
            <w:noWrap w:val="0"/>
            <w:vAlign w:val="center"/>
          </w:tcPr>
          <w:p w14:paraId="6187585E">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人员</w:t>
            </w:r>
          </w:p>
          <w:p w14:paraId="673778D9">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管理</w:t>
            </w:r>
          </w:p>
        </w:tc>
        <w:tc>
          <w:tcPr>
            <w:tcW w:w="1345" w:type="pct"/>
            <w:noWrap w:val="0"/>
            <w:vAlign w:val="center"/>
          </w:tcPr>
          <w:p w14:paraId="6B5DBFEE">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（一）按合同要求安排运维人员，并按要求积极配合采购方开展各项工作，遵守采购方各项规章制度。</w:t>
            </w:r>
          </w:p>
          <w:p w14:paraId="08130DF7">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（二）运维期间，运维人员离职须提前10日报告采购人，新补充的运维人员应具备同等资质。</w:t>
            </w:r>
          </w:p>
        </w:tc>
        <w:tc>
          <w:tcPr>
            <w:tcW w:w="1387" w:type="pct"/>
            <w:noWrap w:val="0"/>
            <w:vAlign w:val="center"/>
          </w:tcPr>
          <w:p w14:paraId="6330A284">
            <w:pPr>
              <w:keepNext w:val="0"/>
              <w:keepLines w:val="0"/>
              <w:pageBreakBefore w:val="0"/>
              <w:widowControl w:val="0"/>
              <w:kinsoku/>
              <w:wordWrap/>
              <w:overflowPunct/>
              <w:topLinePunct w:val="0"/>
              <w:autoSpaceDE/>
              <w:autoSpaceDN/>
              <w:bidi w:val="0"/>
              <w:adjustRightInd/>
              <w:spacing w:line="240" w:lineRule="exact"/>
              <w:jc w:val="lef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（一）每次安排2人开展采送样工作，无故缺席的每人扣1分，并追究乙方责任；不配合采购方开展工作、不遵守规章制度的每出现1次扣1分，扣完为止。</w:t>
            </w:r>
          </w:p>
          <w:p w14:paraId="6E84EEC0">
            <w:pPr>
              <w:pStyle w:val="4"/>
              <w:keepNext w:val="0"/>
              <w:keepLines w:val="0"/>
              <w:pageBreakBefore w:val="0"/>
              <w:widowControl w:val="0"/>
              <w:kinsoku/>
              <w:wordWrap/>
              <w:overflowPunct/>
              <w:topLinePunct w:val="0"/>
              <w:autoSpaceDE/>
              <w:autoSpaceDN/>
              <w:bidi w:val="0"/>
              <w:adjustRightInd/>
              <w:spacing w:line="240" w:lineRule="exact"/>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（二）运维期间，运维人员离职未提前10日报告采购人或当季运维人员更换超过一次，每出现1次扣1分，扣完为止。</w:t>
            </w:r>
          </w:p>
        </w:tc>
        <w:tc>
          <w:tcPr>
            <w:tcW w:w="299" w:type="pct"/>
            <w:noWrap w:val="0"/>
            <w:vAlign w:val="center"/>
          </w:tcPr>
          <w:p w14:paraId="5F112067">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5</w:t>
            </w:r>
          </w:p>
        </w:tc>
        <w:tc>
          <w:tcPr>
            <w:tcW w:w="250" w:type="pct"/>
            <w:noWrap w:val="0"/>
            <w:vAlign w:val="center"/>
          </w:tcPr>
          <w:p w14:paraId="06A93D0D">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075" w:type="pct"/>
            <w:noWrap w:val="0"/>
            <w:vAlign w:val="center"/>
          </w:tcPr>
          <w:p w14:paraId="15C4B17A">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r>
      <w:tr w14:paraId="2B5AE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7" w:type="pct"/>
            <w:gridSpan w:val="3"/>
            <w:noWrap w:val="0"/>
            <w:vAlign w:val="center"/>
          </w:tcPr>
          <w:p w14:paraId="35FCCBD3">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合计</w:t>
            </w:r>
          </w:p>
        </w:tc>
        <w:tc>
          <w:tcPr>
            <w:tcW w:w="1387" w:type="pct"/>
            <w:noWrap w:val="0"/>
            <w:vAlign w:val="center"/>
          </w:tcPr>
          <w:p w14:paraId="66636ACB">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p>
        </w:tc>
        <w:tc>
          <w:tcPr>
            <w:tcW w:w="299" w:type="pct"/>
            <w:noWrap w:val="0"/>
            <w:vAlign w:val="center"/>
          </w:tcPr>
          <w:p w14:paraId="572DD74E">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100</w:t>
            </w:r>
          </w:p>
        </w:tc>
        <w:tc>
          <w:tcPr>
            <w:tcW w:w="250" w:type="pct"/>
            <w:noWrap w:val="0"/>
            <w:vAlign w:val="center"/>
          </w:tcPr>
          <w:p w14:paraId="0CEC7D0F">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075" w:type="pct"/>
            <w:noWrap w:val="0"/>
            <w:vAlign w:val="center"/>
          </w:tcPr>
          <w:p w14:paraId="3104E099">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r>
      <w:tr w14:paraId="536BD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7" w:type="pct"/>
            <w:gridSpan w:val="3"/>
            <w:noWrap w:val="0"/>
            <w:vAlign w:val="center"/>
          </w:tcPr>
          <w:p w14:paraId="379EFD90">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本次考核总分得分</w:t>
            </w:r>
          </w:p>
        </w:tc>
        <w:tc>
          <w:tcPr>
            <w:tcW w:w="1387" w:type="pct"/>
            <w:noWrap w:val="0"/>
            <w:vAlign w:val="center"/>
          </w:tcPr>
          <w:p w14:paraId="1E10F1E6">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624" w:type="pct"/>
            <w:gridSpan w:val="3"/>
            <w:noWrap w:val="0"/>
            <w:vAlign w:val="center"/>
          </w:tcPr>
          <w:p w14:paraId="22EAA909">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r>
      <w:tr w14:paraId="2D965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7" w:type="pct"/>
            <w:gridSpan w:val="3"/>
            <w:noWrap w:val="0"/>
            <w:vAlign w:val="center"/>
          </w:tcPr>
          <w:p w14:paraId="642CDB34">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本次考核总评价</w:t>
            </w:r>
          </w:p>
        </w:tc>
        <w:tc>
          <w:tcPr>
            <w:tcW w:w="1387" w:type="pct"/>
            <w:noWrap w:val="0"/>
            <w:vAlign w:val="center"/>
          </w:tcPr>
          <w:p w14:paraId="3B36DC42">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p>
        </w:tc>
        <w:tc>
          <w:tcPr>
            <w:tcW w:w="1624" w:type="pct"/>
            <w:gridSpan w:val="3"/>
            <w:noWrap w:val="0"/>
            <w:vAlign w:val="center"/>
          </w:tcPr>
          <w:p w14:paraId="6751DD1D">
            <w:pPr>
              <w:pStyle w:val="13"/>
              <w:keepNext w:val="0"/>
              <w:keepLines w:val="0"/>
              <w:pageBreakBefore w:val="0"/>
              <w:widowControl w:val="0"/>
              <w:kinsoku/>
              <w:wordWrap/>
              <w:overflowPunct/>
              <w:topLinePunct w:val="0"/>
              <w:autoSpaceDE/>
              <w:autoSpaceDN/>
              <w:bidi w:val="0"/>
              <w:adjustRightInd/>
              <w:spacing w:line="240" w:lineRule="exact"/>
              <w:ind w:firstLine="0" w:firstLineChars="0"/>
              <w:jc w:val="center"/>
              <w:textAlignment w:val="auto"/>
              <w:rPr>
                <w:rFonts w:hint="default" w:ascii="Times New Roman" w:hAnsi="Times New Roman" w:eastAsia="仿宋" w:cs="Times New Roman"/>
                <w:sz w:val="21"/>
                <w:szCs w:val="21"/>
                <w:highlight w:val="none"/>
              </w:rPr>
            </w:pPr>
            <w:r>
              <w:rPr>
                <w:rFonts w:hint="default" w:ascii="Times New Roman" w:hAnsi="Times New Roman" w:eastAsia="仿宋" w:cs="Times New Roman"/>
                <w:sz w:val="21"/>
                <w:szCs w:val="21"/>
                <w:highlight w:val="none"/>
              </w:rPr>
              <w:t>合格（不合格）</w:t>
            </w:r>
          </w:p>
        </w:tc>
      </w:tr>
    </w:tbl>
    <w:p w14:paraId="29267ACD">
      <w:pPr>
        <w:ind w:firstLine="420" w:firstLineChars="200"/>
        <w:rPr>
          <w:rFonts w:ascii="Times New Roman" w:hAnsi="Times New Roman"/>
          <w:highlight w:val="none"/>
        </w:rPr>
      </w:pPr>
      <w:r>
        <w:rPr>
          <w:rFonts w:hint="eastAsia"/>
          <w:highlight w:val="none"/>
        </w:rPr>
        <w:t>备注：1、</w:t>
      </w:r>
      <w:r>
        <w:rPr>
          <w:rFonts w:hint="eastAsia" w:ascii="宋体" w:hAnsi="宋体" w:cs="宋体"/>
          <w:highlight w:val="none"/>
        </w:rPr>
        <w:t>采购方每季度组织相关人员对合同约定的服务内容进行1次考核，</w:t>
      </w:r>
      <w:r>
        <w:rPr>
          <w:rFonts w:ascii="Times New Roman" w:hAnsi="Times New Roman"/>
          <w:highlight w:val="none"/>
        </w:rPr>
        <w:t>考核得分</w:t>
      </w:r>
      <w:r>
        <w:rPr>
          <w:rFonts w:hint="eastAsia" w:ascii="Times New Roman" w:hAnsi="Times New Roman"/>
          <w:highlight w:val="none"/>
        </w:rPr>
        <w:t>≥</w:t>
      </w:r>
      <w:r>
        <w:rPr>
          <w:rFonts w:hint="eastAsia"/>
          <w:highlight w:val="none"/>
        </w:rPr>
        <w:t>90</w:t>
      </w:r>
      <w:r>
        <w:rPr>
          <w:rFonts w:ascii="Times New Roman" w:hAnsi="Times New Roman"/>
          <w:highlight w:val="none"/>
        </w:rPr>
        <w:t>分的不扣款</w:t>
      </w:r>
      <w:r>
        <w:rPr>
          <w:rFonts w:hint="eastAsia" w:ascii="Times New Roman" w:hAnsi="Times New Roman"/>
          <w:highlight w:val="none"/>
        </w:rPr>
        <w:t>；90分＞考核得分≥60分</w:t>
      </w:r>
      <w:r>
        <w:rPr>
          <w:rFonts w:ascii="Times New Roman" w:hAnsi="Times New Roman"/>
          <w:highlight w:val="none"/>
        </w:rPr>
        <w:t>，每低1分扣除</w:t>
      </w:r>
      <w:r>
        <w:rPr>
          <w:rFonts w:hint="eastAsia" w:ascii="Times New Roman" w:hAnsi="Times New Roman"/>
          <w:highlight w:val="none"/>
        </w:rPr>
        <w:t>当期</w:t>
      </w:r>
      <w:r>
        <w:rPr>
          <w:rFonts w:ascii="Times New Roman" w:hAnsi="Times New Roman"/>
          <w:highlight w:val="none"/>
        </w:rPr>
        <w:t>合同款的1%</w:t>
      </w:r>
      <w:r>
        <w:rPr>
          <w:rFonts w:hint="eastAsia" w:ascii="宋体" w:hAnsi="宋体" w:cs="宋体"/>
          <w:highlight w:val="none"/>
        </w:rPr>
        <w:t>；＜6</w:t>
      </w:r>
      <w:r>
        <w:rPr>
          <w:rFonts w:ascii="宋体" w:hAnsi="宋体" w:cs="宋体"/>
          <w:highlight w:val="none"/>
        </w:rPr>
        <w:t>0分的</w:t>
      </w:r>
      <w:r>
        <w:rPr>
          <w:rFonts w:hint="eastAsia"/>
          <w:highlight w:val="none"/>
        </w:rPr>
        <w:t>不支付当期合同款，并解除合同关系，成交供应商退回预付的合同款；2、成交供应商提供当次付款金额的发票和</w:t>
      </w:r>
      <w:r>
        <w:rPr>
          <w:highlight w:val="none"/>
        </w:rPr>
        <w:t>请款函</w:t>
      </w:r>
      <w:r>
        <w:rPr>
          <w:rFonts w:hint="eastAsia"/>
          <w:highlight w:val="none"/>
        </w:rPr>
        <w:t>后1</w:t>
      </w:r>
      <w:r>
        <w:rPr>
          <w:highlight w:val="none"/>
        </w:rPr>
        <w:t>0</w:t>
      </w:r>
      <w:r>
        <w:rPr>
          <w:rFonts w:hint="eastAsia"/>
          <w:highlight w:val="none"/>
        </w:rPr>
        <w:t>个工作日内支付，考核得分</w:t>
      </w:r>
      <w:r>
        <w:rPr>
          <w:rFonts w:hint="eastAsia" w:ascii="Times New Roman" w:hAnsi="Times New Roman"/>
          <w:highlight w:val="none"/>
        </w:rPr>
        <w:t>≥</w:t>
      </w:r>
      <w:r>
        <w:rPr>
          <w:rFonts w:hint="eastAsia"/>
          <w:highlight w:val="none"/>
        </w:rPr>
        <w:t>90</w:t>
      </w:r>
      <w:r>
        <w:rPr>
          <w:highlight w:val="none"/>
        </w:rPr>
        <w:t>分的不扣款，低于</w:t>
      </w:r>
      <w:r>
        <w:rPr>
          <w:rFonts w:hint="eastAsia"/>
          <w:highlight w:val="none"/>
        </w:rPr>
        <w:t>90</w:t>
      </w:r>
      <w:r>
        <w:rPr>
          <w:highlight w:val="none"/>
        </w:rPr>
        <w:t>分的，</w:t>
      </w:r>
      <w:r>
        <w:rPr>
          <w:rFonts w:ascii="Times New Roman" w:hAnsi="Times New Roman"/>
          <w:highlight w:val="none"/>
        </w:rPr>
        <w:t>每低1分扣除</w:t>
      </w:r>
      <w:r>
        <w:rPr>
          <w:rFonts w:hint="eastAsia" w:ascii="Times New Roman" w:hAnsi="Times New Roman"/>
          <w:highlight w:val="none"/>
        </w:rPr>
        <w:t>当期</w:t>
      </w:r>
      <w:r>
        <w:rPr>
          <w:rFonts w:ascii="Times New Roman" w:hAnsi="Times New Roman"/>
          <w:highlight w:val="none"/>
        </w:rPr>
        <w:t>合同款的1%，每</w:t>
      </w:r>
      <w:r>
        <w:rPr>
          <w:rFonts w:hint="eastAsia" w:ascii="Times New Roman" w:hAnsi="Times New Roman"/>
          <w:highlight w:val="none"/>
        </w:rPr>
        <w:t>次</w:t>
      </w:r>
      <w:r>
        <w:rPr>
          <w:rFonts w:ascii="Times New Roman" w:hAnsi="Times New Roman"/>
          <w:highlight w:val="none"/>
        </w:rPr>
        <w:t>扣款最高不超过总合同款的10%，</w:t>
      </w:r>
      <w:r>
        <w:rPr>
          <w:rFonts w:hint="eastAsia" w:ascii="Times New Roman" w:hAnsi="Times New Roman"/>
          <w:highlight w:val="none"/>
        </w:rPr>
        <w:t>实际</w:t>
      </w:r>
      <w:r>
        <w:rPr>
          <w:rFonts w:ascii="Times New Roman" w:hAnsi="Times New Roman"/>
          <w:highlight w:val="none"/>
        </w:rPr>
        <w:t>扣款</w:t>
      </w:r>
      <w:r>
        <w:rPr>
          <w:rFonts w:hint="eastAsia" w:ascii="Times New Roman" w:hAnsi="Times New Roman"/>
          <w:highlight w:val="none"/>
        </w:rPr>
        <w:t>在当</w:t>
      </w:r>
      <w:r>
        <w:rPr>
          <w:rFonts w:ascii="Times New Roman" w:hAnsi="Times New Roman"/>
          <w:highlight w:val="none"/>
        </w:rPr>
        <w:t>次结算时</w:t>
      </w:r>
      <w:r>
        <w:rPr>
          <w:rFonts w:hint="eastAsia" w:ascii="Times New Roman" w:hAnsi="Times New Roman"/>
          <w:highlight w:val="none"/>
        </w:rPr>
        <w:t>予以</w:t>
      </w:r>
      <w:r>
        <w:rPr>
          <w:rFonts w:ascii="Times New Roman" w:hAnsi="Times New Roman"/>
          <w:highlight w:val="none"/>
        </w:rPr>
        <w:t>扣除</w:t>
      </w:r>
      <w:r>
        <w:rPr>
          <w:rFonts w:hint="eastAsia" w:ascii="Times New Roman" w:hAnsi="Times New Roman"/>
          <w:highlight w:val="none"/>
        </w:rPr>
        <w:t>。</w:t>
      </w:r>
    </w:p>
    <w:p w14:paraId="088022ED">
      <w:pPr>
        <w:widowControl w:val="0"/>
        <w:spacing w:line="600" w:lineRule="exact"/>
        <w:jc w:val="left"/>
        <w:rPr>
          <w:rFonts w:hint="eastAsia"/>
          <w:b/>
          <w:highlight w:val="none"/>
          <w:lang w:val="en-US" w:eastAsia="zh-CN"/>
        </w:rPr>
      </w:pPr>
      <w:r>
        <w:rPr>
          <w:rFonts w:hint="eastAsia"/>
          <w:b/>
          <w:highlight w:val="none"/>
          <w:lang w:val="en-US" w:eastAsia="zh-CN"/>
        </w:rPr>
        <w:t xml:space="preserve">考核人：                                   审核人：  </w:t>
      </w:r>
    </w:p>
    <w:p w14:paraId="26032D08">
      <w:pPr>
        <w:widowControl w:val="0"/>
        <w:spacing w:line="600" w:lineRule="exact"/>
        <w:jc w:val="left"/>
        <w:rPr>
          <w:rFonts w:hint="default" w:eastAsia="宋体"/>
          <w:b/>
          <w:highlight w:val="none"/>
          <w:lang w:val="en-US" w:eastAsia="zh-CN"/>
        </w:rPr>
      </w:pPr>
      <w:r>
        <w:rPr>
          <w:rFonts w:hint="eastAsia"/>
          <w:b/>
          <w:highlight w:val="none"/>
          <w:lang w:val="en-US" w:eastAsia="zh-CN"/>
        </w:rPr>
        <w:t xml:space="preserve">          年   月    日                               年   月    日</w:t>
      </w:r>
    </w:p>
    <w:p w14:paraId="25AA8478">
      <w:pPr>
        <w:rPr>
          <w:rFonts w:ascii="Times New Roman" w:hAnsi="Times New Roman" w:eastAsia="黑体" w:cs="Times New Roman"/>
          <w:bCs/>
          <w:sz w:val="32"/>
          <w:szCs w:val="32"/>
        </w:rPr>
      </w:pPr>
    </w:p>
    <w:p w14:paraId="6A9FA5DD">
      <w:pPr>
        <w:rPr>
          <w:rFonts w:ascii="Times New Roman" w:hAnsi="Times New Roman" w:eastAsia="黑体"/>
          <w:sz w:val="28"/>
          <w:szCs w:val="28"/>
        </w:rPr>
        <w:sectPr>
          <w:pgSz w:w="16838" w:h="11906" w:orient="landscape"/>
          <w:pgMar w:top="1418" w:right="1418" w:bottom="1418" w:left="1418" w:header="851" w:footer="992" w:gutter="0"/>
          <w:pgNumType w:fmt="numberInDash"/>
          <w:cols w:space="720" w:num="1"/>
          <w:docGrid w:type="lines" w:linePitch="312" w:charSpace="0"/>
        </w:sectPr>
      </w:pPr>
    </w:p>
    <w:p w14:paraId="4AFAC31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方正小标宋_GBK" w:hAnsi="仿宋" w:eastAsia="方正小标宋_GBK"/>
          <w:sz w:val="44"/>
          <w:szCs w:val="44"/>
        </w:rPr>
      </w:pPr>
      <w:r>
        <w:rPr>
          <w:rFonts w:hint="default" w:ascii="Times New Roman" w:hAnsi="Times New Roman" w:eastAsia="方正小标宋_GBK" w:cs="Times New Roman"/>
          <w:kern w:val="0"/>
          <w:sz w:val="44"/>
          <w:szCs w:val="44"/>
          <w:lang w:val="en-US" w:eastAsia="zh-CN"/>
        </w:rPr>
        <w:t>2</w:t>
      </w:r>
      <w:r>
        <w:rPr>
          <w:rFonts w:hint="default" w:ascii="Times New Roman" w:hAnsi="Times New Roman" w:eastAsia="方正小标宋_GBK" w:cs="Times New Roman"/>
          <w:kern w:val="0"/>
          <w:sz w:val="44"/>
          <w:szCs w:val="44"/>
        </w:rPr>
        <w:t>025年降</w:t>
      </w:r>
      <w:r>
        <w:rPr>
          <w:rFonts w:hint="eastAsia" w:ascii="方正小标宋_GBK" w:hAnsi="宋体" w:eastAsia="方正小标宋_GBK" w:cs="宋体"/>
          <w:kern w:val="0"/>
          <w:sz w:val="44"/>
          <w:szCs w:val="44"/>
          <w:lang w:val="en-US" w:eastAsia="zh-CN"/>
        </w:rPr>
        <w:t>雨</w:t>
      </w:r>
      <w:r>
        <w:rPr>
          <w:rFonts w:hint="eastAsia" w:ascii="方正小标宋_GBK" w:hAnsi="宋体" w:eastAsia="方正小标宋_GBK" w:cs="宋体"/>
          <w:kern w:val="0"/>
          <w:sz w:val="44"/>
          <w:szCs w:val="44"/>
        </w:rPr>
        <w:t>自动监测站点运维服务评分标准</w:t>
      </w:r>
    </w:p>
    <w:tbl>
      <w:tblPr>
        <w:tblStyle w:val="9"/>
        <w:tblW w:w="9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0"/>
        <w:gridCol w:w="1278"/>
        <w:gridCol w:w="784"/>
        <w:gridCol w:w="1063"/>
        <w:gridCol w:w="5832"/>
      </w:tblGrid>
      <w:tr w14:paraId="64468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560" w:type="dxa"/>
            <w:noWrap/>
            <w:vAlign w:val="center"/>
          </w:tcPr>
          <w:p w14:paraId="33F233EF">
            <w:pPr>
              <w:widowControl/>
              <w:jc w:val="center"/>
              <w:rPr>
                <w:rFonts w:hint="default" w:ascii="Times New Roman" w:hAnsi="Times New Roman" w:eastAsia="仿宋" w:cs="Times New Roman"/>
                <w:b/>
                <w:bCs/>
                <w:kern w:val="0"/>
                <w:sz w:val="21"/>
                <w:szCs w:val="21"/>
              </w:rPr>
            </w:pPr>
            <w:r>
              <w:rPr>
                <w:rFonts w:hint="default" w:ascii="Times New Roman" w:hAnsi="Times New Roman" w:eastAsia="仿宋" w:cs="Times New Roman"/>
                <w:b/>
                <w:bCs/>
                <w:kern w:val="0"/>
                <w:sz w:val="21"/>
                <w:szCs w:val="21"/>
              </w:rPr>
              <w:t>序号</w:t>
            </w:r>
          </w:p>
        </w:tc>
        <w:tc>
          <w:tcPr>
            <w:tcW w:w="1278" w:type="dxa"/>
            <w:noWrap w:val="0"/>
            <w:vAlign w:val="center"/>
          </w:tcPr>
          <w:p w14:paraId="0C67D125">
            <w:pPr>
              <w:widowControl/>
              <w:jc w:val="center"/>
              <w:rPr>
                <w:rFonts w:hint="default" w:ascii="Times New Roman" w:hAnsi="Times New Roman" w:eastAsia="仿宋" w:cs="Times New Roman"/>
                <w:b/>
                <w:bCs/>
                <w:kern w:val="0"/>
                <w:sz w:val="21"/>
                <w:szCs w:val="21"/>
              </w:rPr>
            </w:pPr>
            <w:r>
              <w:rPr>
                <w:rFonts w:hint="default" w:ascii="Times New Roman" w:hAnsi="Times New Roman" w:eastAsia="仿宋" w:cs="Times New Roman"/>
                <w:b/>
                <w:bCs/>
                <w:kern w:val="0"/>
                <w:sz w:val="21"/>
                <w:szCs w:val="21"/>
              </w:rPr>
              <w:t>评分因素及权重</w:t>
            </w:r>
          </w:p>
        </w:tc>
        <w:tc>
          <w:tcPr>
            <w:tcW w:w="784" w:type="dxa"/>
            <w:noWrap/>
            <w:vAlign w:val="center"/>
          </w:tcPr>
          <w:p w14:paraId="6D8CCFB9">
            <w:pPr>
              <w:widowControl/>
              <w:jc w:val="center"/>
              <w:rPr>
                <w:rFonts w:hint="default" w:ascii="Times New Roman" w:hAnsi="Times New Roman" w:eastAsia="仿宋" w:cs="Times New Roman"/>
                <w:b/>
                <w:bCs/>
                <w:kern w:val="0"/>
                <w:sz w:val="21"/>
                <w:szCs w:val="21"/>
              </w:rPr>
            </w:pPr>
            <w:r>
              <w:rPr>
                <w:rFonts w:hint="default" w:ascii="Times New Roman" w:hAnsi="Times New Roman" w:eastAsia="仿宋" w:cs="Times New Roman"/>
                <w:b/>
                <w:bCs/>
                <w:kern w:val="0"/>
                <w:sz w:val="21"/>
                <w:szCs w:val="21"/>
              </w:rPr>
              <w:t>分值</w:t>
            </w:r>
          </w:p>
        </w:tc>
        <w:tc>
          <w:tcPr>
            <w:tcW w:w="6895" w:type="dxa"/>
            <w:gridSpan w:val="2"/>
            <w:noWrap/>
            <w:vAlign w:val="center"/>
          </w:tcPr>
          <w:p w14:paraId="28092CBF">
            <w:pPr>
              <w:widowControl/>
              <w:jc w:val="center"/>
              <w:rPr>
                <w:rFonts w:hint="default" w:ascii="Times New Roman" w:hAnsi="Times New Roman" w:eastAsia="仿宋" w:cs="Times New Roman"/>
                <w:b/>
                <w:bCs/>
                <w:kern w:val="0"/>
                <w:sz w:val="21"/>
                <w:szCs w:val="21"/>
              </w:rPr>
            </w:pPr>
            <w:r>
              <w:rPr>
                <w:rFonts w:hint="default" w:ascii="Times New Roman" w:hAnsi="Times New Roman" w:eastAsia="仿宋" w:cs="Times New Roman"/>
                <w:b/>
                <w:bCs/>
                <w:kern w:val="0"/>
                <w:sz w:val="21"/>
                <w:szCs w:val="21"/>
              </w:rPr>
              <w:t>评分标准</w:t>
            </w:r>
          </w:p>
        </w:tc>
      </w:tr>
      <w:tr w14:paraId="6E0CF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560" w:type="dxa"/>
            <w:noWrap/>
            <w:vAlign w:val="center"/>
          </w:tcPr>
          <w:p w14:paraId="46D6CE4E">
            <w:pPr>
              <w:spacing w:line="300" w:lineRule="auto"/>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1</w:t>
            </w:r>
          </w:p>
        </w:tc>
        <w:tc>
          <w:tcPr>
            <w:tcW w:w="1278" w:type="dxa"/>
            <w:noWrap w:val="0"/>
            <w:vAlign w:val="center"/>
          </w:tcPr>
          <w:p w14:paraId="14787B48">
            <w:pPr>
              <w:adjustRightInd w:val="0"/>
              <w:jc w:val="center"/>
              <w:textAlignment w:val="baseline"/>
              <w:rPr>
                <w:rFonts w:hint="default" w:ascii="Times New Roman" w:hAnsi="Times New Roman" w:eastAsia="仿宋" w:cs="Times New Roman"/>
                <w:b/>
                <w:sz w:val="21"/>
                <w:szCs w:val="21"/>
              </w:rPr>
            </w:pPr>
            <w:r>
              <w:rPr>
                <w:rFonts w:hint="default" w:ascii="Times New Roman" w:hAnsi="Times New Roman" w:eastAsia="仿宋" w:cs="Times New Roman"/>
                <w:b/>
                <w:sz w:val="21"/>
                <w:szCs w:val="21"/>
              </w:rPr>
              <w:t>项目报价</w:t>
            </w:r>
            <w:r>
              <w:rPr>
                <w:rFonts w:hint="default" w:ascii="Times New Roman" w:hAnsi="Times New Roman" w:eastAsia="仿宋" w:cs="Times New Roman"/>
                <w:b/>
                <w:sz w:val="21"/>
                <w:szCs w:val="21"/>
                <w:lang w:val="en-US" w:eastAsia="zh-CN"/>
              </w:rPr>
              <w:t>20</w:t>
            </w:r>
            <w:r>
              <w:rPr>
                <w:rFonts w:hint="default" w:ascii="Times New Roman" w:hAnsi="Times New Roman" w:eastAsia="仿宋" w:cs="Times New Roman"/>
                <w:b/>
                <w:sz w:val="21"/>
                <w:szCs w:val="21"/>
              </w:rPr>
              <w:t>%</w:t>
            </w:r>
          </w:p>
        </w:tc>
        <w:tc>
          <w:tcPr>
            <w:tcW w:w="784" w:type="dxa"/>
            <w:noWrap/>
            <w:vAlign w:val="center"/>
          </w:tcPr>
          <w:p w14:paraId="05722D1F">
            <w:pPr>
              <w:adjustRightInd w:val="0"/>
              <w:jc w:val="center"/>
              <w:textAlignment w:val="baseline"/>
              <w:rPr>
                <w:rFonts w:hint="default" w:ascii="Times New Roman" w:hAnsi="Times New Roman" w:eastAsia="仿宋" w:cs="Times New Roman"/>
                <w:b/>
                <w:sz w:val="21"/>
                <w:szCs w:val="21"/>
              </w:rPr>
            </w:pPr>
            <w:r>
              <w:rPr>
                <w:rFonts w:hint="default" w:ascii="Times New Roman" w:hAnsi="Times New Roman" w:eastAsia="仿宋" w:cs="Times New Roman"/>
                <w:b/>
                <w:sz w:val="21"/>
                <w:szCs w:val="21"/>
                <w:lang w:val="en-US" w:eastAsia="zh-CN"/>
              </w:rPr>
              <w:t>20</w:t>
            </w:r>
            <w:r>
              <w:rPr>
                <w:rFonts w:hint="default" w:ascii="Times New Roman" w:hAnsi="Times New Roman" w:eastAsia="仿宋" w:cs="Times New Roman"/>
                <w:b/>
                <w:sz w:val="21"/>
                <w:szCs w:val="21"/>
              </w:rPr>
              <w:t>分</w:t>
            </w:r>
          </w:p>
        </w:tc>
        <w:tc>
          <w:tcPr>
            <w:tcW w:w="6895" w:type="dxa"/>
            <w:gridSpan w:val="2"/>
            <w:noWrap w:val="0"/>
            <w:vAlign w:val="center"/>
          </w:tcPr>
          <w:p w14:paraId="3F420040">
            <w:pPr>
              <w:spacing w:line="300" w:lineRule="auto"/>
              <w:rPr>
                <w:rFonts w:hint="default" w:ascii="Times New Roman" w:hAnsi="Times New Roman" w:eastAsia="仿宋" w:cs="Times New Roman"/>
                <w:sz w:val="21"/>
                <w:szCs w:val="21"/>
              </w:rPr>
            </w:pPr>
            <w:r>
              <w:rPr>
                <w:rFonts w:hint="default" w:ascii="Times New Roman" w:hAnsi="Times New Roman" w:eastAsia="仿宋" w:cs="Times New Roman"/>
                <w:sz w:val="21"/>
                <w:szCs w:val="21"/>
              </w:rPr>
              <w:t>有效报价不得高于预算金额</w:t>
            </w:r>
            <w:r>
              <w:rPr>
                <w:rFonts w:hint="default" w:ascii="Times New Roman" w:hAnsi="Times New Roman" w:eastAsia="仿宋" w:cs="Times New Roman"/>
                <w:sz w:val="21"/>
                <w:szCs w:val="21"/>
                <w:lang w:val="en-US" w:eastAsia="zh-CN"/>
              </w:rPr>
              <w:t>20</w:t>
            </w:r>
            <w:r>
              <w:rPr>
                <w:rFonts w:hint="default" w:ascii="Times New Roman" w:hAnsi="Times New Roman" w:eastAsia="仿宋" w:cs="Times New Roman"/>
                <w:sz w:val="21"/>
                <w:szCs w:val="21"/>
              </w:rPr>
              <w:t>万元，以本次有效最低投标报价为基准价，得满分</w:t>
            </w:r>
            <w:r>
              <w:rPr>
                <w:rFonts w:hint="default" w:ascii="Times New Roman" w:hAnsi="Times New Roman" w:eastAsia="仿宋" w:cs="Times New Roman"/>
                <w:sz w:val="21"/>
                <w:szCs w:val="21"/>
                <w:lang w:val="en-US" w:eastAsia="zh-CN"/>
              </w:rPr>
              <w:t>20</w:t>
            </w:r>
            <w:r>
              <w:rPr>
                <w:rFonts w:hint="default" w:ascii="Times New Roman" w:hAnsi="Times New Roman" w:eastAsia="仿宋" w:cs="Times New Roman"/>
                <w:sz w:val="21"/>
                <w:szCs w:val="21"/>
              </w:rPr>
              <w:t>分；其他投标报价得分=（基准价÷投标报价）×</w:t>
            </w:r>
            <w:r>
              <w:rPr>
                <w:rFonts w:hint="default" w:ascii="Times New Roman" w:hAnsi="Times New Roman" w:eastAsia="仿宋" w:cs="Times New Roman"/>
                <w:sz w:val="21"/>
                <w:szCs w:val="21"/>
                <w:lang w:val="en-US" w:eastAsia="zh-CN"/>
              </w:rPr>
              <w:t>2</w:t>
            </w:r>
            <w:r>
              <w:rPr>
                <w:rFonts w:hint="default" w:ascii="Times New Roman" w:hAnsi="Times New Roman" w:eastAsia="仿宋" w:cs="Times New Roman"/>
                <w:sz w:val="21"/>
                <w:szCs w:val="21"/>
              </w:rPr>
              <w:t>0。</w:t>
            </w:r>
          </w:p>
        </w:tc>
      </w:tr>
      <w:tr w14:paraId="18539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560" w:type="dxa"/>
            <w:vMerge w:val="restart"/>
            <w:noWrap/>
            <w:vAlign w:val="center"/>
          </w:tcPr>
          <w:p w14:paraId="1497E12D">
            <w:pPr>
              <w:widowControl/>
              <w:jc w:val="center"/>
              <w:rPr>
                <w:rFonts w:hint="default" w:ascii="Times New Roman" w:hAnsi="Times New Roman" w:eastAsia="仿宋" w:cs="Times New Roman"/>
                <w:kern w:val="0"/>
                <w:sz w:val="21"/>
                <w:szCs w:val="21"/>
              </w:rPr>
            </w:pPr>
            <w:r>
              <w:rPr>
                <w:rFonts w:hint="default" w:ascii="Times New Roman" w:hAnsi="Times New Roman" w:eastAsia="仿宋" w:cs="Times New Roman"/>
                <w:kern w:val="0"/>
                <w:sz w:val="21"/>
                <w:szCs w:val="21"/>
              </w:rPr>
              <w:t>2</w:t>
            </w:r>
          </w:p>
        </w:tc>
        <w:tc>
          <w:tcPr>
            <w:tcW w:w="1278" w:type="dxa"/>
            <w:vMerge w:val="restart"/>
            <w:noWrap w:val="0"/>
            <w:vAlign w:val="center"/>
          </w:tcPr>
          <w:p w14:paraId="6684C8E2">
            <w:pPr>
              <w:adjustRightInd w:val="0"/>
              <w:jc w:val="center"/>
              <w:textAlignment w:val="baseline"/>
              <w:rPr>
                <w:rFonts w:hint="default" w:ascii="Times New Roman" w:hAnsi="Times New Roman" w:eastAsia="仿宋" w:cs="Times New Roman"/>
                <w:b/>
                <w:sz w:val="21"/>
                <w:szCs w:val="21"/>
              </w:rPr>
            </w:pPr>
            <w:r>
              <w:rPr>
                <w:rFonts w:hint="default" w:ascii="Times New Roman" w:hAnsi="Times New Roman" w:eastAsia="仿宋" w:cs="Times New Roman"/>
                <w:b/>
                <w:sz w:val="21"/>
                <w:szCs w:val="21"/>
                <w:lang w:val="en-US" w:eastAsia="zh-CN"/>
              </w:rPr>
              <w:t>实施</w:t>
            </w:r>
            <w:r>
              <w:rPr>
                <w:rFonts w:hint="default" w:ascii="Times New Roman" w:hAnsi="Times New Roman" w:eastAsia="仿宋" w:cs="Times New Roman"/>
                <w:b/>
                <w:sz w:val="21"/>
                <w:szCs w:val="21"/>
              </w:rPr>
              <w:t>方案</w:t>
            </w:r>
            <w:r>
              <w:rPr>
                <w:rFonts w:hint="default" w:ascii="Times New Roman" w:hAnsi="Times New Roman" w:eastAsia="仿宋" w:cs="Times New Roman"/>
                <w:b/>
                <w:sz w:val="21"/>
                <w:szCs w:val="21"/>
                <w:lang w:val="en-US" w:eastAsia="zh-CN"/>
              </w:rPr>
              <w:t>4</w:t>
            </w:r>
            <w:r>
              <w:rPr>
                <w:rFonts w:hint="default" w:ascii="Times New Roman" w:hAnsi="Times New Roman" w:eastAsia="仿宋" w:cs="Times New Roman"/>
                <w:b/>
                <w:sz w:val="21"/>
                <w:szCs w:val="21"/>
              </w:rPr>
              <w:t>0%</w:t>
            </w:r>
          </w:p>
        </w:tc>
        <w:tc>
          <w:tcPr>
            <w:tcW w:w="784" w:type="dxa"/>
            <w:vMerge w:val="restart"/>
            <w:noWrap/>
            <w:vAlign w:val="center"/>
          </w:tcPr>
          <w:p w14:paraId="3E61D456">
            <w:pPr>
              <w:adjustRightInd w:val="0"/>
              <w:jc w:val="center"/>
              <w:textAlignment w:val="baseline"/>
              <w:rPr>
                <w:rFonts w:hint="default" w:ascii="Times New Roman" w:hAnsi="Times New Roman" w:eastAsia="仿宋" w:cs="Times New Roman"/>
                <w:b/>
                <w:sz w:val="21"/>
                <w:szCs w:val="21"/>
              </w:rPr>
            </w:pPr>
            <w:r>
              <w:rPr>
                <w:rFonts w:hint="default" w:ascii="Times New Roman" w:hAnsi="Times New Roman" w:eastAsia="仿宋" w:cs="Times New Roman"/>
                <w:b/>
                <w:sz w:val="21"/>
                <w:szCs w:val="21"/>
                <w:lang w:val="en-US" w:eastAsia="zh-CN"/>
              </w:rPr>
              <w:t>40</w:t>
            </w:r>
            <w:r>
              <w:rPr>
                <w:rFonts w:hint="default" w:ascii="Times New Roman" w:hAnsi="Times New Roman" w:eastAsia="仿宋" w:cs="Times New Roman"/>
                <w:b/>
                <w:sz w:val="21"/>
                <w:szCs w:val="21"/>
              </w:rPr>
              <w:t>分</w:t>
            </w:r>
          </w:p>
        </w:tc>
        <w:tc>
          <w:tcPr>
            <w:tcW w:w="1063" w:type="dxa"/>
            <w:noWrap w:val="0"/>
            <w:vAlign w:val="center"/>
          </w:tcPr>
          <w:p w14:paraId="03365268">
            <w:pPr>
              <w:jc w:val="center"/>
              <w:rPr>
                <w:rFonts w:hint="default" w:ascii="Times New Roman" w:hAnsi="Times New Roman" w:eastAsia="仿宋" w:cs="Times New Roman"/>
                <w:bCs/>
                <w:sz w:val="21"/>
                <w:szCs w:val="21"/>
              </w:rPr>
            </w:pPr>
            <w:r>
              <w:rPr>
                <w:rFonts w:hint="default" w:ascii="Times New Roman" w:hAnsi="Times New Roman" w:eastAsia="仿宋" w:cs="Times New Roman"/>
                <w:bCs/>
                <w:sz w:val="21"/>
                <w:szCs w:val="21"/>
              </w:rPr>
              <w:t>一档</w:t>
            </w:r>
          </w:p>
          <w:p w14:paraId="78C71CBC">
            <w:pPr>
              <w:jc w:val="center"/>
              <w:rPr>
                <w:rFonts w:hint="default" w:ascii="Times New Roman" w:hAnsi="Times New Roman" w:eastAsia="仿宋" w:cs="Times New Roman"/>
                <w:sz w:val="21"/>
                <w:szCs w:val="21"/>
              </w:rPr>
            </w:pPr>
            <w:r>
              <w:rPr>
                <w:rFonts w:hint="default" w:ascii="Times New Roman" w:hAnsi="Times New Roman" w:eastAsia="仿宋" w:cs="Times New Roman"/>
                <w:bCs/>
                <w:sz w:val="21"/>
                <w:szCs w:val="21"/>
              </w:rPr>
              <w:t>（40分）</w:t>
            </w:r>
          </w:p>
        </w:tc>
        <w:tc>
          <w:tcPr>
            <w:tcW w:w="5832" w:type="dxa"/>
            <w:noWrap w:val="0"/>
            <w:vAlign w:val="center"/>
          </w:tcPr>
          <w:p w14:paraId="56698540">
            <w:pPr>
              <w:spacing w:line="300" w:lineRule="auto"/>
              <w:rPr>
                <w:rFonts w:hint="default" w:ascii="Times New Roman" w:hAnsi="Times New Roman" w:eastAsia="仿宋" w:cs="Times New Roman"/>
                <w:kern w:val="0"/>
                <w:sz w:val="21"/>
                <w:szCs w:val="21"/>
              </w:rPr>
            </w:pPr>
            <w:r>
              <w:rPr>
                <w:rFonts w:hint="default" w:ascii="Times New Roman" w:hAnsi="Times New Roman" w:eastAsia="仿宋" w:cs="Times New Roman"/>
                <w:sz w:val="21"/>
                <w:szCs w:val="21"/>
              </w:rPr>
              <w:t>实施方案详细、科学、合理，除符合项目要求外，提高额外保障服务。工作流程、人员配备分工合理、工作措施、工作方法、工作手段等规范、详细，可操作性强；列出项目工作进度计划表，进度控制措施详细、科学；管理制度和管理体系完善，有明确详尽的质量保证及质量控制措施，并落实到具体负责人；数据检查、质量控制以及反馈纠正措施全面、科学、合理，并落实到具体质量监督人员；有安全保障机制且可操作性强；有合理可行的应急预案，充分考虑多种突发情况，具有有效的预防和补救措施，完成工作时间有充足的提前量。</w:t>
            </w:r>
          </w:p>
        </w:tc>
      </w:tr>
      <w:tr w14:paraId="6C097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560" w:type="dxa"/>
            <w:vMerge w:val="continue"/>
            <w:noWrap/>
            <w:vAlign w:val="center"/>
          </w:tcPr>
          <w:p w14:paraId="691F5AB3">
            <w:pPr>
              <w:widowControl/>
              <w:jc w:val="center"/>
              <w:rPr>
                <w:rFonts w:hint="default" w:ascii="Times New Roman" w:hAnsi="Times New Roman" w:eastAsia="仿宋" w:cs="Times New Roman"/>
                <w:sz w:val="21"/>
                <w:szCs w:val="21"/>
              </w:rPr>
            </w:pPr>
          </w:p>
        </w:tc>
        <w:tc>
          <w:tcPr>
            <w:tcW w:w="1278" w:type="dxa"/>
            <w:vMerge w:val="continue"/>
            <w:noWrap w:val="0"/>
            <w:vAlign w:val="center"/>
          </w:tcPr>
          <w:p w14:paraId="494F1A6A">
            <w:pPr>
              <w:widowControl/>
              <w:jc w:val="left"/>
              <w:rPr>
                <w:rFonts w:hint="default" w:ascii="Times New Roman" w:hAnsi="Times New Roman" w:eastAsia="仿宋" w:cs="Times New Roman"/>
                <w:sz w:val="21"/>
                <w:szCs w:val="21"/>
              </w:rPr>
            </w:pPr>
          </w:p>
        </w:tc>
        <w:tc>
          <w:tcPr>
            <w:tcW w:w="784" w:type="dxa"/>
            <w:vMerge w:val="continue"/>
            <w:noWrap/>
            <w:vAlign w:val="center"/>
          </w:tcPr>
          <w:p w14:paraId="40FD51DA">
            <w:pPr>
              <w:widowControl/>
              <w:jc w:val="left"/>
              <w:rPr>
                <w:rFonts w:hint="default" w:ascii="Times New Roman" w:hAnsi="Times New Roman" w:eastAsia="仿宋" w:cs="Times New Roman"/>
                <w:sz w:val="21"/>
                <w:szCs w:val="21"/>
              </w:rPr>
            </w:pPr>
          </w:p>
        </w:tc>
        <w:tc>
          <w:tcPr>
            <w:tcW w:w="1063" w:type="dxa"/>
            <w:noWrap w:val="0"/>
            <w:vAlign w:val="center"/>
          </w:tcPr>
          <w:p w14:paraId="00C1827B">
            <w:pPr>
              <w:adjustRightInd w:val="0"/>
              <w:snapToGrid w:val="0"/>
              <w:jc w:val="center"/>
              <w:textAlignment w:val="baseline"/>
              <w:rPr>
                <w:rFonts w:hint="default" w:ascii="Times New Roman" w:hAnsi="Times New Roman" w:eastAsia="仿宋" w:cs="Times New Roman"/>
                <w:bCs/>
                <w:sz w:val="21"/>
                <w:szCs w:val="21"/>
              </w:rPr>
            </w:pPr>
            <w:r>
              <w:rPr>
                <w:rFonts w:hint="default" w:ascii="Times New Roman" w:hAnsi="Times New Roman" w:eastAsia="仿宋" w:cs="Times New Roman"/>
                <w:bCs/>
                <w:sz w:val="21"/>
                <w:szCs w:val="21"/>
              </w:rPr>
              <w:t>二档</w:t>
            </w:r>
          </w:p>
          <w:p w14:paraId="761546C3">
            <w:pPr>
              <w:adjustRightInd w:val="0"/>
              <w:snapToGrid w:val="0"/>
              <w:jc w:val="center"/>
              <w:textAlignment w:val="baseline"/>
              <w:rPr>
                <w:rFonts w:hint="default" w:ascii="Times New Roman" w:hAnsi="Times New Roman" w:eastAsia="仿宋" w:cs="Times New Roman"/>
                <w:sz w:val="21"/>
                <w:szCs w:val="21"/>
              </w:rPr>
            </w:pPr>
            <w:r>
              <w:rPr>
                <w:rFonts w:hint="default" w:ascii="Times New Roman" w:hAnsi="Times New Roman" w:eastAsia="仿宋" w:cs="Times New Roman"/>
                <w:bCs/>
                <w:sz w:val="21"/>
                <w:szCs w:val="21"/>
              </w:rPr>
              <w:t>（30分）</w:t>
            </w:r>
          </w:p>
        </w:tc>
        <w:tc>
          <w:tcPr>
            <w:tcW w:w="5832" w:type="dxa"/>
            <w:noWrap w:val="0"/>
            <w:vAlign w:val="center"/>
          </w:tcPr>
          <w:p w14:paraId="5D5252F0">
            <w:pPr>
              <w:spacing w:line="300" w:lineRule="auto"/>
              <w:rPr>
                <w:rFonts w:hint="default" w:ascii="Times New Roman" w:hAnsi="Times New Roman" w:eastAsia="仿宋" w:cs="Times New Roman"/>
                <w:kern w:val="0"/>
                <w:sz w:val="21"/>
                <w:szCs w:val="21"/>
              </w:rPr>
            </w:pPr>
            <w:r>
              <w:rPr>
                <w:rFonts w:hint="default" w:ascii="Times New Roman" w:hAnsi="Times New Roman" w:eastAsia="仿宋" w:cs="Times New Roman"/>
                <w:sz w:val="21"/>
                <w:szCs w:val="21"/>
              </w:rPr>
              <w:t>实施方案详细、合理，符合项目要求。工作流程、人员配备、工作措施、工作方法、工作手段等规范且可操作；项目进度控制措施详细可行；管理体系完整；质量保证及质量控制措施可行；具体的数据检查、质量控制以及反馈纠正措施详细；安全保障机制完整且具有明确的预防和补救措施应急预案，完成工作时间具有一定的提前量。</w:t>
            </w:r>
          </w:p>
        </w:tc>
      </w:tr>
      <w:tr w14:paraId="1F48C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560" w:type="dxa"/>
            <w:vMerge w:val="continue"/>
            <w:noWrap/>
            <w:vAlign w:val="center"/>
          </w:tcPr>
          <w:p w14:paraId="0D7F704E">
            <w:pPr>
              <w:widowControl/>
              <w:jc w:val="center"/>
              <w:rPr>
                <w:rFonts w:hint="default" w:ascii="Times New Roman" w:hAnsi="Times New Roman" w:eastAsia="仿宋" w:cs="Times New Roman"/>
                <w:kern w:val="0"/>
                <w:sz w:val="21"/>
                <w:szCs w:val="21"/>
              </w:rPr>
            </w:pPr>
          </w:p>
        </w:tc>
        <w:tc>
          <w:tcPr>
            <w:tcW w:w="1278" w:type="dxa"/>
            <w:vMerge w:val="continue"/>
            <w:noWrap w:val="0"/>
            <w:vAlign w:val="center"/>
          </w:tcPr>
          <w:p w14:paraId="573FF203">
            <w:pPr>
              <w:widowControl/>
              <w:jc w:val="left"/>
              <w:rPr>
                <w:rFonts w:hint="default" w:ascii="Times New Roman" w:hAnsi="Times New Roman" w:eastAsia="仿宋" w:cs="Times New Roman"/>
                <w:kern w:val="0"/>
                <w:sz w:val="21"/>
                <w:szCs w:val="21"/>
              </w:rPr>
            </w:pPr>
          </w:p>
        </w:tc>
        <w:tc>
          <w:tcPr>
            <w:tcW w:w="784" w:type="dxa"/>
            <w:vMerge w:val="continue"/>
            <w:noWrap/>
            <w:vAlign w:val="center"/>
          </w:tcPr>
          <w:p w14:paraId="00F7E953">
            <w:pPr>
              <w:widowControl/>
              <w:jc w:val="left"/>
              <w:rPr>
                <w:rFonts w:hint="default" w:ascii="Times New Roman" w:hAnsi="Times New Roman" w:eastAsia="仿宋" w:cs="Times New Roman"/>
                <w:kern w:val="0"/>
                <w:sz w:val="21"/>
                <w:szCs w:val="21"/>
              </w:rPr>
            </w:pPr>
          </w:p>
        </w:tc>
        <w:tc>
          <w:tcPr>
            <w:tcW w:w="1063" w:type="dxa"/>
            <w:noWrap w:val="0"/>
            <w:vAlign w:val="center"/>
          </w:tcPr>
          <w:p w14:paraId="30B40DD1">
            <w:pPr>
              <w:adjustRightInd w:val="0"/>
              <w:snapToGrid w:val="0"/>
              <w:jc w:val="center"/>
              <w:textAlignment w:val="baseline"/>
              <w:rPr>
                <w:rFonts w:hint="default" w:ascii="Times New Roman" w:hAnsi="Times New Roman" w:eastAsia="仿宋" w:cs="Times New Roman"/>
                <w:bCs/>
                <w:sz w:val="21"/>
                <w:szCs w:val="21"/>
              </w:rPr>
            </w:pPr>
            <w:r>
              <w:rPr>
                <w:rFonts w:hint="default" w:ascii="Times New Roman" w:hAnsi="Times New Roman" w:eastAsia="仿宋" w:cs="Times New Roman"/>
                <w:bCs/>
                <w:sz w:val="21"/>
                <w:szCs w:val="21"/>
              </w:rPr>
              <w:t>三档</w:t>
            </w:r>
          </w:p>
          <w:p w14:paraId="46687F60">
            <w:pPr>
              <w:adjustRightInd w:val="0"/>
              <w:snapToGrid w:val="0"/>
              <w:jc w:val="center"/>
              <w:textAlignment w:val="baseline"/>
              <w:rPr>
                <w:rFonts w:hint="default" w:ascii="Times New Roman" w:hAnsi="Times New Roman" w:eastAsia="仿宋" w:cs="Times New Roman"/>
                <w:kern w:val="0"/>
                <w:sz w:val="21"/>
                <w:szCs w:val="21"/>
              </w:rPr>
            </w:pPr>
            <w:r>
              <w:rPr>
                <w:rFonts w:hint="default" w:ascii="Times New Roman" w:hAnsi="Times New Roman" w:eastAsia="仿宋" w:cs="Times New Roman"/>
                <w:bCs/>
                <w:sz w:val="21"/>
                <w:szCs w:val="21"/>
              </w:rPr>
              <w:t>（20分）</w:t>
            </w:r>
          </w:p>
        </w:tc>
        <w:tc>
          <w:tcPr>
            <w:tcW w:w="5832" w:type="dxa"/>
            <w:noWrap w:val="0"/>
            <w:vAlign w:val="center"/>
          </w:tcPr>
          <w:p w14:paraId="134860F4">
            <w:pPr>
              <w:jc w:val="left"/>
              <w:rPr>
                <w:rFonts w:hint="default" w:ascii="Times New Roman" w:hAnsi="Times New Roman" w:eastAsia="仿宋" w:cs="Times New Roman"/>
                <w:kern w:val="0"/>
                <w:sz w:val="21"/>
                <w:szCs w:val="21"/>
              </w:rPr>
            </w:pPr>
            <w:r>
              <w:rPr>
                <w:rFonts w:hint="default" w:ascii="Times New Roman" w:hAnsi="Times New Roman" w:eastAsia="仿宋" w:cs="Times New Roman"/>
                <w:sz w:val="21"/>
                <w:szCs w:val="21"/>
              </w:rPr>
              <w:t>实施方案符合项目基本要求，工作流程、人员配备、工作措施、工作方法、工作手段等基本规范，且项目进度控制措施、质量控制措施、安全保障机制和应急预案有一定可操作性，满足工作时限要求。</w:t>
            </w:r>
          </w:p>
        </w:tc>
      </w:tr>
      <w:tr w14:paraId="0A35E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560" w:type="dxa"/>
            <w:noWrap w:val="0"/>
            <w:vAlign w:val="center"/>
          </w:tcPr>
          <w:p w14:paraId="12C7B4E3">
            <w:pPr>
              <w:widowControl/>
              <w:jc w:val="center"/>
              <w:rPr>
                <w:rFonts w:hint="default" w:ascii="Times New Roman" w:hAnsi="Times New Roman" w:eastAsia="仿宋" w:cs="Times New Roman"/>
                <w:kern w:val="0"/>
                <w:sz w:val="21"/>
                <w:szCs w:val="21"/>
              </w:rPr>
            </w:pPr>
            <w:r>
              <w:rPr>
                <w:rFonts w:hint="default" w:ascii="Times New Roman" w:hAnsi="Times New Roman" w:eastAsia="仿宋" w:cs="Times New Roman"/>
                <w:kern w:val="0"/>
                <w:sz w:val="21"/>
                <w:szCs w:val="21"/>
              </w:rPr>
              <w:t>3</w:t>
            </w:r>
          </w:p>
        </w:tc>
        <w:tc>
          <w:tcPr>
            <w:tcW w:w="1278" w:type="dxa"/>
            <w:noWrap w:val="0"/>
            <w:vAlign w:val="center"/>
          </w:tcPr>
          <w:p w14:paraId="353D4481">
            <w:pPr>
              <w:adjustRightInd w:val="0"/>
              <w:jc w:val="center"/>
              <w:textAlignment w:val="baseline"/>
              <w:rPr>
                <w:rFonts w:hint="default" w:ascii="Times New Roman" w:hAnsi="Times New Roman" w:eastAsia="仿宋" w:cs="Times New Roman"/>
                <w:b/>
                <w:sz w:val="21"/>
                <w:szCs w:val="21"/>
              </w:rPr>
            </w:pPr>
            <w:r>
              <w:rPr>
                <w:rFonts w:hint="default" w:ascii="Times New Roman" w:hAnsi="Times New Roman" w:eastAsia="仿宋" w:cs="Times New Roman"/>
                <w:b/>
                <w:sz w:val="21"/>
                <w:szCs w:val="21"/>
              </w:rPr>
              <w:t>服务能力</w:t>
            </w:r>
          </w:p>
          <w:p w14:paraId="419E32AA">
            <w:pPr>
              <w:pStyle w:val="4"/>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b/>
                <w:sz w:val="21"/>
                <w:szCs w:val="21"/>
                <w:lang w:val="en-US" w:eastAsia="zh-CN"/>
              </w:rPr>
              <w:t>20%</w:t>
            </w:r>
          </w:p>
        </w:tc>
        <w:tc>
          <w:tcPr>
            <w:tcW w:w="784" w:type="dxa"/>
            <w:noWrap/>
            <w:vAlign w:val="center"/>
          </w:tcPr>
          <w:p w14:paraId="6C2C1EC2">
            <w:pPr>
              <w:adjustRightInd w:val="0"/>
              <w:jc w:val="center"/>
              <w:textAlignment w:val="baseline"/>
              <w:rPr>
                <w:rFonts w:hint="default" w:ascii="Times New Roman" w:hAnsi="Times New Roman" w:eastAsia="仿宋" w:cs="Times New Roman"/>
                <w:kern w:val="0"/>
                <w:sz w:val="21"/>
                <w:szCs w:val="21"/>
              </w:rPr>
            </w:pPr>
            <w:r>
              <w:rPr>
                <w:rFonts w:hint="default" w:ascii="Times New Roman" w:hAnsi="Times New Roman" w:eastAsia="仿宋" w:cs="Times New Roman"/>
                <w:b/>
                <w:sz w:val="21"/>
                <w:szCs w:val="21"/>
              </w:rPr>
              <w:t>20分</w:t>
            </w:r>
          </w:p>
        </w:tc>
        <w:tc>
          <w:tcPr>
            <w:tcW w:w="6895" w:type="dxa"/>
            <w:gridSpan w:val="2"/>
            <w:noWrap w:val="0"/>
            <w:vAlign w:val="center"/>
          </w:tcPr>
          <w:p w14:paraId="77A0A708">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1. 现场运维人员职称（满分5分）</w:t>
            </w:r>
          </w:p>
          <w:p w14:paraId="25264105">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（1）1人（含）以上具有与本项目相关专业中级以上职称或5年以上检验检测经验得5分。</w:t>
            </w:r>
          </w:p>
          <w:p w14:paraId="36C894A6">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（2）1人（含）以上具有与本项目相关专业初级职称或2年以上检验检测经验得3分。</w:t>
            </w:r>
          </w:p>
          <w:p w14:paraId="0171B1D1">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（3）其他的得1分。</w:t>
            </w:r>
          </w:p>
          <w:p w14:paraId="7935A00E">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2.现场运维人员能力（满分8分）</w:t>
            </w:r>
          </w:p>
          <w:p w14:paraId="70F586DC">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（1）参加国家级相关业务培训或能力验证并取得证书的每项得3分。</w:t>
            </w:r>
          </w:p>
          <w:p w14:paraId="1BF9FA36">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（2）参加自治区级相关业务培训或能力验证并取得证书的每项得2分。</w:t>
            </w:r>
          </w:p>
          <w:p w14:paraId="787323B5">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（3）参加市级相关业务培训或能力验证并取得证书的每项得1分。</w:t>
            </w:r>
          </w:p>
          <w:p w14:paraId="231BD871">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3.项目投入运维人员数量（满分5分）</w:t>
            </w:r>
          </w:p>
          <w:p w14:paraId="31F26C30">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（1）项目投入运维人员3人以上得5分。</w:t>
            </w:r>
          </w:p>
          <w:p w14:paraId="404EA0E9">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（2）项目投入运维人员3人得3分。</w:t>
            </w:r>
          </w:p>
          <w:p w14:paraId="0C38F27F">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（3）项目投入运维人员2人得2分。</w:t>
            </w:r>
          </w:p>
          <w:p w14:paraId="6B96553A">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4.实验室能力（满分2分）</w:t>
            </w:r>
          </w:p>
          <w:p w14:paraId="495B8B12">
            <w:pPr>
              <w:jc w:val="left"/>
              <w:rPr>
                <w:rFonts w:hint="default" w:ascii="Times New Roman" w:hAnsi="Times New Roman" w:eastAsia="仿宋" w:cs="Times New Roman"/>
                <w:sz w:val="21"/>
                <w:szCs w:val="21"/>
              </w:rPr>
            </w:pPr>
            <w:r>
              <w:rPr>
                <w:rFonts w:hint="default" w:ascii="Times New Roman" w:hAnsi="Times New Roman" w:eastAsia="仿宋" w:cs="Times New Roman"/>
                <w:sz w:val="21"/>
                <w:szCs w:val="21"/>
              </w:rPr>
              <w:t>有制备无二氧化碳水装备的得2分（提供相关证明）。</w:t>
            </w:r>
          </w:p>
          <w:p w14:paraId="2604A44F">
            <w:pPr>
              <w:jc w:val="left"/>
              <w:rPr>
                <w:rFonts w:hint="default" w:ascii="Times New Roman" w:hAnsi="Times New Roman" w:eastAsia="仿宋" w:cs="Times New Roman"/>
                <w:kern w:val="0"/>
                <w:sz w:val="21"/>
                <w:szCs w:val="21"/>
              </w:rPr>
            </w:pPr>
            <w:r>
              <w:rPr>
                <w:rFonts w:hint="default" w:ascii="Times New Roman" w:hAnsi="Times New Roman" w:eastAsia="仿宋" w:cs="Times New Roman"/>
                <w:sz w:val="21"/>
                <w:szCs w:val="21"/>
              </w:rPr>
              <w:t>5.投标人提供以上人员聘任合同</w:t>
            </w:r>
            <w:r>
              <w:rPr>
                <w:rFonts w:hint="default" w:ascii="Times New Roman" w:hAnsi="Times New Roman" w:eastAsia="仿宋" w:cs="Times New Roman"/>
                <w:sz w:val="21"/>
                <w:szCs w:val="21"/>
                <w:lang w:val="en-US" w:eastAsia="zh-CN"/>
              </w:rPr>
              <w:t>或</w:t>
            </w:r>
            <w:r>
              <w:rPr>
                <w:rFonts w:hint="default" w:ascii="Times New Roman" w:hAnsi="Times New Roman" w:eastAsia="仿宋" w:cs="Times New Roman"/>
                <w:sz w:val="21"/>
                <w:szCs w:val="21"/>
              </w:rPr>
              <w:t>缴纳社保证明材料，职称证书、培训证书等证明资料（所有资料均要求提供复印件并加盖公章，原件备查）。</w:t>
            </w:r>
          </w:p>
        </w:tc>
      </w:tr>
      <w:tr w14:paraId="37099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560" w:type="dxa"/>
            <w:noWrap w:val="0"/>
            <w:vAlign w:val="center"/>
          </w:tcPr>
          <w:p w14:paraId="4922658E">
            <w:pPr>
              <w:widowControl/>
              <w:jc w:val="center"/>
              <w:rPr>
                <w:rFonts w:hint="default" w:ascii="Times New Roman" w:hAnsi="Times New Roman" w:eastAsia="仿宋" w:cs="Times New Roman"/>
                <w:kern w:val="0"/>
                <w:sz w:val="21"/>
                <w:szCs w:val="21"/>
              </w:rPr>
            </w:pPr>
            <w:r>
              <w:rPr>
                <w:rFonts w:hint="default" w:ascii="Times New Roman" w:hAnsi="Times New Roman" w:eastAsia="仿宋" w:cs="Times New Roman"/>
                <w:kern w:val="0"/>
                <w:sz w:val="21"/>
                <w:szCs w:val="21"/>
              </w:rPr>
              <w:t>4</w:t>
            </w:r>
          </w:p>
        </w:tc>
        <w:tc>
          <w:tcPr>
            <w:tcW w:w="1278" w:type="dxa"/>
            <w:noWrap w:val="0"/>
            <w:vAlign w:val="center"/>
          </w:tcPr>
          <w:p w14:paraId="5389319B">
            <w:pPr>
              <w:adjustRightInd w:val="0"/>
              <w:jc w:val="center"/>
              <w:textAlignment w:val="baseline"/>
              <w:rPr>
                <w:rFonts w:hint="default" w:ascii="Times New Roman" w:hAnsi="Times New Roman" w:eastAsia="仿宋" w:cs="Times New Roman"/>
                <w:b/>
                <w:sz w:val="21"/>
                <w:szCs w:val="21"/>
              </w:rPr>
            </w:pPr>
            <w:r>
              <w:rPr>
                <w:rFonts w:hint="default" w:ascii="Times New Roman" w:hAnsi="Times New Roman" w:eastAsia="仿宋" w:cs="Times New Roman"/>
                <w:b/>
                <w:sz w:val="21"/>
                <w:szCs w:val="21"/>
              </w:rPr>
              <w:t>车辆投入</w:t>
            </w:r>
          </w:p>
          <w:p w14:paraId="36F322E8">
            <w:pPr>
              <w:pStyle w:val="4"/>
              <w:jc w:val="center"/>
              <w:rPr>
                <w:rFonts w:hint="default" w:ascii="Times New Roman" w:hAnsi="Times New Roman" w:eastAsia="仿宋" w:cs="Times New Roman"/>
                <w:sz w:val="21"/>
                <w:szCs w:val="21"/>
              </w:rPr>
            </w:pPr>
            <w:r>
              <w:rPr>
                <w:rFonts w:hint="default" w:ascii="Times New Roman" w:hAnsi="Times New Roman" w:eastAsia="仿宋" w:cs="Times New Roman"/>
                <w:b/>
                <w:sz w:val="21"/>
                <w:szCs w:val="21"/>
                <w:lang w:val="en-US" w:eastAsia="zh-CN"/>
              </w:rPr>
              <w:t>5%</w:t>
            </w:r>
          </w:p>
        </w:tc>
        <w:tc>
          <w:tcPr>
            <w:tcW w:w="784" w:type="dxa"/>
            <w:noWrap/>
            <w:vAlign w:val="center"/>
          </w:tcPr>
          <w:p w14:paraId="2B6CF9CF">
            <w:pPr>
              <w:adjustRightInd w:val="0"/>
              <w:jc w:val="center"/>
              <w:textAlignment w:val="baseline"/>
              <w:rPr>
                <w:rFonts w:hint="default" w:ascii="Times New Roman" w:hAnsi="Times New Roman" w:eastAsia="仿宋" w:cs="Times New Roman"/>
                <w:kern w:val="0"/>
                <w:sz w:val="21"/>
                <w:szCs w:val="21"/>
              </w:rPr>
            </w:pPr>
            <w:r>
              <w:rPr>
                <w:rFonts w:hint="default" w:ascii="Times New Roman" w:hAnsi="Times New Roman" w:eastAsia="仿宋" w:cs="Times New Roman"/>
                <w:b/>
                <w:sz w:val="21"/>
                <w:szCs w:val="21"/>
              </w:rPr>
              <w:t>5分</w:t>
            </w:r>
          </w:p>
        </w:tc>
        <w:tc>
          <w:tcPr>
            <w:tcW w:w="6895" w:type="dxa"/>
            <w:gridSpan w:val="2"/>
            <w:noWrap w:val="0"/>
            <w:vAlign w:val="center"/>
          </w:tcPr>
          <w:p w14:paraId="3B4A9EEC">
            <w:pPr>
              <w:spacing w:line="300" w:lineRule="auto"/>
              <w:rPr>
                <w:rFonts w:hint="default" w:ascii="Times New Roman" w:hAnsi="Times New Roman" w:eastAsia="仿宋" w:cs="Times New Roman"/>
                <w:sz w:val="21"/>
                <w:szCs w:val="21"/>
              </w:rPr>
            </w:pPr>
            <w:r>
              <w:rPr>
                <w:rFonts w:hint="default" w:ascii="Times New Roman" w:hAnsi="Times New Roman" w:eastAsia="仿宋" w:cs="Times New Roman"/>
                <w:sz w:val="21"/>
                <w:szCs w:val="21"/>
              </w:rPr>
              <w:t>项目投入车辆满足最低数量1台得3分，每增加1台加1分，满分5分。</w:t>
            </w:r>
          </w:p>
          <w:p w14:paraId="4669A5C8">
            <w:pPr>
              <w:spacing w:line="300" w:lineRule="auto"/>
              <w:rPr>
                <w:rFonts w:hint="eastAsia" w:ascii="Times New Roman" w:hAnsi="Times New Roman" w:eastAsia="仿宋" w:cs="Times New Roman"/>
                <w:kern w:val="0"/>
                <w:sz w:val="21"/>
                <w:szCs w:val="21"/>
                <w:lang w:eastAsia="zh-CN"/>
              </w:rPr>
            </w:pPr>
            <w:r>
              <w:rPr>
                <w:rFonts w:hint="default" w:ascii="Times New Roman" w:hAnsi="Times New Roman" w:eastAsia="仿宋" w:cs="Times New Roman"/>
                <w:sz w:val="21"/>
                <w:szCs w:val="21"/>
              </w:rPr>
              <w:t>投标人自有车辆要求提供车辆清单、有效的行驶证或购车合同，租赁车辆需提供租赁合同或租赁合作意向书（租赁合同或租赁合作意向书应明确车辆数量）</w:t>
            </w:r>
            <w:r>
              <w:rPr>
                <w:rFonts w:hint="eastAsia" w:ascii="Times New Roman" w:hAnsi="Times New Roman" w:eastAsia="仿宋" w:cs="Times New Roman"/>
                <w:sz w:val="21"/>
                <w:szCs w:val="21"/>
                <w:lang w:eastAsia="zh-CN"/>
              </w:rPr>
              <w:t>。</w:t>
            </w:r>
          </w:p>
        </w:tc>
      </w:tr>
      <w:tr w14:paraId="55C31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560" w:type="dxa"/>
            <w:noWrap w:val="0"/>
            <w:vAlign w:val="center"/>
          </w:tcPr>
          <w:p w14:paraId="4B58928F">
            <w:pPr>
              <w:widowControl/>
              <w:jc w:val="center"/>
              <w:rPr>
                <w:rFonts w:hint="default" w:ascii="Times New Roman" w:hAnsi="Times New Roman" w:eastAsia="仿宋" w:cs="Times New Roman"/>
                <w:kern w:val="0"/>
                <w:sz w:val="21"/>
                <w:szCs w:val="21"/>
                <w:lang w:val="en-US" w:eastAsia="zh-CN"/>
              </w:rPr>
            </w:pPr>
            <w:r>
              <w:rPr>
                <w:rFonts w:hint="default" w:ascii="Times New Roman" w:hAnsi="Times New Roman" w:eastAsia="仿宋" w:cs="Times New Roman"/>
                <w:kern w:val="0"/>
                <w:sz w:val="21"/>
                <w:szCs w:val="21"/>
                <w:lang w:val="en-US" w:eastAsia="zh-CN"/>
              </w:rPr>
              <w:t>5</w:t>
            </w:r>
          </w:p>
        </w:tc>
        <w:tc>
          <w:tcPr>
            <w:tcW w:w="1278" w:type="dxa"/>
            <w:noWrap w:val="0"/>
            <w:vAlign w:val="center"/>
          </w:tcPr>
          <w:p w14:paraId="051480EA">
            <w:pPr>
              <w:adjustRightInd w:val="0"/>
              <w:jc w:val="center"/>
              <w:textAlignment w:val="baseline"/>
              <w:rPr>
                <w:rFonts w:hint="default" w:ascii="Times New Roman" w:hAnsi="Times New Roman" w:eastAsia="仿宋" w:cs="Times New Roman"/>
                <w:b/>
                <w:kern w:val="2"/>
                <w:sz w:val="21"/>
                <w:szCs w:val="21"/>
                <w:lang w:val="en-US" w:eastAsia="zh-CN" w:bidi="ar-SA"/>
              </w:rPr>
            </w:pPr>
            <w:r>
              <w:rPr>
                <w:rFonts w:hint="default" w:ascii="Times New Roman" w:hAnsi="Times New Roman" w:eastAsia="仿宋" w:cs="Times New Roman"/>
                <w:b/>
                <w:sz w:val="21"/>
                <w:szCs w:val="21"/>
              </w:rPr>
              <w:t>商务业绩分</w:t>
            </w:r>
            <w:r>
              <w:rPr>
                <w:rFonts w:hint="default" w:ascii="Times New Roman" w:hAnsi="Times New Roman" w:eastAsia="仿宋" w:cs="Times New Roman"/>
                <w:b/>
                <w:sz w:val="21"/>
                <w:szCs w:val="21"/>
                <w:lang w:val="en-US" w:eastAsia="zh-CN"/>
              </w:rPr>
              <w:t>15%</w:t>
            </w:r>
          </w:p>
        </w:tc>
        <w:tc>
          <w:tcPr>
            <w:tcW w:w="784" w:type="dxa"/>
            <w:noWrap/>
            <w:vAlign w:val="center"/>
          </w:tcPr>
          <w:p w14:paraId="094E0209">
            <w:pPr>
              <w:adjustRightInd w:val="0"/>
              <w:jc w:val="center"/>
              <w:textAlignment w:val="baseline"/>
              <w:rPr>
                <w:rFonts w:hint="default" w:ascii="Times New Roman" w:hAnsi="Times New Roman" w:eastAsia="仿宋" w:cs="Times New Roman"/>
                <w:b/>
                <w:kern w:val="2"/>
                <w:sz w:val="21"/>
                <w:szCs w:val="21"/>
                <w:lang w:val="en-US" w:eastAsia="zh-CN" w:bidi="ar-SA"/>
              </w:rPr>
            </w:pPr>
            <w:r>
              <w:rPr>
                <w:rFonts w:hint="default" w:ascii="Times New Roman" w:hAnsi="Times New Roman" w:eastAsia="仿宋" w:cs="Times New Roman"/>
                <w:b/>
                <w:sz w:val="21"/>
                <w:szCs w:val="21"/>
              </w:rPr>
              <w:t>15分</w:t>
            </w:r>
          </w:p>
        </w:tc>
        <w:tc>
          <w:tcPr>
            <w:tcW w:w="6895" w:type="dxa"/>
            <w:gridSpan w:val="2"/>
            <w:noWrap w:val="0"/>
            <w:vAlign w:val="center"/>
          </w:tcPr>
          <w:p w14:paraId="4E343445">
            <w:pPr>
              <w:spacing w:line="300" w:lineRule="auto"/>
              <w:ind w:firstLine="420" w:firstLineChars="200"/>
              <w:rPr>
                <w:rFonts w:hint="default" w:ascii="Times New Roman" w:hAnsi="Times New Roman" w:eastAsia="仿宋" w:cs="Times New Roman"/>
                <w:kern w:val="2"/>
                <w:sz w:val="21"/>
                <w:szCs w:val="21"/>
                <w:lang w:val="en-US" w:eastAsia="zh-CN" w:bidi="ar-SA"/>
              </w:rPr>
            </w:pPr>
            <w:r>
              <w:rPr>
                <w:rFonts w:hint="default" w:ascii="Times New Roman" w:hAnsi="Times New Roman" w:eastAsia="仿宋" w:cs="Times New Roman"/>
                <w:sz w:val="21"/>
                <w:szCs w:val="21"/>
              </w:rPr>
              <w:t>投标人近3年来（从202</w:t>
            </w:r>
            <w:r>
              <w:rPr>
                <w:rFonts w:hint="default" w:ascii="Times New Roman" w:hAnsi="Times New Roman" w:eastAsia="仿宋" w:cs="Times New Roman"/>
                <w:sz w:val="21"/>
                <w:szCs w:val="21"/>
                <w:lang w:val="en-US" w:eastAsia="zh-CN"/>
              </w:rPr>
              <w:t>2</w:t>
            </w:r>
            <w:r>
              <w:rPr>
                <w:rFonts w:hint="default" w:ascii="Times New Roman" w:hAnsi="Times New Roman" w:eastAsia="仿宋" w:cs="Times New Roman"/>
                <w:sz w:val="21"/>
                <w:szCs w:val="21"/>
              </w:rPr>
              <w:t>年1月1日起算），具有与本次采购内容相类似的仪器设备运维服务项目业绩或通过体系认证的，每项得3分，该项满分15分。投标人须提供以下证明材料，否则不计分。证明材料包括但不限于以下文件（提供复印件，原件备查）：</w:t>
            </w:r>
            <w:r>
              <w:rPr>
                <w:rFonts w:hint="default" w:ascii="Times New Roman" w:hAnsi="Times New Roman" w:eastAsia="仿宋" w:cs="Times New Roman"/>
                <w:sz w:val="21"/>
                <w:szCs w:val="21"/>
                <w:lang w:eastAsia="zh-CN"/>
              </w:rPr>
              <w:t>（</w:t>
            </w:r>
            <w:r>
              <w:rPr>
                <w:rFonts w:hint="default" w:ascii="Times New Roman" w:hAnsi="Times New Roman" w:eastAsia="仿宋" w:cs="Times New Roman"/>
                <w:sz w:val="21"/>
                <w:szCs w:val="21"/>
                <w:lang w:val="en-US" w:eastAsia="zh-CN"/>
              </w:rPr>
              <w:t>1）</w:t>
            </w:r>
            <w:r>
              <w:rPr>
                <w:rFonts w:hint="default" w:ascii="Times New Roman" w:hAnsi="Times New Roman" w:eastAsia="仿宋" w:cs="Times New Roman"/>
                <w:sz w:val="21"/>
                <w:szCs w:val="21"/>
              </w:rPr>
              <w:t>合同，必须包含金额、签订合同双方的名称及印章、合同标的等；</w:t>
            </w:r>
            <w:r>
              <w:rPr>
                <w:rFonts w:hint="default" w:ascii="Times New Roman" w:hAnsi="Times New Roman" w:eastAsia="仿宋" w:cs="Times New Roman"/>
                <w:sz w:val="21"/>
                <w:szCs w:val="21"/>
                <w:lang w:eastAsia="zh-CN"/>
              </w:rPr>
              <w:t>（</w:t>
            </w:r>
            <w:r>
              <w:rPr>
                <w:rFonts w:hint="default" w:ascii="Times New Roman" w:hAnsi="Times New Roman" w:eastAsia="仿宋" w:cs="Times New Roman"/>
                <w:sz w:val="21"/>
                <w:szCs w:val="21"/>
                <w:lang w:val="en-US" w:eastAsia="zh-CN"/>
              </w:rPr>
              <w:t>2）</w:t>
            </w:r>
            <w:r>
              <w:rPr>
                <w:rFonts w:hint="default" w:ascii="Times New Roman" w:hAnsi="Times New Roman" w:eastAsia="仿宋" w:cs="Times New Roman"/>
                <w:sz w:val="21"/>
                <w:szCs w:val="21"/>
              </w:rPr>
              <w:t>验收材料及相关采购方意见等；</w:t>
            </w:r>
            <w:r>
              <w:rPr>
                <w:rFonts w:hint="default" w:ascii="Times New Roman" w:hAnsi="Times New Roman" w:eastAsia="仿宋" w:cs="Times New Roman"/>
                <w:sz w:val="21"/>
                <w:szCs w:val="21"/>
                <w:lang w:eastAsia="zh-CN"/>
              </w:rPr>
              <w:t>（</w:t>
            </w:r>
            <w:r>
              <w:rPr>
                <w:rFonts w:hint="default" w:ascii="Times New Roman" w:hAnsi="Times New Roman" w:eastAsia="仿宋" w:cs="Times New Roman"/>
                <w:sz w:val="21"/>
                <w:szCs w:val="21"/>
                <w:lang w:val="en-US" w:eastAsia="zh-CN"/>
              </w:rPr>
              <w:t>3）</w:t>
            </w:r>
            <w:r>
              <w:rPr>
                <w:rFonts w:hint="default" w:ascii="Times New Roman" w:hAnsi="Times New Roman" w:eastAsia="仿宋" w:cs="Times New Roman"/>
                <w:sz w:val="21"/>
                <w:szCs w:val="21"/>
              </w:rPr>
              <w:t>体系认证相关证明材料。</w:t>
            </w:r>
          </w:p>
        </w:tc>
      </w:tr>
      <w:tr w14:paraId="256C7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1838" w:type="dxa"/>
            <w:gridSpan w:val="2"/>
            <w:noWrap/>
            <w:vAlign w:val="center"/>
          </w:tcPr>
          <w:p w14:paraId="3EC349CA">
            <w:pPr>
              <w:widowControl/>
              <w:jc w:val="center"/>
              <w:rPr>
                <w:rFonts w:hint="default" w:ascii="Times New Roman" w:hAnsi="Times New Roman" w:eastAsia="仿宋" w:cs="Times New Roman"/>
                <w:b/>
                <w:bCs/>
                <w:kern w:val="0"/>
                <w:sz w:val="21"/>
                <w:szCs w:val="21"/>
              </w:rPr>
            </w:pPr>
            <w:r>
              <w:rPr>
                <w:rFonts w:hint="default" w:ascii="Times New Roman" w:hAnsi="Times New Roman" w:eastAsia="仿宋" w:cs="Times New Roman"/>
                <w:b/>
                <w:bCs/>
                <w:kern w:val="0"/>
                <w:sz w:val="21"/>
                <w:szCs w:val="21"/>
              </w:rPr>
              <w:t>合计</w:t>
            </w:r>
          </w:p>
        </w:tc>
        <w:tc>
          <w:tcPr>
            <w:tcW w:w="784" w:type="dxa"/>
            <w:noWrap/>
            <w:vAlign w:val="center"/>
          </w:tcPr>
          <w:p w14:paraId="5B758C86">
            <w:pPr>
              <w:widowControl/>
              <w:jc w:val="center"/>
              <w:rPr>
                <w:rFonts w:hint="default" w:ascii="Times New Roman" w:hAnsi="Times New Roman" w:eastAsia="仿宋" w:cs="Times New Roman"/>
                <w:b/>
                <w:bCs/>
                <w:kern w:val="0"/>
                <w:sz w:val="21"/>
                <w:szCs w:val="21"/>
              </w:rPr>
            </w:pPr>
            <w:r>
              <w:rPr>
                <w:rFonts w:hint="default" w:ascii="Times New Roman" w:hAnsi="Times New Roman" w:eastAsia="仿宋" w:cs="Times New Roman"/>
                <w:b/>
                <w:bCs/>
                <w:kern w:val="0"/>
                <w:sz w:val="21"/>
                <w:szCs w:val="21"/>
              </w:rPr>
              <w:t>100分</w:t>
            </w:r>
          </w:p>
        </w:tc>
        <w:tc>
          <w:tcPr>
            <w:tcW w:w="6895" w:type="dxa"/>
            <w:gridSpan w:val="2"/>
            <w:noWrap/>
            <w:vAlign w:val="center"/>
          </w:tcPr>
          <w:p w14:paraId="268FFF50">
            <w:pPr>
              <w:widowControl/>
              <w:jc w:val="left"/>
              <w:rPr>
                <w:rFonts w:hint="default" w:ascii="Times New Roman" w:hAnsi="Times New Roman" w:eastAsia="仿宋" w:cs="Times New Roman"/>
                <w:b/>
                <w:bCs/>
                <w:kern w:val="0"/>
                <w:sz w:val="21"/>
                <w:szCs w:val="21"/>
              </w:rPr>
            </w:pPr>
          </w:p>
        </w:tc>
      </w:tr>
      <w:tr w14:paraId="29C5A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6" w:hRule="atLeast"/>
          <w:jc w:val="center"/>
        </w:trPr>
        <w:tc>
          <w:tcPr>
            <w:tcW w:w="9517" w:type="dxa"/>
            <w:gridSpan w:val="5"/>
            <w:noWrap/>
            <w:vAlign w:val="center"/>
          </w:tcPr>
          <w:p w14:paraId="496058D8">
            <w:pPr>
              <w:widowControl/>
              <w:jc w:val="left"/>
              <w:rPr>
                <w:rFonts w:hint="default" w:ascii="Times New Roman" w:hAnsi="Times New Roman" w:eastAsia="仿宋" w:cs="Times New Roman"/>
                <w:kern w:val="0"/>
                <w:sz w:val="21"/>
                <w:szCs w:val="21"/>
              </w:rPr>
            </w:pPr>
            <w:r>
              <w:rPr>
                <w:rFonts w:hint="default" w:ascii="Times New Roman" w:hAnsi="Times New Roman" w:eastAsia="仿宋" w:cs="Times New Roman"/>
                <w:kern w:val="0"/>
                <w:sz w:val="21"/>
                <w:szCs w:val="21"/>
              </w:rPr>
              <w:t xml:space="preserve">评分说明： </w:t>
            </w:r>
          </w:p>
          <w:p w14:paraId="5BC66544">
            <w:pPr>
              <w:widowControl/>
              <w:ind w:firstLine="420" w:firstLineChars="200"/>
              <w:jc w:val="left"/>
              <w:rPr>
                <w:rFonts w:hint="default" w:ascii="Times New Roman" w:hAnsi="Times New Roman" w:eastAsia="仿宋" w:cs="Times New Roman"/>
                <w:kern w:val="0"/>
                <w:sz w:val="21"/>
                <w:szCs w:val="21"/>
              </w:rPr>
            </w:pPr>
            <w:r>
              <w:rPr>
                <w:rFonts w:hint="default" w:ascii="Times New Roman" w:hAnsi="Times New Roman" w:eastAsia="仿宋" w:cs="Times New Roman"/>
                <w:kern w:val="0"/>
                <w:sz w:val="21"/>
                <w:szCs w:val="21"/>
              </w:rPr>
              <w:t>评审小组在全部满足比选公告实质性要求和条件的前提下，按竞标人综合评分由高到低排列成交候选供应商顺序。综合评分相同时，依次按具体实施方案分高优先、</w:t>
            </w:r>
            <w:r>
              <w:rPr>
                <w:rFonts w:hint="eastAsia" w:ascii="Times New Roman" w:hAnsi="Times New Roman" w:eastAsia="仿宋" w:cs="Times New Roman"/>
                <w:kern w:val="0"/>
                <w:sz w:val="21"/>
                <w:szCs w:val="21"/>
                <w:lang w:val="en-US" w:eastAsia="zh-CN"/>
              </w:rPr>
              <w:t>服务能力</w:t>
            </w:r>
            <w:r>
              <w:rPr>
                <w:rFonts w:hint="default" w:ascii="Times New Roman" w:hAnsi="Times New Roman" w:eastAsia="仿宋" w:cs="Times New Roman"/>
                <w:kern w:val="0"/>
                <w:sz w:val="21"/>
                <w:szCs w:val="21"/>
              </w:rPr>
              <w:t>分高优先、投标报价低优先的顺序排列</w:t>
            </w:r>
            <w:r>
              <w:rPr>
                <w:rFonts w:hint="eastAsia" w:ascii="Times New Roman" w:hAnsi="Times New Roman" w:eastAsia="仿宋" w:cs="Times New Roman"/>
                <w:kern w:val="0"/>
                <w:sz w:val="21"/>
                <w:szCs w:val="21"/>
                <w:lang w:eastAsia="zh-CN"/>
              </w:rPr>
              <w:t>；</w:t>
            </w:r>
            <w:r>
              <w:rPr>
                <w:rFonts w:hint="default" w:ascii="Times New Roman" w:hAnsi="Times New Roman" w:eastAsia="仿宋" w:cs="Times New Roman"/>
                <w:kern w:val="0"/>
                <w:sz w:val="21"/>
                <w:szCs w:val="21"/>
              </w:rPr>
              <w:t>综合评分相同且前述指标均相同时，由评审小组各成员对报价相同的供应商当场投票表决，得票多者优先</w:t>
            </w:r>
            <w:r>
              <w:rPr>
                <w:rFonts w:hint="eastAsia" w:ascii="Times New Roman" w:hAnsi="Times New Roman" w:eastAsia="仿宋" w:cs="Times New Roman"/>
                <w:kern w:val="0"/>
                <w:sz w:val="21"/>
                <w:szCs w:val="21"/>
                <w:lang w:eastAsia="zh-CN"/>
              </w:rPr>
              <w:t>；</w:t>
            </w:r>
            <w:r>
              <w:rPr>
                <w:rFonts w:hint="default" w:ascii="Times New Roman" w:hAnsi="Times New Roman" w:eastAsia="仿宋" w:cs="Times New Roman"/>
                <w:kern w:val="0"/>
                <w:sz w:val="21"/>
                <w:szCs w:val="21"/>
              </w:rPr>
              <w:t>按前述程序仍无法确定供应商排名顺序的，由评审小组抽签决定，并依照次序确定成交供应商。</w:t>
            </w:r>
          </w:p>
          <w:p w14:paraId="0FE466BF">
            <w:pPr>
              <w:widowControl/>
              <w:ind w:firstLine="420" w:firstLineChars="200"/>
              <w:jc w:val="left"/>
              <w:rPr>
                <w:rFonts w:hint="default" w:ascii="Times New Roman" w:hAnsi="Times New Roman" w:eastAsia="仿宋" w:cs="Times New Roman"/>
                <w:b/>
                <w:bCs/>
                <w:kern w:val="0"/>
                <w:sz w:val="21"/>
                <w:szCs w:val="21"/>
              </w:rPr>
            </w:pPr>
            <w:r>
              <w:rPr>
                <w:rFonts w:hint="default" w:ascii="Times New Roman" w:hAnsi="Times New Roman" w:eastAsia="仿宋" w:cs="Times New Roman"/>
                <w:kern w:val="0"/>
                <w:sz w:val="21"/>
                <w:szCs w:val="21"/>
              </w:rPr>
              <w:t>成交供应商因不可抗力或者自身原因放弃成交或者不能履行采购合同的，我单位可以与成交供应商之后排名第一的成交候选供应商签订采购合同，以此类推</w:t>
            </w:r>
            <w:r>
              <w:rPr>
                <w:rFonts w:hint="eastAsia" w:ascii="Times New Roman" w:hAnsi="Times New Roman" w:eastAsia="仿宋" w:cs="Times New Roman"/>
                <w:kern w:val="0"/>
                <w:sz w:val="21"/>
                <w:szCs w:val="21"/>
                <w:lang w:eastAsia="zh-CN"/>
              </w:rPr>
              <w:t>；</w:t>
            </w:r>
            <w:r>
              <w:rPr>
                <w:rFonts w:hint="default" w:ascii="Times New Roman" w:hAnsi="Times New Roman" w:eastAsia="仿宋" w:cs="Times New Roman"/>
                <w:kern w:val="0"/>
                <w:sz w:val="21"/>
                <w:szCs w:val="21"/>
              </w:rPr>
              <w:t>也可以重新组织采购。</w:t>
            </w:r>
          </w:p>
        </w:tc>
      </w:tr>
    </w:tbl>
    <w:p w14:paraId="0DA45F66"/>
    <w:p w14:paraId="38249D63">
      <w:pPr>
        <w:rPr>
          <w:rFonts w:ascii="Times New Roman" w:hAnsi="Times New Roman" w:eastAsia="黑体"/>
          <w:sz w:val="28"/>
          <w:szCs w:val="28"/>
        </w:rPr>
      </w:pPr>
      <w:r>
        <w:rPr>
          <w:rFonts w:ascii="Times New Roman" w:hAnsi="Times New Roman" w:eastAsia="黑体"/>
          <w:sz w:val="28"/>
          <w:szCs w:val="28"/>
        </w:rPr>
        <w:br w:type="page"/>
      </w:r>
    </w:p>
    <w:p w14:paraId="1160EC47">
      <w:pPr>
        <w:pStyle w:val="4"/>
        <w:rPr>
          <w:rFonts w:hint="eastAsia" w:ascii="仿宋" w:hAnsi="仿宋" w:eastAsia="仿宋" w:cs="仿宋"/>
          <w:sz w:val="32"/>
          <w:szCs w:val="48"/>
          <w:highlight w:val="none"/>
          <w:lang w:val="en-US" w:eastAsia="zh-CN"/>
        </w:rPr>
      </w:pPr>
      <w:r>
        <w:rPr>
          <w:rFonts w:hint="eastAsia" w:ascii="仿宋" w:hAnsi="仿宋" w:eastAsia="仿宋" w:cs="仿宋"/>
          <w:sz w:val="32"/>
          <w:szCs w:val="48"/>
          <w:highlight w:val="none"/>
          <w:lang w:val="en-US" w:eastAsia="zh-CN"/>
        </w:rPr>
        <w:t>附件1-1</w:t>
      </w:r>
    </w:p>
    <w:p w14:paraId="2B56951F">
      <w:pPr>
        <w:pStyle w:val="4"/>
        <w:rPr>
          <w:rFonts w:hint="eastAsia" w:ascii="Times New Roman" w:hAnsi="Times New Roman" w:eastAsia="黑体" w:cs="Times New Roman"/>
          <w:sz w:val="28"/>
          <w:szCs w:val="28"/>
        </w:rPr>
      </w:pPr>
      <w:r>
        <w:rPr>
          <w:rFonts w:hint="eastAsia"/>
          <w:highlight w:val="none"/>
        </w:rPr>
        <w:drawing>
          <wp:inline distT="0" distB="0" distL="114300" distR="114300">
            <wp:extent cx="5758815" cy="8138160"/>
            <wp:effectExtent l="0" t="0" r="13335" b="15240"/>
            <wp:docPr id="11" name="图片 1" descr="桂环测气字[2020]66号自治区生态环境监测中心印发《广西壮族自治区大气降水自动监测技术方案》的通知(1)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descr="桂环测气字[2020]66号自治区生态环境监测中心印发《广西壮族自治区大气降水自动监测技术方案》的通知(1)_00"/>
                    <pic:cNvPicPr>
                      <a:picLocks noChangeAspect="1"/>
                    </pic:cNvPicPr>
                  </pic:nvPicPr>
                  <pic:blipFill>
                    <a:blip r:embed="rId5"/>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3" name="图片 2" descr="桂环测气字[2020]66号自治区生态环境监测中心印发《广西壮族自治区大气降水自动监测技术方案》的通知(1)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descr="桂环测气字[2020]66号自治区生态环境监测中心印发《广西壮族自治区大气降水自动监测技术方案》的通知(1)_01"/>
                    <pic:cNvPicPr>
                      <a:picLocks noChangeAspect="1"/>
                    </pic:cNvPicPr>
                  </pic:nvPicPr>
                  <pic:blipFill>
                    <a:blip r:embed="rId6"/>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4" name="图片 3" descr="桂环测气字[2020]66号自治区生态环境监测中心印发《广西壮族自治区大气降水自动监测技术方案》的通知(1)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3" descr="桂环测气字[2020]66号自治区生态环境监测中心印发《广西壮族自治区大气降水自动监测技术方案》的通知(1)_02"/>
                    <pic:cNvPicPr>
                      <a:picLocks noChangeAspect="1"/>
                    </pic:cNvPicPr>
                  </pic:nvPicPr>
                  <pic:blipFill>
                    <a:blip r:embed="rId7"/>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2" name="图片 4" descr="桂环测气字[2020]66号自治区生态环境监测中心印发《广西壮族自治区大气降水自动监测技术方案》的通知(1)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 descr="桂环测气字[2020]66号自治区生态环境监测中心印发《广西壮族自治区大气降水自动监测技术方案》的通知(1)_03"/>
                    <pic:cNvPicPr>
                      <a:picLocks noChangeAspect="1"/>
                    </pic:cNvPicPr>
                  </pic:nvPicPr>
                  <pic:blipFill>
                    <a:blip r:embed="rId8"/>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5" name="图片 5" descr="桂环测气字[2020]66号自治区生态环境监测中心印发《广西壮族自治区大气降水自动监测技术方案》的通知(1)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5" descr="桂环测气字[2020]66号自治区生态环境监测中心印发《广西壮族自治区大气降水自动监测技术方案》的通知(1)_04"/>
                    <pic:cNvPicPr>
                      <a:picLocks noChangeAspect="1"/>
                    </pic:cNvPicPr>
                  </pic:nvPicPr>
                  <pic:blipFill>
                    <a:blip r:embed="rId9"/>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6" name="图片 6" descr="桂环测气字[2020]66号自治区生态环境监测中心印发《广西壮族自治区大气降水自动监测技术方案》的通知(1)_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6" descr="桂环测气字[2020]66号自治区生态环境监测中心印发《广西壮族自治区大气降水自动监测技术方案》的通知(1)_05"/>
                    <pic:cNvPicPr>
                      <a:picLocks noChangeAspect="1"/>
                    </pic:cNvPicPr>
                  </pic:nvPicPr>
                  <pic:blipFill>
                    <a:blip r:embed="rId10"/>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7" name="图片 7" descr="桂环测气字[2020]66号自治区生态环境监测中心印发《广西壮族自治区大气降水自动监测技术方案》的通知(1)_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7" descr="桂环测气字[2020]66号自治区生态环境监测中心印发《广西壮族自治区大气降水自动监测技术方案》的通知(1)_06"/>
                    <pic:cNvPicPr>
                      <a:picLocks noChangeAspect="1"/>
                    </pic:cNvPicPr>
                  </pic:nvPicPr>
                  <pic:blipFill>
                    <a:blip r:embed="rId11"/>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8" name="图片 8" descr="桂环测气字[2020]66号自治区生态环境监测中心印发《广西壮族自治区大气降水自动监测技术方案》的通知(1)_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8" descr="桂环测气字[2020]66号自治区生态环境监测中心印发《广西壮族自治区大气降水自动监测技术方案》的通知(1)_07"/>
                    <pic:cNvPicPr>
                      <a:picLocks noChangeAspect="1"/>
                    </pic:cNvPicPr>
                  </pic:nvPicPr>
                  <pic:blipFill>
                    <a:blip r:embed="rId12"/>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9" name="图片 9" descr="桂环测气字[2020]66号自治区生态环境监测中心印发《广西壮族自治区大气降水自动监测技术方案》的通知(1)_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9" descr="桂环测气字[2020]66号自治区生态环境监测中心印发《广西壮族自治区大气降水自动监测技术方案》的通知(1)_08"/>
                    <pic:cNvPicPr>
                      <a:picLocks noChangeAspect="1"/>
                    </pic:cNvPicPr>
                  </pic:nvPicPr>
                  <pic:blipFill>
                    <a:blip r:embed="rId13"/>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20" name="图片 10" descr="桂环测气字[2020]66号自治区生态环境监测中心印发《广西壮族自治区大气降水自动监测技术方案》的通知(1)_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0" descr="桂环测气字[2020]66号自治区生态环境监测中心印发《广西壮族自治区大气降水自动监测技术方案》的通知(1)_09"/>
                    <pic:cNvPicPr>
                      <a:picLocks noChangeAspect="1"/>
                    </pic:cNvPicPr>
                  </pic:nvPicPr>
                  <pic:blipFill>
                    <a:blip r:embed="rId14"/>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8" name="图片 11" descr="桂环测气字[2020]66号自治区生态环境监测中心印发《广西壮族自治区大气降水自动监测技术方案》的通知(1)_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1" descr="桂环测气字[2020]66号自治区生态环境监测中心印发《广西壮族自治区大气降水自动监测技术方案》的通知(1)_10"/>
                    <pic:cNvPicPr>
                      <a:picLocks noChangeAspect="1"/>
                    </pic:cNvPicPr>
                  </pic:nvPicPr>
                  <pic:blipFill>
                    <a:blip r:embed="rId15"/>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3" name="图片 12" descr="桂环测气字[2020]66号自治区生态环境监测中心印发《广西壮族自治区大气降水自动监测技术方案》的通知(1)_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2" descr="桂环测气字[2020]66号自治区生态环境监测中心印发《广西壮族自治区大气降水自动监测技术方案》的通知(1)_11"/>
                    <pic:cNvPicPr>
                      <a:picLocks noChangeAspect="1"/>
                    </pic:cNvPicPr>
                  </pic:nvPicPr>
                  <pic:blipFill>
                    <a:blip r:embed="rId16"/>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7" name="图片 13" descr="桂环测气字[2020]66号自治区生态环境监测中心印发《广西壮族自治区大气降水自动监测技术方案》的通知(1)_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3" descr="桂环测气字[2020]66号自治区生态环境监测中心印发《广西壮族自治区大气降水自动监测技术方案》的通知(1)_12"/>
                    <pic:cNvPicPr>
                      <a:picLocks noChangeAspect="1"/>
                    </pic:cNvPicPr>
                  </pic:nvPicPr>
                  <pic:blipFill>
                    <a:blip r:embed="rId17"/>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9" name="图片 14" descr="桂环测气字[2020]66号自治区生态环境监测中心印发《广西壮族自治区大气降水自动监测技术方案》的通知(1)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4" descr="桂环测气字[2020]66号自治区生态环境监测中心印发《广西壮族自治区大气降水自动监测技术方案》的通知(1)_13"/>
                    <pic:cNvPicPr>
                      <a:picLocks noChangeAspect="1"/>
                    </pic:cNvPicPr>
                  </pic:nvPicPr>
                  <pic:blipFill>
                    <a:blip r:embed="rId18"/>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 name="图片 15" descr="桂环测气字[2020]66号自治区生态环境监测中心印发《广西壮族自治区大气降水自动监测技术方案》的通知(1)_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5" descr="桂环测气字[2020]66号自治区生态环境监测中心印发《广西壮族自治区大气降水自动监测技术方案》的通知(1)_14"/>
                    <pic:cNvPicPr>
                      <a:picLocks noChangeAspect="1"/>
                    </pic:cNvPicPr>
                  </pic:nvPicPr>
                  <pic:blipFill>
                    <a:blip r:embed="rId19"/>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5" name="图片 16" descr="桂环测气字[2020]66号自治区生态环境监测中心印发《广西壮族自治区大气降水自动监测技术方案》的通知(1)_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6" descr="桂环测气字[2020]66号自治区生态环境监测中心印发《广西壮族自治区大气降水自动监测技术方案》的通知(1)_15"/>
                    <pic:cNvPicPr>
                      <a:picLocks noChangeAspect="1"/>
                    </pic:cNvPicPr>
                  </pic:nvPicPr>
                  <pic:blipFill>
                    <a:blip r:embed="rId20"/>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2" name="图片 17" descr="桂环测气字[2020]66号自治区生态环境监测中心印发《广西壮族自治区大气降水自动监测技术方案》的通知(1)_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7" descr="桂环测气字[2020]66号自治区生态环境监测中心印发《广西壮族自治区大气降水自动监测技术方案》的通知(1)_16"/>
                    <pic:cNvPicPr>
                      <a:picLocks noChangeAspect="1"/>
                    </pic:cNvPicPr>
                  </pic:nvPicPr>
                  <pic:blipFill>
                    <a:blip r:embed="rId21"/>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6" name="图片 18" descr="桂环测气字[2020]66号自治区生态环境监测中心印发《广西壮族自治区大气降水自动监测技术方案》的通知(1)_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8" descr="桂环测气字[2020]66号自治区生态环境监测中心印发《广西壮族自治区大气降水自动监测技术方案》的通知(1)_17"/>
                    <pic:cNvPicPr>
                      <a:picLocks noChangeAspect="1"/>
                    </pic:cNvPicPr>
                  </pic:nvPicPr>
                  <pic:blipFill>
                    <a:blip r:embed="rId22"/>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4" name="图片 19" descr="桂环测气字[2020]66号自治区生态环境监测中心印发《广西壮族自治区大气降水自动监测技术方案》的通知(1)_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9" descr="桂环测气字[2020]66号自治区生态环境监测中心印发《广西壮族自治区大气降水自动监测技术方案》的通知(1)_18"/>
                    <pic:cNvPicPr>
                      <a:picLocks noChangeAspect="1"/>
                    </pic:cNvPicPr>
                  </pic:nvPicPr>
                  <pic:blipFill>
                    <a:blip r:embed="rId23"/>
                    <a:stretch>
                      <a:fillRect/>
                    </a:stretch>
                  </pic:blipFill>
                  <pic:spPr>
                    <a:xfrm>
                      <a:off x="0" y="0"/>
                      <a:ext cx="5758815" cy="8138160"/>
                    </a:xfrm>
                    <a:prstGeom prst="rect">
                      <a:avLst/>
                    </a:prstGeom>
                    <a:noFill/>
                    <a:ln>
                      <a:noFill/>
                    </a:ln>
                  </pic:spPr>
                </pic:pic>
              </a:graphicData>
            </a:graphic>
          </wp:inline>
        </w:drawing>
      </w:r>
      <w:r>
        <w:rPr>
          <w:rFonts w:hint="eastAsia"/>
          <w:highlight w:val="none"/>
        </w:rPr>
        <w:drawing>
          <wp:inline distT="0" distB="0" distL="114300" distR="114300">
            <wp:extent cx="5758815" cy="8138160"/>
            <wp:effectExtent l="0" t="0" r="13335" b="15240"/>
            <wp:docPr id="10" name="图片 20" descr="桂环测气字[2020]66号自治区生态环境监测中心印发《广西壮族自治区大气降水自动监测技术方案》的通知(1)_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0" descr="桂环测气字[2020]66号自治区生态环境监测中心印发《广西壮族自治区大气降水自动监测技术方案》的通知(1)_19"/>
                    <pic:cNvPicPr>
                      <a:picLocks noChangeAspect="1"/>
                    </pic:cNvPicPr>
                  </pic:nvPicPr>
                  <pic:blipFill>
                    <a:blip r:embed="rId24"/>
                    <a:stretch>
                      <a:fillRect/>
                    </a:stretch>
                  </pic:blipFill>
                  <pic:spPr>
                    <a:xfrm>
                      <a:off x="0" y="0"/>
                      <a:ext cx="5758815" cy="8138160"/>
                    </a:xfrm>
                    <a:prstGeom prst="rect">
                      <a:avLst/>
                    </a:prstGeom>
                    <a:noFill/>
                    <a:ln>
                      <a:noFill/>
                    </a:ln>
                  </pic:spPr>
                </pic:pic>
              </a:graphicData>
            </a:graphic>
          </wp:inline>
        </w:drawing>
      </w:r>
    </w:p>
    <w:p w14:paraId="5231AC87"/>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7C994F5-C658-459E-9686-3225463D9F1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78DF5CD7-39D6-491F-A10F-D2071889326B}"/>
  </w:font>
  <w:font w:name="仿宋">
    <w:panose1 w:val="02010609060101010101"/>
    <w:charset w:val="86"/>
    <w:family w:val="modern"/>
    <w:pitch w:val="default"/>
    <w:sig w:usb0="800002BF" w:usb1="38CF7CFA" w:usb2="00000016" w:usb3="00000000" w:csb0="00040001" w:csb1="00000000"/>
    <w:embedRegular r:id="rId3" w:fontKey="{04DD55BE-EAD4-412D-B106-327417EAD696}"/>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2000000000000000000"/>
    <w:charset w:val="86"/>
    <w:family w:val="script"/>
    <w:pitch w:val="default"/>
    <w:sig w:usb0="A00002BF" w:usb1="38CF7CFA" w:usb2="00082016" w:usb3="00000000" w:csb0="00040001" w:csb1="00000000"/>
    <w:embedRegular r:id="rId4" w:fontKey="{5C6B2283-2C3D-4881-AABC-58047D568EFC}"/>
  </w:font>
  <w:font w:name="方正仿宋_GBK">
    <w:panose1 w:val="02000000000000000000"/>
    <w:charset w:val="86"/>
    <w:family w:val="script"/>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EE021">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5F9338"/>
    <w:multiLevelType w:val="singleLevel"/>
    <w:tmpl w:val="945F9338"/>
    <w:lvl w:ilvl="0" w:tentative="0">
      <w:start w:val="1"/>
      <w:numFmt w:val="chineseCounting"/>
      <w:suff w:val="nothing"/>
      <w:lvlText w:val="（%1）"/>
      <w:lvlJc w:val="left"/>
      <w:rPr>
        <w:rFonts w:hint="eastAsia"/>
      </w:rPr>
    </w:lvl>
  </w:abstractNum>
  <w:abstractNum w:abstractNumId="1">
    <w:nsid w:val="9D32BCAB"/>
    <w:multiLevelType w:val="singleLevel"/>
    <w:tmpl w:val="9D32BCAB"/>
    <w:lvl w:ilvl="0" w:tentative="0">
      <w:start w:val="1"/>
      <w:numFmt w:val="chineseCounting"/>
      <w:suff w:val="nothing"/>
      <w:lvlText w:val="（%1）"/>
      <w:lvlJc w:val="left"/>
      <w:rPr>
        <w:rFonts w:hint="eastAsia"/>
      </w:rPr>
    </w:lvl>
  </w:abstractNum>
  <w:abstractNum w:abstractNumId="2">
    <w:nsid w:val="0652D904"/>
    <w:multiLevelType w:val="singleLevel"/>
    <w:tmpl w:val="0652D904"/>
    <w:lvl w:ilvl="0" w:tentative="0">
      <w:start w:val="1"/>
      <w:numFmt w:val="chineseCounting"/>
      <w:suff w:val="nothing"/>
      <w:lvlText w:val="（%1）"/>
      <w:lvlJc w:val="left"/>
      <w:rPr>
        <w:rFonts w:hint="eastAsia"/>
      </w:rPr>
    </w:lvl>
  </w:abstractNum>
  <w:abstractNum w:abstractNumId="3">
    <w:nsid w:val="19B5B183"/>
    <w:multiLevelType w:val="singleLevel"/>
    <w:tmpl w:val="19B5B183"/>
    <w:lvl w:ilvl="0" w:tentative="0">
      <w:start w:val="1"/>
      <w:numFmt w:val="chineseCounting"/>
      <w:suff w:val="nothing"/>
      <w:lvlText w:val="（%1）"/>
      <w:lvlJc w:val="left"/>
      <w:rPr>
        <w:rFonts w:hint="eastAsia"/>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612B"/>
    <w:rsid w:val="001912A7"/>
    <w:rsid w:val="0043536D"/>
    <w:rsid w:val="006B31F3"/>
    <w:rsid w:val="008F2E2F"/>
    <w:rsid w:val="00B768ED"/>
    <w:rsid w:val="00BB612B"/>
    <w:rsid w:val="00F86004"/>
    <w:rsid w:val="016F45ED"/>
    <w:rsid w:val="02357F37"/>
    <w:rsid w:val="06085010"/>
    <w:rsid w:val="07175B51"/>
    <w:rsid w:val="075A7330"/>
    <w:rsid w:val="09784B5E"/>
    <w:rsid w:val="0A4F07E0"/>
    <w:rsid w:val="0B1D5D6F"/>
    <w:rsid w:val="0C057EC4"/>
    <w:rsid w:val="0C087B18"/>
    <w:rsid w:val="0C8B615A"/>
    <w:rsid w:val="0D0B5A86"/>
    <w:rsid w:val="0D6B035F"/>
    <w:rsid w:val="14EC0E8D"/>
    <w:rsid w:val="15D5574D"/>
    <w:rsid w:val="17E8797F"/>
    <w:rsid w:val="1C3E1FD3"/>
    <w:rsid w:val="1D456F0E"/>
    <w:rsid w:val="1FB075C8"/>
    <w:rsid w:val="1FF02946"/>
    <w:rsid w:val="203942EC"/>
    <w:rsid w:val="20C75F78"/>
    <w:rsid w:val="23270BA8"/>
    <w:rsid w:val="27DB7768"/>
    <w:rsid w:val="29CB244F"/>
    <w:rsid w:val="2A7725E1"/>
    <w:rsid w:val="2BF12865"/>
    <w:rsid w:val="2C534988"/>
    <w:rsid w:val="2CB95BFB"/>
    <w:rsid w:val="2ED41F5D"/>
    <w:rsid w:val="31A13013"/>
    <w:rsid w:val="32494E2E"/>
    <w:rsid w:val="34645984"/>
    <w:rsid w:val="35EA38CE"/>
    <w:rsid w:val="36D61870"/>
    <w:rsid w:val="3B0B730F"/>
    <w:rsid w:val="3ED66EDD"/>
    <w:rsid w:val="43F21EE1"/>
    <w:rsid w:val="44611A27"/>
    <w:rsid w:val="459F01B9"/>
    <w:rsid w:val="46AB0FF8"/>
    <w:rsid w:val="47EF774F"/>
    <w:rsid w:val="47F435A1"/>
    <w:rsid w:val="49AB0561"/>
    <w:rsid w:val="4A431740"/>
    <w:rsid w:val="4D1150C3"/>
    <w:rsid w:val="4F477BE7"/>
    <w:rsid w:val="5003220E"/>
    <w:rsid w:val="50D13ACC"/>
    <w:rsid w:val="517B2107"/>
    <w:rsid w:val="51842D6A"/>
    <w:rsid w:val="545D78A2"/>
    <w:rsid w:val="55985EE0"/>
    <w:rsid w:val="56361010"/>
    <w:rsid w:val="56E542AB"/>
    <w:rsid w:val="5E59557E"/>
    <w:rsid w:val="5F751F44"/>
    <w:rsid w:val="5F7768AC"/>
    <w:rsid w:val="60443490"/>
    <w:rsid w:val="61BC77BF"/>
    <w:rsid w:val="622B0D5B"/>
    <w:rsid w:val="6B572441"/>
    <w:rsid w:val="6CEA5490"/>
    <w:rsid w:val="6DF3532D"/>
    <w:rsid w:val="71880AA7"/>
    <w:rsid w:val="7201660C"/>
    <w:rsid w:val="733223E9"/>
    <w:rsid w:val="735A7B95"/>
    <w:rsid w:val="78D95DE7"/>
    <w:rsid w:val="7A884099"/>
    <w:rsid w:val="7B25086A"/>
    <w:rsid w:val="7B547823"/>
    <w:rsid w:val="7CC83BA3"/>
    <w:rsid w:val="7DBB38C6"/>
    <w:rsid w:val="7E6429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11">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99"/>
    <w:pPr>
      <w:overflowPunct w:val="0"/>
      <w:spacing w:line="600" w:lineRule="exact"/>
      <w:ind w:firstLine="480" w:firstLineChars="200"/>
    </w:pPr>
    <w:rPr>
      <w:rFonts w:ascii="仿宋" w:hAnsi="仿宋" w:eastAsia="仿宋"/>
      <w:sz w:val="24"/>
    </w:rPr>
  </w:style>
  <w:style w:type="paragraph" w:styleId="3">
    <w:name w:val="Balloon Text"/>
    <w:basedOn w:val="1"/>
    <w:link w:val="12"/>
    <w:qFormat/>
    <w:uiPriority w:val="0"/>
    <w:rPr>
      <w:sz w:val="18"/>
      <w:szCs w:val="18"/>
    </w:rPr>
  </w:style>
  <w:style w:type="paragraph" w:styleId="4">
    <w:name w:val="footer"/>
    <w:basedOn w:val="1"/>
    <w:next w:val="1"/>
    <w:qFormat/>
    <w:uiPriority w:val="99"/>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Body Text Indent 3"/>
    <w:basedOn w:val="1"/>
    <w:qFormat/>
    <w:uiPriority w:val="0"/>
    <w:pPr>
      <w:ind w:firstLine="480"/>
    </w:pPr>
    <w:rPr>
      <w:rFonts w:ascii="Tahoma" w:hAnsi="Tahoma" w:eastAsia="仿宋_GB2312"/>
      <w:sz w:val="24"/>
      <w:szCs w:val="20"/>
    </w:rPr>
  </w:style>
  <w:style w:type="paragraph" w:styleId="7">
    <w:name w:val="Normal (Web)"/>
    <w:basedOn w:val="1"/>
    <w:qFormat/>
    <w:uiPriority w:val="0"/>
    <w:pPr>
      <w:spacing w:before="100" w:beforeAutospacing="1" w:after="100" w:afterAutospacing="1"/>
      <w:jc w:val="left"/>
    </w:pPr>
    <w:rPr>
      <w:kern w:val="0"/>
      <w:sz w:val="24"/>
    </w:rPr>
  </w:style>
  <w:style w:type="paragraph" w:styleId="8">
    <w:name w:val="Body Text First Indent"/>
    <w:basedOn w:val="2"/>
    <w:qFormat/>
    <w:uiPriority w:val="99"/>
    <w:pPr>
      <w:ind w:firstLine="420" w:firstLineChars="100"/>
    </w:p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2">
    <w:name w:val="批注框文本 字符"/>
    <w:basedOn w:val="11"/>
    <w:link w:val="3"/>
    <w:qFormat/>
    <w:uiPriority w:val="0"/>
    <w:rPr>
      <w:rFonts w:ascii="Calibri" w:hAnsi="Calibri" w:eastAsia="宋体" w:cs="Times New Roman"/>
      <w:kern w:val="2"/>
      <w:sz w:val="18"/>
      <w:szCs w:val="18"/>
    </w:rPr>
  </w:style>
  <w:style w:type="paragraph" w:customStyle="1" w:styleId="13">
    <w:name w:val="列出段落1"/>
    <w:basedOn w:val="1"/>
    <w:qFormat/>
    <w:uiPriority w:val="34"/>
    <w:pPr>
      <w:widowControl w:val="0"/>
      <w:ind w:firstLine="420" w:firstLineChars="200"/>
    </w:pPr>
    <w:rPr>
      <w:rFonts w:ascii="Times New Roman" w:hAnsi="Times New Roman"/>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image" Target="media/image20.jpeg"/><Relationship Id="rId23" Type="http://schemas.openxmlformats.org/officeDocument/2006/relationships/image" Target="media/image19.jpeg"/><Relationship Id="rId22" Type="http://schemas.openxmlformats.org/officeDocument/2006/relationships/image" Target="media/image18.jpeg"/><Relationship Id="rId21" Type="http://schemas.openxmlformats.org/officeDocument/2006/relationships/image" Target="media/image17.jpeg"/><Relationship Id="rId20" Type="http://schemas.openxmlformats.org/officeDocument/2006/relationships/image" Target="media/image16.jpeg"/><Relationship Id="rId2" Type="http://schemas.openxmlformats.org/officeDocument/2006/relationships/settings" Target="settings.xml"/><Relationship Id="rId19" Type="http://schemas.openxmlformats.org/officeDocument/2006/relationships/image" Target="media/image15.jpeg"/><Relationship Id="rId18" Type="http://schemas.openxmlformats.org/officeDocument/2006/relationships/image" Target="media/image14.jpeg"/><Relationship Id="rId17" Type="http://schemas.openxmlformats.org/officeDocument/2006/relationships/image" Target="media/image13.jpeg"/><Relationship Id="rId16" Type="http://schemas.openxmlformats.org/officeDocument/2006/relationships/image" Target="media/image12.jpeg"/><Relationship Id="rId15" Type="http://schemas.openxmlformats.org/officeDocument/2006/relationships/image" Target="media/image11.jpeg"/><Relationship Id="rId14" Type="http://schemas.openxmlformats.org/officeDocument/2006/relationships/image" Target="media/image10.jpeg"/><Relationship Id="rId13" Type="http://schemas.openxmlformats.org/officeDocument/2006/relationships/image" Target="media/image9.jpeg"/><Relationship Id="rId12" Type="http://schemas.openxmlformats.org/officeDocument/2006/relationships/image" Target="media/image8.jpeg"/><Relationship Id="rId11" Type="http://schemas.openxmlformats.org/officeDocument/2006/relationships/image" Target="media/image7.jpeg"/><Relationship Id="rId10" Type="http://schemas.openxmlformats.org/officeDocument/2006/relationships/image" Target="media/image6.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34</Pages>
  <Words>7692</Words>
  <Characters>8105</Characters>
  <Lines>9</Lines>
  <Paragraphs>22</Paragraphs>
  <TotalTime>9</TotalTime>
  <ScaleCrop>false</ScaleCrop>
  <LinksUpToDate>false</LinksUpToDate>
  <CharactersWithSpaces>8153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2025-03-11T08:28:00Z</dcterms:created>
  <dc:creator>Lenovo</dc:creator>
  <cp:lastModifiedBy>momo</cp:lastModifiedBy>
  <dcterms:modified xsi:type="dcterms:W3CDTF">2025-04-09T02:09:50Z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eyJoZGlkIjoiYmYyZDRmNmQ5NmVlNGJiZWNjNTdlZDk4MDhjNDBiNzAiLCJ1c2VySWQiOiIzNzczMTQ3NTQifQ==</vt:lpwstr>
  </property>
  <property fmtid="{D5CDD505-2E9C-101B-9397-08002B2CF9AE}" pid="4" name="ICV">
    <vt:lpwstr>61A7275FB0C44CDBB821933E4BEE0DEE_12</vt:lpwstr>
  </property>
</Properties>
</file>