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napToGrid/>
        <w:spacing w:line="600" w:lineRule="exact"/>
        <w:ind w:left="-404" w:leftChars="-200" w:hanging="16" w:hangingChars="5"/>
        <w:textAlignment w:val="auto"/>
        <w:rPr>
          <w:rFonts w:hint="default" w:ascii="黑体" w:hAnsi="黑体" w:eastAsia="黑体" w:cs="黑体"/>
          <w:color w:val="000000"/>
          <w:kern w:val="0"/>
          <w:sz w:val="32"/>
          <w:szCs w:val="32"/>
          <w:highlight w:val="none"/>
          <w:lang w:val="en-US" w:eastAsia="zh-CN"/>
        </w:rPr>
      </w:pPr>
      <w:r>
        <w:rPr>
          <w:rFonts w:hint="eastAsia" w:ascii="黑体" w:hAnsi="黑体" w:eastAsia="黑体" w:cs="黑体"/>
          <w:color w:val="000000"/>
          <w:kern w:val="0"/>
          <w:sz w:val="32"/>
          <w:szCs w:val="32"/>
          <w:highlight w:val="none"/>
          <w:lang w:val="en-US" w:eastAsia="zh-CN"/>
        </w:rPr>
        <w:t>附件2</w:t>
      </w:r>
    </w:p>
    <w:p>
      <w:pPr>
        <w:pageBreakBefore w:val="0"/>
        <w:kinsoku/>
        <w:wordWrap/>
        <w:overflowPunct/>
        <w:topLinePunct w:val="0"/>
        <w:autoSpaceDE/>
        <w:autoSpaceDN/>
        <w:bidi w:val="0"/>
        <w:adjustRightInd/>
        <w:snapToGrid/>
        <w:spacing w:line="600" w:lineRule="exact"/>
        <w:jc w:val="center"/>
        <w:textAlignment w:val="auto"/>
        <w:rPr>
          <w:rFonts w:hint="default"/>
          <w:lang w:val="en-US" w:eastAsia="zh-CN"/>
        </w:rPr>
      </w:pPr>
      <w:r>
        <w:rPr>
          <w:rFonts w:hint="eastAsia" w:ascii="方正小标宋_GBK" w:hAnsi="方正小标宋_GBK" w:eastAsia="方正小标宋_GBK" w:cs="方正小标宋_GBK"/>
          <w:b w:val="0"/>
          <w:bCs w:val="0"/>
          <w:kern w:val="0"/>
          <w:sz w:val="44"/>
          <w:szCs w:val="44"/>
          <w:lang w:val="en-US" w:eastAsia="zh-CN"/>
        </w:rPr>
        <w:t>比选评审标准</w:t>
      </w:r>
    </w:p>
    <w:tbl>
      <w:tblPr>
        <w:tblStyle w:val="4"/>
        <w:tblW w:w="9671" w:type="dxa"/>
        <w:tblInd w:w="-5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1380"/>
        <w:gridCol w:w="6345"/>
        <w:gridCol w:w="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5" w:hRule="atLeast"/>
          <w:tblHeader/>
        </w:trPr>
        <w:tc>
          <w:tcPr>
            <w:tcW w:w="986"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color w:val="0C0C0C"/>
                <w:kern w:val="0"/>
                <w:sz w:val="24"/>
                <w:szCs w:val="24"/>
              </w:rPr>
            </w:pPr>
            <w:bookmarkStart w:id="0" w:name="_Toc6632"/>
            <w:bookmarkStart w:id="1" w:name="_Toc27024"/>
            <w:bookmarkStart w:id="2" w:name="OLE_LINK1"/>
            <w:bookmarkStart w:id="3" w:name="_Toc3677"/>
            <w:bookmarkStart w:id="4" w:name="_Toc10158"/>
            <w:r>
              <w:rPr>
                <w:rFonts w:hint="eastAsia" w:ascii="仿宋" w:hAnsi="仿宋" w:eastAsia="仿宋" w:cs="仿宋"/>
                <w:b/>
                <w:bCs/>
                <w:color w:val="0C0C0C"/>
                <w:kern w:val="0"/>
                <w:sz w:val="24"/>
                <w:szCs w:val="24"/>
              </w:rPr>
              <w:t>序号</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color w:val="0C0C0C"/>
                <w:kern w:val="0"/>
                <w:sz w:val="24"/>
                <w:szCs w:val="24"/>
              </w:rPr>
            </w:pPr>
            <w:r>
              <w:rPr>
                <w:rFonts w:hint="eastAsia" w:ascii="仿宋" w:hAnsi="仿宋" w:eastAsia="仿宋" w:cs="仿宋"/>
                <w:b/>
                <w:bCs/>
                <w:color w:val="0C0C0C"/>
                <w:kern w:val="0"/>
                <w:sz w:val="24"/>
                <w:szCs w:val="24"/>
              </w:rPr>
              <w:t>评审</w:t>
            </w:r>
          </w:p>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color w:val="0C0C0C"/>
                <w:kern w:val="0"/>
                <w:sz w:val="24"/>
                <w:szCs w:val="24"/>
              </w:rPr>
            </w:pPr>
            <w:r>
              <w:rPr>
                <w:rFonts w:hint="eastAsia" w:ascii="仿宋" w:hAnsi="仿宋" w:eastAsia="仿宋" w:cs="仿宋"/>
                <w:b/>
                <w:bCs/>
                <w:color w:val="0C0C0C"/>
                <w:kern w:val="0"/>
                <w:sz w:val="24"/>
                <w:szCs w:val="24"/>
              </w:rPr>
              <w:t>项目</w:t>
            </w:r>
          </w:p>
        </w:tc>
        <w:tc>
          <w:tcPr>
            <w:tcW w:w="6345"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color w:val="0C0C0C"/>
                <w:kern w:val="0"/>
                <w:sz w:val="24"/>
                <w:szCs w:val="24"/>
              </w:rPr>
            </w:pPr>
            <w:r>
              <w:rPr>
                <w:rFonts w:hint="eastAsia" w:ascii="仿宋" w:hAnsi="仿宋" w:eastAsia="仿宋" w:cs="仿宋"/>
                <w:b/>
                <w:bCs/>
                <w:color w:val="0C0C0C"/>
                <w:kern w:val="0"/>
                <w:sz w:val="24"/>
                <w:szCs w:val="24"/>
              </w:rPr>
              <w:t>评标方法描述</w:t>
            </w:r>
          </w:p>
        </w:tc>
        <w:tc>
          <w:tcPr>
            <w:tcW w:w="960"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color w:val="0C0C0C"/>
                <w:kern w:val="0"/>
                <w:sz w:val="24"/>
                <w:szCs w:val="24"/>
              </w:rPr>
            </w:pPr>
            <w:r>
              <w:rPr>
                <w:rFonts w:hint="eastAsia" w:ascii="仿宋" w:hAnsi="仿宋" w:eastAsia="仿宋" w:cs="仿宋"/>
                <w:b/>
                <w:bCs/>
                <w:color w:val="0C0C0C"/>
                <w:kern w:val="0"/>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986"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0C0C0C"/>
                <w:kern w:val="0"/>
                <w:sz w:val="24"/>
                <w:szCs w:val="24"/>
              </w:rPr>
            </w:pPr>
            <w:r>
              <w:rPr>
                <w:rFonts w:hint="eastAsia" w:ascii="仿宋" w:hAnsi="仿宋" w:eastAsia="仿宋" w:cs="仿宋"/>
                <w:color w:val="0C0C0C"/>
                <w:kern w:val="0"/>
                <w:sz w:val="24"/>
                <w:szCs w:val="24"/>
              </w:rPr>
              <w:t>1</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0C0C0C"/>
                <w:sz w:val="24"/>
                <w:szCs w:val="24"/>
                <w:lang w:val="en-US" w:eastAsia="zh-CN"/>
              </w:rPr>
            </w:pPr>
            <w:r>
              <w:rPr>
                <w:rFonts w:hint="eastAsia" w:ascii="宋体" w:hAnsi="宋体" w:cs="宋体"/>
                <w:b w:val="0"/>
                <w:bCs w:val="0"/>
                <w:kern w:val="0"/>
                <w:szCs w:val="21"/>
              </w:rPr>
              <w:t>价格分（10分）</w:t>
            </w:r>
          </w:p>
        </w:tc>
        <w:tc>
          <w:tcPr>
            <w:tcW w:w="6345" w:type="dxa"/>
            <w:noWrap w:val="0"/>
            <w:vAlign w:val="top"/>
          </w:tcPr>
          <w:p>
            <w:pPr>
              <w:pStyle w:val="2"/>
              <w:spacing w:line="360" w:lineRule="auto"/>
              <w:rPr>
                <w:rFonts w:hint="eastAsia" w:hAnsi="宋体" w:cs="宋体"/>
                <w:bCs/>
                <w:kern w:val="2"/>
                <w:sz w:val="21"/>
                <w:lang w:eastAsia="zh-CN"/>
              </w:rPr>
            </w:pPr>
            <w:r>
              <w:rPr>
                <w:rFonts w:hint="eastAsia" w:hAnsi="宋体" w:cs="宋体"/>
                <w:bCs/>
                <w:kern w:val="2"/>
                <w:sz w:val="21"/>
                <w:lang w:eastAsia="zh-CN"/>
              </w:rPr>
              <w:t>1.最终成交供应商的成交金额等于</w:t>
            </w:r>
            <w:r>
              <w:rPr>
                <w:rFonts w:hint="eastAsia" w:hAnsi="宋体" w:cs="宋体"/>
                <w:bCs/>
                <w:kern w:val="2"/>
                <w:sz w:val="21"/>
                <w:lang w:val="en-US" w:eastAsia="zh-CN"/>
              </w:rPr>
              <w:t>其</w:t>
            </w:r>
            <w:r>
              <w:rPr>
                <w:rFonts w:hint="eastAsia" w:hAnsi="宋体" w:cs="宋体"/>
                <w:bCs/>
                <w:kern w:val="2"/>
                <w:sz w:val="21"/>
                <w:lang w:eastAsia="zh-CN"/>
              </w:rPr>
              <w:t>最后报价（如有修正，以确认修正后的最后报价为准）。</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2.政策性扣除计算方法</w:t>
            </w:r>
          </w:p>
          <w:p>
            <w:pPr>
              <w:pStyle w:val="2"/>
              <w:spacing w:line="360" w:lineRule="auto"/>
              <w:rPr>
                <w:rFonts w:hint="eastAsia" w:hAnsi="宋体" w:cs="宋体"/>
                <w:bCs/>
                <w:kern w:val="2"/>
                <w:sz w:val="21"/>
                <w:lang w:eastAsia="zh-CN"/>
              </w:rPr>
            </w:pPr>
            <w:r>
              <w:rPr>
                <w:rFonts w:hint="eastAsia" w:hAnsi="宋体" w:cs="宋体"/>
                <w:bCs/>
                <w:kern w:val="2"/>
                <w:sz w:val="21"/>
                <w:lang w:eastAsia="zh-CN"/>
              </w:rPr>
              <w:t>（1）</w:t>
            </w:r>
            <w:r>
              <w:rPr>
                <w:rFonts w:hint="eastAsia" w:hAnsi="宋体" w:cs="宋体"/>
                <w:b/>
                <w:bCs w:val="0"/>
                <w:kern w:val="2"/>
                <w:sz w:val="21"/>
                <w:lang w:eastAsia="zh-CN"/>
              </w:rPr>
              <w:t>本项目为专门面向中小企业采购的项目，不再执行价格评审优惠的扶持政策</w:t>
            </w:r>
            <w:r>
              <w:rPr>
                <w:rFonts w:hint="eastAsia" w:hAnsi="宋体" w:cs="宋体"/>
                <w:bCs/>
                <w:kern w:val="2"/>
                <w:sz w:val="21"/>
                <w:lang w:eastAsia="zh-CN"/>
              </w:rPr>
              <w:t>。</w:t>
            </w:r>
            <w:r>
              <w:rPr>
                <w:rFonts w:hint="eastAsia" w:hAnsi="宋体" w:cs="宋体"/>
                <w:bCs/>
                <w:kern w:val="2"/>
                <w:sz w:val="21"/>
                <w:lang w:val="en-US" w:eastAsia="zh-CN"/>
              </w:rPr>
              <w:t>评审</w:t>
            </w:r>
            <w:r>
              <w:rPr>
                <w:rFonts w:hint="eastAsia" w:hAnsi="宋体" w:cs="宋体"/>
                <w:bCs/>
                <w:kern w:val="2"/>
                <w:sz w:val="21"/>
                <w:lang w:eastAsia="zh-CN"/>
              </w:rPr>
              <w:t>报价=最后报价。</w:t>
            </w:r>
            <w:r>
              <w:rPr>
                <w:rFonts w:hint="eastAsia" w:hAnsi="宋体" w:cs="宋体"/>
                <w:bCs/>
                <w:kern w:val="2"/>
                <w:sz w:val="21"/>
                <w:lang w:val="en-US" w:eastAsia="zh-CN"/>
              </w:rPr>
              <w:t>供应商须符合《政府采购促进中小企业发展管理办法》(财库(2020) 46号)规定条件的中小微企业。</w:t>
            </w:r>
          </w:p>
          <w:p>
            <w:pPr>
              <w:pStyle w:val="2"/>
              <w:spacing w:line="360" w:lineRule="auto"/>
              <w:rPr>
                <w:rFonts w:hint="eastAsia" w:hAnsi="宋体" w:cs="宋体"/>
                <w:bCs/>
                <w:kern w:val="2"/>
                <w:sz w:val="21"/>
                <w:lang w:eastAsia="zh-CN"/>
              </w:rPr>
            </w:pPr>
            <w:r>
              <w:rPr>
                <w:rFonts w:hint="eastAsia" w:hAnsi="宋体" w:cs="宋体"/>
                <w:bCs/>
                <w:kern w:val="2"/>
                <w:sz w:val="21"/>
                <w:lang w:eastAsia="zh-CN"/>
              </w:rPr>
              <w:t>（2）按照《关于政府采购支持监狱企业发展有关问题的通知》（财库〔2014〕68号）认定为监狱企业的，在</w:t>
            </w:r>
            <w:r>
              <w:rPr>
                <w:rFonts w:hint="eastAsia" w:hAnsi="宋体" w:cs="宋体"/>
                <w:bCs/>
                <w:kern w:val="2"/>
                <w:sz w:val="21"/>
                <w:lang w:val="en-US" w:eastAsia="zh-CN"/>
              </w:rPr>
              <w:t>本次</w:t>
            </w:r>
            <w:r>
              <w:rPr>
                <w:rFonts w:hint="eastAsia" w:hAnsi="宋体" w:cs="宋体"/>
                <w:bCs/>
                <w:kern w:val="2"/>
                <w:sz w:val="21"/>
                <w:lang w:eastAsia="zh-CN"/>
              </w:rPr>
              <w:t>采购活动中，监狱企业视同小型、微型企业。监狱企业参加</w:t>
            </w:r>
            <w:r>
              <w:rPr>
                <w:rFonts w:hint="eastAsia" w:hAnsi="宋体" w:cs="宋体"/>
                <w:bCs/>
                <w:kern w:val="2"/>
                <w:sz w:val="21"/>
                <w:lang w:val="en-US" w:eastAsia="zh-CN"/>
              </w:rPr>
              <w:t>本次</w:t>
            </w:r>
            <w:r>
              <w:rPr>
                <w:rFonts w:hint="eastAsia" w:hAnsi="宋体" w:cs="宋体"/>
                <w:bCs/>
                <w:kern w:val="2"/>
                <w:sz w:val="21"/>
                <w:lang w:eastAsia="zh-CN"/>
              </w:rPr>
              <w:t>采购活动时，应当提供由省级以上监狱管理局、戒毒管理局（含新疆生产建设兵团）出具的属于监狱企业的证明文件。</w:t>
            </w:r>
          </w:p>
          <w:p>
            <w:pPr>
              <w:pStyle w:val="2"/>
              <w:spacing w:line="360" w:lineRule="auto"/>
              <w:rPr>
                <w:rFonts w:hint="eastAsia" w:hAnsi="宋体" w:cs="宋体"/>
                <w:bCs/>
                <w:kern w:val="2"/>
                <w:sz w:val="21"/>
                <w:lang w:eastAsia="zh-CN"/>
              </w:rPr>
            </w:pPr>
            <w:r>
              <w:rPr>
                <w:rFonts w:hint="eastAsia" w:hAnsi="宋体" w:cs="宋体"/>
                <w:bCs/>
                <w:kern w:val="2"/>
                <w:sz w:val="21"/>
                <w:lang w:eastAsia="zh-CN"/>
              </w:rPr>
              <w:t>（3）符合《关于促进残疾人就业政府采购政策的通知》(财库〔2017〕141号)规定条件，认定为残疾人福利性单位的，在</w:t>
            </w:r>
            <w:r>
              <w:rPr>
                <w:rFonts w:hint="eastAsia" w:hAnsi="宋体" w:cs="宋体"/>
                <w:bCs/>
                <w:kern w:val="2"/>
                <w:sz w:val="21"/>
                <w:lang w:val="en-US" w:eastAsia="zh-CN"/>
              </w:rPr>
              <w:t>本次</w:t>
            </w:r>
            <w:r>
              <w:rPr>
                <w:rFonts w:hint="eastAsia" w:hAnsi="宋体" w:cs="宋体"/>
                <w:bCs/>
                <w:kern w:val="2"/>
                <w:sz w:val="21"/>
                <w:lang w:eastAsia="zh-CN"/>
              </w:rPr>
              <w:t>采购活动中，残疾人福利性单位视同小型、微型企业。残疾人福利性单位参加</w:t>
            </w:r>
            <w:r>
              <w:rPr>
                <w:rFonts w:hint="eastAsia" w:hAnsi="宋体" w:cs="宋体"/>
                <w:bCs/>
                <w:kern w:val="2"/>
                <w:sz w:val="21"/>
                <w:lang w:val="en-US" w:eastAsia="zh-CN"/>
              </w:rPr>
              <w:t>本次</w:t>
            </w:r>
            <w:r>
              <w:rPr>
                <w:rFonts w:hint="eastAsia" w:hAnsi="宋体" w:cs="宋体"/>
                <w:bCs/>
                <w:kern w:val="2"/>
                <w:sz w:val="21"/>
                <w:lang w:eastAsia="zh-CN"/>
              </w:rPr>
              <w:t>采购活动时，应当提供该通知规定的《残疾人福利性单位声明函》，并对声明的真实性负责。</w:t>
            </w:r>
            <w:r>
              <w:rPr>
                <w:rFonts w:hint="eastAsia" w:hAnsi="宋体" w:cs="宋体"/>
                <w:bCs/>
                <w:kern w:val="2"/>
                <w:sz w:val="21"/>
                <w:lang w:val="en-US" w:eastAsia="zh-CN"/>
              </w:rPr>
              <w:t>成交</w:t>
            </w:r>
            <w:r>
              <w:rPr>
                <w:rFonts w:hint="eastAsia" w:hAnsi="宋体" w:cs="宋体"/>
                <w:bCs/>
                <w:kern w:val="2"/>
                <w:sz w:val="21"/>
                <w:lang w:eastAsia="zh-CN"/>
              </w:rPr>
              <w:t>人为残疾人福利性单位的，随</w:t>
            </w:r>
            <w:r>
              <w:rPr>
                <w:rFonts w:hint="eastAsia" w:hAnsi="宋体" w:cs="宋体"/>
                <w:bCs/>
                <w:kern w:val="2"/>
                <w:sz w:val="21"/>
                <w:lang w:val="en-US" w:eastAsia="zh-CN"/>
              </w:rPr>
              <w:t>成交</w:t>
            </w:r>
            <w:r>
              <w:rPr>
                <w:rFonts w:hint="eastAsia" w:hAnsi="宋体" w:cs="宋体"/>
                <w:bCs/>
                <w:kern w:val="2"/>
                <w:sz w:val="21"/>
                <w:lang w:eastAsia="zh-CN"/>
              </w:rPr>
              <w:t>结果公告其《残疾人福利性单位声明函》，接受社会监督。</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3.报价分采用低价优先法计算，满足磋商文件要求且评审报价最低的有效供应商的评标价为评标基准价，其价格分为满分10分。</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4.价格分计算公式：</w:t>
            </w:r>
          </w:p>
          <w:p>
            <w:pPr>
              <w:pStyle w:val="2"/>
              <w:spacing w:line="360" w:lineRule="auto"/>
              <w:ind w:firstLine="420" w:firstLineChars="200"/>
              <w:rPr>
                <w:rFonts w:hint="eastAsia" w:ascii="仿宋" w:hAnsi="仿宋" w:eastAsia="仿宋" w:cs="仿宋"/>
                <w:bCs/>
                <w:color w:val="0C0C0C"/>
                <w:sz w:val="24"/>
                <w:szCs w:val="24"/>
              </w:rPr>
            </w:pPr>
            <w:r>
              <w:rPr>
                <w:rFonts w:hint="eastAsia" w:hAnsi="宋体" w:cs="宋体"/>
                <w:bCs/>
                <w:kern w:val="2"/>
                <w:sz w:val="21"/>
                <w:lang w:val="en-US" w:eastAsia="zh-CN"/>
              </w:rPr>
              <w:t>价格得分=（评标基准价/某供应商最后报价）×10</w:t>
            </w:r>
            <w:r>
              <w:rPr>
                <w:rFonts w:hint="eastAsia" w:hAnsi="宋体" w:cs="宋体"/>
                <w:bCs/>
                <w:kern w:val="2"/>
                <w:sz w:val="21"/>
              </w:rPr>
              <w:t>分。</w:t>
            </w:r>
          </w:p>
        </w:tc>
        <w:tc>
          <w:tcPr>
            <w:tcW w:w="960"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0C0C0C"/>
                <w:kern w:val="0"/>
                <w:sz w:val="24"/>
                <w:szCs w:val="24"/>
              </w:rPr>
            </w:pPr>
            <w:r>
              <w:rPr>
                <w:rFonts w:hint="eastAsia" w:ascii="仿宋" w:hAnsi="仿宋" w:eastAsia="仿宋" w:cs="仿宋"/>
                <w:b w:val="0"/>
                <w:bCs w:val="0"/>
                <w:color w:val="0C0C0C"/>
                <w:kern w:val="0"/>
                <w:sz w:val="24"/>
                <w:szCs w:val="24"/>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986"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仿宋" w:hAnsi="仿宋" w:eastAsia="仿宋" w:cs="仿宋"/>
                <w:color w:val="0C0C0C"/>
                <w:kern w:val="0"/>
                <w:sz w:val="24"/>
                <w:szCs w:val="24"/>
                <w:lang w:val="en-US" w:eastAsia="zh-CN"/>
              </w:rPr>
            </w:pPr>
            <w:r>
              <w:rPr>
                <w:rFonts w:hint="eastAsia" w:ascii="仿宋" w:hAnsi="仿宋" w:eastAsia="仿宋" w:cs="仿宋"/>
                <w:color w:val="0C0C0C"/>
                <w:kern w:val="0"/>
                <w:sz w:val="24"/>
                <w:szCs w:val="24"/>
                <w:lang w:val="en-US" w:eastAsia="zh-CN"/>
              </w:rPr>
              <w:t>2</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cs="宋体"/>
                <w:b w:val="0"/>
                <w:bCs w:val="0"/>
                <w:kern w:val="0"/>
                <w:szCs w:val="21"/>
                <w:lang w:val="en-US" w:eastAsia="zh-CN"/>
              </w:rPr>
            </w:pPr>
            <w:r>
              <w:rPr>
                <w:rFonts w:hint="eastAsia" w:ascii="宋体" w:hAnsi="宋体" w:cs="宋体"/>
                <w:b w:val="0"/>
                <w:bCs w:val="0"/>
                <w:kern w:val="0"/>
                <w:szCs w:val="21"/>
                <w:lang w:val="en-US" w:eastAsia="zh-CN"/>
              </w:rPr>
              <w:t>项目需求分析</w:t>
            </w:r>
            <w:r>
              <w:rPr>
                <w:rFonts w:hint="eastAsia" w:ascii="宋体" w:hAnsi="宋体" w:cs="宋体"/>
                <w:b w:val="0"/>
                <w:bCs w:val="0"/>
                <w:kern w:val="0"/>
                <w:szCs w:val="21"/>
                <w:lang w:eastAsia="zh-CN"/>
              </w:rPr>
              <w:t>（</w:t>
            </w:r>
            <w:r>
              <w:rPr>
                <w:rFonts w:hint="eastAsia" w:ascii="宋体" w:hAnsi="宋体" w:cs="宋体"/>
                <w:b w:val="0"/>
                <w:bCs w:val="0"/>
                <w:kern w:val="0"/>
                <w:szCs w:val="21"/>
                <w:lang w:val="en-US" w:eastAsia="zh-CN"/>
              </w:rPr>
              <w:t>18</w:t>
            </w:r>
            <w:r>
              <w:rPr>
                <w:rFonts w:hint="eastAsia" w:ascii="宋体" w:hAnsi="宋体" w:cs="宋体"/>
                <w:b w:val="0"/>
                <w:bCs w:val="0"/>
                <w:kern w:val="0"/>
                <w:szCs w:val="21"/>
                <w:lang w:eastAsia="zh-CN"/>
              </w:rPr>
              <w:t>分）</w:t>
            </w:r>
          </w:p>
        </w:tc>
        <w:tc>
          <w:tcPr>
            <w:tcW w:w="6345" w:type="dxa"/>
            <w:noWrap w:val="0"/>
            <w:vAlign w:val="top"/>
          </w:tcPr>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 xml:space="preserve">根据供应商提供的项目需求分析进行评审，包括但不限于：①项目背景分析；②整体思路及主要目标；③主要工作内容④工作进度安排。 </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不入档（0分）：未提供项目需求分析。</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 xml:space="preserve">一档（6分）：均提供了上述要点，但不切合项目实际，内容冗杂。 </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 xml:space="preserve">二档（12分）：均提供了上述要点，理解无偏差，符合实际，基本了解预算绩效管理、绩效自评及绩效现状，要点内容满足本项目实施需求。 </w:t>
            </w:r>
          </w:p>
          <w:p>
            <w:pPr>
              <w:pStyle w:val="2"/>
              <w:spacing w:line="360" w:lineRule="auto"/>
              <w:rPr>
                <w:rFonts w:hint="eastAsia" w:hAnsi="宋体" w:cs="宋体"/>
                <w:bCs/>
                <w:kern w:val="2"/>
                <w:sz w:val="21"/>
                <w:lang w:eastAsia="zh-CN"/>
              </w:rPr>
            </w:pPr>
            <w:r>
              <w:rPr>
                <w:rFonts w:hint="eastAsia" w:hAnsi="宋体" w:cs="宋体"/>
                <w:bCs/>
                <w:kern w:val="2"/>
                <w:sz w:val="21"/>
                <w:lang w:val="en-US" w:eastAsia="zh-CN"/>
              </w:rPr>
              <w:t>三档（18分）：在满足二档的基础上，上述要点针对本项目，切合实际，内容明晰、简练，对预算绩效管理、绩效自评及绩效现状有深入的了解，提供相关基础数据资料并结合相关政策分析项目需求；方案完全满足或优于本项目实施需求</w:t>
            </w:r>
            <w:r>
              <w:rPr>
                <w:rFonts w:hint="eastAsia" w:hAnsi="宋体" w:cs="宋体"/>
                <w:bCs/>
                <w:kern w:val="2"/>
                <w:sz w:val="21"/>
                <w:lang w:eastAsia="zh-CN"/>
              </w:rPr>
              <w:t>。</w:t>
            </w:r>
          </w:p>
        </w:tc>
        <w:tc>
          <w:tcPr>
            <w:tcW w:w="960"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color w:val="0C0C0C"/>
                <w:kern w:val="0"/>
                <w:sz w:val="24"/>
                <w:szCs w:val="24"/>
                <w:lang w:val="en-US" w:eastAsia="zh-CN"/>
              </w:rPr>
            </w:pPr>
            <w:r>
              <w:rPr>
                <w:rFonts w:hint="eastAsia" w:ascii="仿宋" w:hAnsi="仿宋" w:eastAsia="仿宋" w:cs="仿宋"/>
                <w:color w:val="0C0C0C"/>
                <w:kern w:val="0"/>
                <w:sz w:val="24"/>
                <w:szCs w:val="24"/>
                <w:lang w:val="en-US" w:eastAsia="zh-CN"/>
              </w:rPr>
              <w:t>18分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986" w:type="dxa"/>
            <w:noWrap w:val="0"/>
            <w:vAlign w:val="center"/>
          </w:tcPr>
          <w:p>
            <w:pPr>
              <w:pStyle w:val="2"/>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仿宋" w:hAnsi="仿宋" w:eastAsia="仿宋" w:cs="仿宋"/>
                <w:color w:val="0C0C0C"/>
                <w:kern w:val="0"/>
                <w:sz w:val="24"/>
                <w:szCs w:val="24"/>
                <w:lang w:val="en-US" w:eastAsia="zh-CN" w:bidi="ar-SA"/>
              </w:rPr>
            </w:pPr>
            <w:r>
              <w:rPr>
                <w:rFonts w:hint="eastAsia" w:ascii="仿宋" w:hAnsi="仿宋" w:eastAsia="仿宋" w:cs="仿宋"/>
                <w:color w:val="0C0C0C"/>
                <w:kern w:val="0"/>
                <w:sz w:val="24"/>
                <w:szCs w:val="24"/>
                <w:lang w:val="en-US" w:eastAsia="zh-CN" w:bidi="ar-SA"/>
              </w:rPr>
              <w:t>3</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cs="宋体"/>
                <w:b w:val="0"/>
                <w:bCs w:val="0"/>
                <w:kern w:val="0"/>
                <w:szCs w:val="21"/>
                <w:lang w:val="en-US" w:eastAsia="zh-CN"/>
              </w:rPr>
            </w:pPr>
            <w:r>
              <w:rPr>
                <w:rFonts w:hint="eastAsia" w:ascii="宋体" w:hAnsi="宋体" w:cs="宋体"/>
                <w:b w:val="0"/>
                <w:bCs w:val="0"/>
                <w:kern w:val="0"/>
                <w:szCs w:val="21"/>
                <w:lang w:val="en-US" w:eastAsia="zh-CN"/>
              </w:rPr>
              <w:t>服务方案分（24分）</w:t>
            </w:r>
          </w:p>
        </w:tc>
        <w:tc>
          <w:tcPr>
            <w:tcW w:w="6345" w:type="dxa"/>
            <w:noWrap w:val="0"/>
            <w:vAlign w:val="top"/>
          </w:tcPr>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 xml:space="preserve">根据供应商提供服务方案进行评审，服务方案包括但不限于：①人员安排及分工；②责任划定清晰；③进度安排；④服务质量保障措施；⑤技术支持或其他有利于采购人的增值服务承诺。 </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不入档（0分）：未提供项目服务方案。</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 xml:space="preserve">一档（8分）：均提供了上述要点，但上述要点不切合项目实际，内容冗杂、多余。 </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 xml:space="preserve">二档（16分）：均提供了上述要点，理解无偏差，符合实际，针对本项目的工作流程措施明晰、可行；工作节点控制比较合理，要点内容满足本项目实施需求。 </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三档（24分）：在满足二档的基础上，上述要点针对本项目，切合实际，内容明晰、简练，针对本项目的工作流程措施明晰、明确、可行性强，能保障项目的实施进度；工作节点控制科学、合理；方案完全满足或优于本项目实施需求。</w:t>
            </w:r>
          </w:p>
        </w:tc>
        <w:tc>
          <w:tcPr>
            <w:tcW w:w="960" w:type="dxa"/>
            <w:noWrap w:val="0"/>
            <w:vAlign w:val="center"/>
          </w:tcPr>
          <w:p>
            <w:pPr>
              <w:widowControl/>
              <w:spacing w:line="360" w:lineRule="auto"/>
              <w:jc w:val="center"/>
              <w:rPr>
                <w:rFonts w:hint="eastAsia" w:ascii="仿宋" w:hAnsi="仿宋" w:eastAsia="仿宋" w:cs="仿宋"/>
                <w:color w:val="0C0C0C"/>
                <w:sz w:val="24"/>
                <w:szCs w:val="24"/>
                <w:lang w:val="en-US" w:eastAsia="zh-CN"/>
              </w:rPr>
            </w:pPr>
            <w:r>
              <w:rPr>
                <w:rFonts w:hint="eastAsia" w:ascii="宋体" w:hAnsi="宋体" w:cs="宋体"/>
                <w:b w:val="0"/>
                <w:bCs/>
                <w:kern w:val="0"/>
                <w:szCs w:val="21"/>
                <w:lang w:val="en-US" w:eastAsia="zh-CN"/>
              </w:rPr>
              <w:t>24分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986" w:type="dxa"/>
            <w:noWrap w:val="0"/>
            <w:vAlign w:val="center"/>
          </w:tcPr>
          <w:p>
            <w:pPr>
              <w:pStyle w:val="2"/>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仿宋" w:hAnsi="仿宋" w:eastAsia="仿宋" w:cs="仿宋"/>
                <w:color w:val="0C0C0C"/>
                <w:kern w:val="0"/>
                <w:sz w:val="24"/>
                <w:szCs w:val="24"/>
                <w:lang w:val="en-US" w:eastAsia="zh-CN" w:bidi="ar-SA"/>
              </w:rPr>
            </w:pPr>
            <w:r>
              <w:rPr>
                <w:rFonts w:hint="eastAsia" w:ascii="仿宋" w:hAnsi="仿宋" w:eastAsia="仿宋" w:cs="仿宋"/>
                <w:color w:val="0C0C0C"/>
                <w:kern w:val="0"/>
                <w:sz w:val="24"/>
                <w:szCs w:val="24"/>
                <w:lang w:val="en-US" w:eastAsia="zh-CN" w:bidi="ar-SA"/>
              </w:rPr>
              <w:t>4</w:t>
            </w:r>
          </w:p>
        </w:tc>
        <w:tc>
          <w:tcPr>
            <w:tcW w:w="1380" w:type="dxa"/>
            <w:noWrap w:val="0"/>
            <w:vAlign w:val="center"/>
          </w:tcPr>
          <w:p>
            <w:pPr>
              <w:widowControl/>
              <w:spacing w:line="360" w:lineRule="auto"/>
              <w:jc w:val="center"/>
              <w:rPr>
                <w:rFonts w:hint="eastAsia" w:ascii="宋体" w:hAnsi="宋体" w:cs="宋体"/>
                <w:kern w:val="0"/>
                <w:szCs w:val="21"/>
                <w:lang w:val="en-US" w:eastAsia="zh-CN"/>
              </w:rPr>
            </w:pPr>
            <w:r>
              <w:rPr>
                <w:rFonts w:hint="eastAsia" w:ascii="宋体" w:hAnsi="宋体" w:cs="宋体"/>
                <w:szCs w:val="21"/>
                <w:lang w:val="en-US" w:eastAsia="zh-CN"/>
              </w:rPr>
              <w:t>服务承诺分（6分</w:t>
            </w:r>
            <w:r>
              <w:rPr>
                <w:rFonts w:hint="eastAsia" w:ascii="宋体" w:hAnsi="宋体" w:cs="宋体"/>
                <w:szCs w:val="21"/>
                <w:lang w:eastAsia="zh-CN"/>
              </w:rPr>
              <w:t>）</w:t>
            </w:r>
          </w:p>
        </w:tc>
        <w:tc>
          <w:tcPr>
            <w:tcW w:w="6345" w:type="dxa"/>
            <w:noWrap w:val="0"/>
            <w:vAlign w:val="top"/>
          </w:tcPr>
          <w:p>
            <w:pPr>
              <w:pStyle w:val="2"/>
              <w:spacing w:line="360" w:lineRule="auto"/>
              <w:rPr>
                <w:rFonts w:hint="eastAsia" w:hAnsi="宋体" w:eastAsia="宋体" w:cs="宋体"/>
                <w:bCs/>
                <w:kern w:val="2"/>
                <w:sz w:val="21"/>
                <w:lang w:val="en-US" w:eastAsia="zh-CN"/>
              </w:rPr>
            </w:pPr>
            <w:r>
              <w:rPr>
                <w:rFonts w:hint="eastAsia" w:hAnsi="宋体" w:eastAsia="宋体" w:cs="宋体"/>
                <w:bCs/>
                <w:kern w:val="2"/>
                <w:sz w:val="21"/>
                <w:lang w:val="en-US" w:eastAsia="zh-CN"/>
              </w:rPr>
              <w:t>不入档（0分）：未提供服务承诺的不得分。</w:t>
            </w:r>
          </w:p>
          <w:p>
            <w:pPr>
              <w:pStyle w:val="2"/>
              <w:spacing w:line="360" w:lineRule="auto"/>
              <w:rPr>
                <w:rFonts w:hint="eastAsia" w:hAnsi="宋体" w:eastAsia="宋体" w:cs="宋体"/>
                <w:bCs/>
                <w:kern w:val="2"/>
                <w:sz w:val="21"/>
                <w:lang w:val="en-US" w:eastAsia="zh-CN"/>
              </w:rPr>
            </w:pPr>
            <w:r>
              <w:rPr>
                <w:rFonts w:hint="eastAsia" w:hAnsi="宋体" w:eastAsia="宋体" w:cs="宋体"/>
                <w:bCs/>
                <w:kern w:val="2"/>
                <w:sz w:val="21"/>
                <w:lang w:val="en-US" w:eastAsia="zh-CN"/>
              </w:rPr>
              <w:t>一档（</w:t>
            </w:r>
            <w:r>
              <w:rPr>
                <w:rFonts w:hint="eastAsia" w:hAnsi="宋体" w:cs="宋体"/>
                <w:bCs/>
                <w:kern w:val="2"/>
                <w:sz w:val="21"/>
                <w:lang w:val="en-US" w:eastAsia="zh-CN"/>
              </w:rPr>
              <w:t>2</w:t>
            </w:r>
            <w:r>
              <w:rPr>
                <w:rFonts w:hint="eastAsia" w:hAnsi="宋体" w:eastAsia="宋体" w:cs="宋体"/>
                <w:bCs/>
                <w:kern w:val="2"/>
                <w:sz w:val="21"/>
                <w:lang w:val="en-US" w:eastAsia="zh-CN"/>
              </w:rPr>
              <w:t>分）：供应商对完成本项目服务承诺，合理化建议及售后服务的承诺一般，不够充分合理。</w:t>
            </w:r>
          </w:p>
          <w:p>
            <w:pPr>
              <w:pStyle w:val="2"/>
              <w:spacing w:line="360" w:lineRule="auto"/>
              <w:rPr>
                <w:rFonts w:hint="eastAsia" w:hAnsi="宋体" w:eastAsia="宋体" w:cs="宋体"/>
                <w:bCs/>
                <w:kern w:val="2"/>
                <w:sz w:val="21"/>
                <w:lang w:val="en-US" w:eastAsia="zh-CN"/>
              </w:rPr>
            </w:pPr>
            <w:r>
              <w:rPr>
                <w:rFonts w:hint="eastAsia" w:hAnsi="宋体" w:eastAsia="宋体" w:cs="宋体"/>
                <w:bCs/>
                <w:kern w:val="2"/>
                <w:sz w:val="21"/>
                <w:lang w:val="en-US" w:eastAsia="zh-CN"/>
              </w:rPr>
              <w:t>二档（</w:t>
            </w:r>
            <w:r>
              <w:rPr>
                <w:rFonts w:hint="eastAsia" w:hAnsi="宋体" w:cs="宋体"/>
                <w:bCs/>
                <w:kern w:val="2"/>
                <w:sz w:val="21"/>
                <w:lang w:val="en-US" w:eastAsia="zh-CN"/>
              </w:rPr>
              <w:t>4</w:t>
            </w:r>
            <w:r>
              <w:rPr>
                <w:rFonts w:hint="eastAsia" w:hAnsi="宋体" w:eastAsia="宋体" w:cs="宋体"/>
                <w:bCs/>
                <w:kern w:val="2"/>
                <w:sz w:val="21"/>
                <w:lang w:val="en-US" w:eastAsia="zh-CN"/>
              </w:rPr>
              <w:t>分）：供应商对完成本项目服务承诺，合理化建议及售后服务的承诺基本合理、可行，但不够详细。</w:t>
            </w:r>
          </w:p>
          <w:p>
            <w:pPr>
              <w:pStyle w:val="2"/>
              <w:spacing w:line="360" w:lineRule="auto"/>
              <w:rPr>
                <w:rFonts w:hint="eastAsia" w:hAnsi="宋体" w:cs="宋体"/>
                <w:bCs/>
                <w:kern w:val="2"/>
                <w:sz w:val="21"/>
                <w:lang w:val="en-US" w:eastAsia="zh-CN"/>
              </w:rPr>
            </w:pPr>
            <w:r>
              <w:rPr>
                <w:rFonts w:hint="eastAsia" w:hAnsi="宋体" w:eastAsia="宋体" w:cs="宋体"/>
                <w:bCs/>
                <w:kern w:val="2"/>
                <w:sz w:val="21"/>
                <w:lang w:val="en-US" w:eastAsia="zh-CN"/>
              </w:rPr>
              <w:t>三档（</w:t>
            </w:r>
            <w:r>
              <w:rPr>
                <w:rFonts w:hint="eastAsia" w:hAnsi="宋体" w:cs="宋体"/>
                <w:bCs/>
                <w:kern w:val="2"/>
                <w:sz w:val="21"/>
                <w:lang w:val="en-US" w:eastAsia="zh-CN"/>
              </w:rPr>
              <w:t>6</w:t>
            </w:r>
            <w:r>
              <w:rPr>
                <w:rFonts w:hint="eastAsia" w:hAnsi="宋体" w:eastAsia="宋体" w:cs="宋体"/>
                <w:bCs/>
                <w:kern w:val="2"/>
                <w:sz w:val="21"/>
                <w:lang w:val="en-US" w:eastAsia="zh-CN"/>
              </w:rPr>
              <w:t>分）：供应商对完成本项目服务承诺，合理化建议及售后服务的承诺全面、具体、合理，切合本项目需求</w:t>
            </w:r>
            <w:r>
              <w:rPr>
                <w:rFonts w:hint="eastAsia" w:hAnsi="宋体" w:eastAsia="宋体" w:cs="宋体"/>
                <w:bCs/>
                <w:kern w:val="2"/>
                <w:sz w:val="21"/>
              </w:rPr>
              <w:t>。</w:t>
            </w:r>
          </w:p>
        </w:tc>
        <w:tc>
          <w:tcPr>
            <w:tcW w:w="960" w:type="dxa"/>
            <w:noWrap w:val="0"/>
            <w:vAlign w:val="center"/>
          </w:tcPr>
          <w:p>
            <w:pPr>
              <w:widowControl/>
              <w:spacing w:line="360" w:lineRule="auto"/>
              <w:jc w:val="center"/>
              <w:rPr>
                <w:rFonts w:hint="default" w:ascii="仿宋" w:hAnsi="仿宋" w:eastAsia="仿宋" w:cs="仿宋"/>
                <w:color w:val="0C0C0C"/>
                <w:sz w:val="24"/>
                <w:szCs w:val="24"/>
                <w:lang w:val="en-US" w:eastAsia="zh-CN"/>
              </w:rPr>
            </w:pPr>
            <w:r>
              <w:rPr>
                <w:rFonts w:hint="eastAsia" w:ascii="宋体" w:hAnsi="宋体" w:cs="宋体"/>
                <w:b w:val="0"/>
                <w:bCs/>
                <w:kern w:val="0"/>
                <w:szCs w:val="21"/>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986" w:type="dxa"/>
            <w:noWrap w:val="0"/>
            <w:vAlign w:val="center"/>
          </w:tcPr>
          <w:p>
            <w:pPr>
              <w:pStyle w:val="2"/>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cs="宋体"/>
                <w:szCs w:val="21"/>
                <w:lang w:val="en-US" w:eastAsia="zh-CN"/>
              </w:rPr>
            </w:pPr>
            <w:r>
              <w:rPr>
                <w:rFonts w:hint="eastAsia" w:ascii="仿宋" w:hAnsi="仿宋" w:eastAsia="仿宋" w:cs="仿宋"/>
                <w:color w:val="0C0C0C"/>
                <w:kern w:val="0"/>
                <w:sz w:val="24"/>
                <w:szCs w:val="24"/>
                <w:lang w:val="en-US" w:eastAsia="zh-CN" w:bidi="ar-SA"/>
              </w:rPr>
              <w:t>5</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cs="宋体"/>
                <w:kern w:val="0"/>
                <w:szCs w:val="21"/>
                <w:lang w:val="en-US" w:eastAsia="zh-CN"/>
              </w:rPr>
            </w:pPr>
            <w:r>
              <w:rPr>
                <w:rFonts w:hint="eastAsia" w:ascii="宋体" w:hAnsi="宋体" w:cs="宋体"/>
                <w:kern w:val="0"/>
                <w:szCs w:val="21"/>
                <w:lang w:val="en-US" w:eastAsia="zh-CN"/>
              </w:rPr>
              <w:t>项目团队分</w:t>
            </w:r>
          </w:p>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cs="宋体"/>
                <w:kern w:val="0"/>
                <w:szCs w:val="21"/>
                <w:lang w:val="en-US" w:eastAsia="zh-CN"/>
              </w:rPr>
            </w:pPr>
            <w:r>
              <w:rPr>
                <w:rFonts w:hint="eastAsia" w:ascii="宋体" w:hAnsi="宋体" w:cs="宋体"/>
                <w:kern w:val="0"/>
                <w:szCs w:val="21"/>
                <w:lang w:val="en-US" w:eastAsia="zh-CN"/>
              </w:rPr>
              <w:t>（24分）</w:t>
            </w:r>
          </w:p>
        </w:tc>
        <w:tc>
          <w:tcPr>
            <w:tcW w:w="6345" w:type="dxa"/>
            <w:noWrap w:val="0"/>
            <w:vAlign w:val="top"/>
          </w:tcPr>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1.项目负责人资质（12分）</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（1）拟派本项目技术负责人取得</w:t>
            </w:r>
            <w:bookmarkStart w:id="5" w:name="OLE_LINK4"/>
            <w:r>
              <w:rPr>
                <w:rFonts w:hint="eastAsia" w:hAnsi="宋体" w:cs="宋体"/>
                <w:bCs/>
                <w:kern w:val="2"/>
                <w:sz w:val="21"/>
                <w:lang w:val="en-US" w:eastAsia="zh-CN"/>
              </w:rPr>
              <w:t>注册会计师资质或会计</w:t>
            </w:r>
            <w:bookmarkEnd w:id="5"/>
            <w:r>
              <w:rPr>
                <w:rFonts w:hint="eastAsia" w:hAnsi="宋体" w:cs="宋体"/>
                <w:bCs/>
                <w:kern w:val="2"/>
                <w:sz w:val="21"/>
                <w:lang w:val="en-US" w:eastAsia="zh-CN"/>
              </w:rPr>
              <w:t>副高级以上职称3 年 (含) 以上的 (以证书发证时间为起点计算) ，得2分，不足 3年的得1分。</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2）自2020年以来承担预算绩效省级主管部门组织的财政资金绩效评价项目负责人，每个项目得5分；承担非预算绩效主管部门组织委托的事前绩效评估、预算绩效目标审核、预算绩效评价或评价结果复核、预算绩效指标和标准体系制定等，每个项目得3分；满分满分10分。</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2.项目工作组成员（项目负责人以外）资质（12分）</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（1）成员中具有会计或审计专业职称，其中中级职称，每人2分；</w:t>
            </w:r>
            <w:bookmarkStart w:id="6" w:name="OLE_LINK6"/>
            <w:r>
              <w:rPr>
                <w:rFonts w:hint="eastAsia" w:hAnsi="宋体" w:cs="宋体"/>
                <w:bCs/>
                <w:kern w:val="2"/>
                <w:sz w:val="21"/>
                <w:lang w:val="en-US" w:eastAsia="zh-CN"/>
              </w:rPr>
              <w:t>初级及以下</w:t>
            </w:r>
            <w:bookmarkEnd w:id="6"/>
            <w:r>
              <w:rPr>
                <w:rFonts w:hint="eastAsia" w:hAnsi="宋体" w:cs="宋体"/>
                <w:bCs/>
                <w:kern w:val="2"/>
                <w:sz w:val="21"/>
                <w:lang w:val="en-US" w:eastAsia="zh-CN"/>
              </w:rPr>
              <w:t>每人1.5分，此项最高不超过6分。</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（2）成员中具有从事财政资金绩效评价经验三年以上（含）工作经验每人2分；3年以下工作经验得1.5分，此项最高不超过6分。</w:t>
            </w:r>
          </w:p>
          <w:p>
            <w:pPr>
              <w:pStyle w:val="2"/>
              <w:spacing w:line="360" w:lineRule="auto"/>
              <w:rPr>
                <w:rFonts w:hint="eastAsia" w:hAnsi="宋体" w:cs="宋体"/>
                <w:bCs/>
                <w:kern w:val="2"/>
                <w:sz w:val="21"/>
                <w:lang w:val="en-US" w:eastAsia="zh-CN"/>
              </w:rPr>
            </w:pPr>
            <w:bookmarkStart w:id="7" w:name="OLE_LINK2"/>
            <w:r>
              <w:rPr>
                <w:rFonts w:hint="eastAsia" w:hAnsi="宋体" w:cs="宋体"/>
                <w:bCs/>
                <w:kern w:val="2"/>
                <w:sz w:val="21"/>
                <w:lang w:val="en-US" w:eastAsia="zh-CN"/>
              </w:rPr>
              <w:t>说明：</w:t>
            </w:r>
            <w:bookmarkEnd w:id="7"/>
            <w:r>
              <w:rPr>
                <w:rFonts w:hint="eastAsia" w:hAnsi="宋体" w:cs="宋体"/>
                <w:bCs/>
                <w:kern w:val="2"/>
                <w:sz w:val="21"/>
                <w:lang w:val="en-US" w:eastAsia="zh-CN"/>
              </w:rPr>
              <w:t>必须是供应商在职人员，资质证书、工作经验证明文件等相关材料复印件。</w:t>
            </w:r>
          </w:p>
        </w:tc>
        <w:tc>
          <w:tcPr>
            <w:tcW w:w="960" w:type="dxa"/>
            <w:noWrap w:val="0"/>
            <w:vAlign w:val="center"/>
          </w:tcPr>
          <w:p>
            <w:pPr>
              <w:pStyle w:val="2"/>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 w:val="0"/>
                <w:bCs/>
                <w:kern w:val="0"/>
                <w:sz w:val="21"/>
                <w:szCs w:val="21"/>
                <w:lang w:val="en-US" w:eastAsia="zh-CN" w:bidi="ar-SA"/>
              </w:rPr>
            </w:pPr>
            <w:r>
              <w:rPr>
                <w:rFonts w:hint="eastAsia" w:ascii="宋体" w:hAnsi="宋体" w:eastAsia="宋体" w:cs="宋体"/>
                <w:b w:val="0"/>
                <w:bCs/>
                <w:kern w:val="0"/>
                <w:sz w:val="21"/>
                <w:szCs w:val="21"/>
                <w:lang w:val="en-US" w:eastAsia="zh-CN" w:bidi="ar-SA"/>
              </w:rPr>
              <w:t>24分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2" w:hRule="atLeast"/>
        </w:trPr>
        <w:tc>
          <w:tcPr>
            <w:tcW w:w="986"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0C0C0C"/>
                <w:kern w:val="0"/>
                <w:sz w:val="24"/>
                <w:szCs w:val="24"/>
                <w:lang w:eastAsia="zh-CN"/>
              </w:rPr>
            </w:pPr>
            <w:bookmarkStart w:id="8" w:name="OLE_LINK3" w:colFirst="2" w:colLast="2"/>
            <w:r>
              <w:rPr>
                <w:rFonts w:hint="eastAsia" w:ascii="仿宋" w:hAnsi="仿宋" w:eastAsia="仿宋" w:cs="仿宋"/>
                <w:color w:val="0C0C0C"/>
                <w:kern w:val="0"/>
                <w:sz w:val="24"/>
                <w:szCs w:val="24"/>
                <w:lang w:val="en-US" w:eastAsia="zh-CN" w:bidi="ar-SA"/>
              </w:rPr>
              <w:t>6</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0C0C0C"/>
                <w:sz w:val="24"/>
                <w:szCs w:val="24"/>
              </w:rPr>
            </w:pPr>
            <w:r>
              <w:rPr>
                <w:rFonts w:hint="eastAsia" w:ascii="宋体" w:hAnsi="宋体" w:cs="宋体"/>
                <w:kern w:val="0"/>
                <w:szCs w:val="21"/>
                <w:lang w:val="en-US" w:eastAsia="zh-CN"/>
              </w:rPr>
              <w:t>业绩分（18分</w:t>
            </w:r>
            <w:r>
              <w:rPr>
                <w:rFonts w:hint="eastAsia" w:ascii="宋体" w:hAnsi="宋体" w:cs="宋体"/>
                <w:kern w:val="0"/>
                <w:szCs w:val="21"/>
              </w:rPr>
              <w:t>）</w:t>
            </w:r>
          </w:p>
        </w:tc>
        <w:tc>
          <w:tcPr>
            <w:tcW w:w="6345" w:type="dxa"/>
            <w:noWrap w:val="0"/>
            <w:vAlign w:val="center"/>
          </w:tcPr>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1.商务分（18分）</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（1）供应商自2020年以来，承接过省级及以上预算绩效主管部门财政资金绩效评价工作业务，每项得3分，此项最高9分。</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（2）</w:t>
            </w:r>
            <w:bookmarkStart w:id="9" w:name="OLE_LINK5"/>
            <w:r>
              <w:rPr>
                <w:rFonts w:hint="eastAsia" w:hAnsi="宋体" w:cs="宋体"/>
                <w:bCs/>
                <w:kern w:val="2"/>
                <w:sz w:val="21"/>
                <w:lang w:val="en-US" w:eastAsia="zh-CN"/>
              </w:rPr>
              <w:t>供应商自2020年以来，承接过省级及以上非预算绩效主管部门或市级预算绩效主管部门牵头组织的财政资金绩效评价工作业务的，</w:t>
            </w:r>
            <w:bookmarkStart w:id="10" w:name="OLE_LINK7"/>
            <w:r>
              <w:rPr>
                <w:rFonts w:hint="eastAsia" w:hAnsi="宋体" w:cs="宋体"/>
                <w:bCs/>
                <w:kern w:val="2"/>
                <w:sz w:val="21"/>
                <w:lang w:val="en-US" w:eastAsia="zh-CN"/>
              </w:rPr>
              <w:t>每项得2分，此项最高6分。</w:t>
            </w:r>
            <w:bookmarkEnd w:id="10"/>
          </w:p>
          <w:bookmarkEnd w:id="9"/>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3.供应商自2020年以来，承接过非省级及以上非预算绩效主管部门或非市级预算绩效主管部门牵头组织的财政资金绩效评价工作业务的得每项得1.5分，此项最高</w:t>
            </w:r>
            <w:bookmarkStart w:id="11" w:name="_GoBack"/>
            <w:bookmarkEnd w:id="11"/>
            <w:r>
              <w:rPr>
                <w:rFonts w:hint="eastAsia" w:hAnsi="宋体" w:cs="宋体"/>
                <w:bCs/>
                <w:kern w:val="2"/>
                <w:sz w:val="21"/>
                <w:lang w:val="en-US" w:eastAsia="zh-CN"/>
              </w:rPr>
              <w:t>3分。</w:t>
            </w:r>
          </w:p>
          <w:p>
            <w:pPr>
              <w:pStyle w:val="2"/>
              <w:spacing w:line="360" w:lineRule="auto"/>
              <w:rPr>
                <w:rFonts w:hint="eastAsia" w:hAnsi="宋体" w:cs="宋体"/>
                <w:bCs/>
                <w:kern w:val="2"/>
                <w:sz w:val="21"/>
                <w:lang w:val="en-US" w:eastAsia="zh-CN"/>
              </w:rPr>
            </w:pPr>
            <w:r>
              <w:rPr>
                <w:rFonts w:hint="eastAsia" w:hAnsi="宋体" w:cs="宋体"/>
                <w:bCs/>
                <w:kern w:val="2"/>
                <w:sz w:val="21"/>
                <w:lang w:val="en-US" w:eastAsia="zh-CN"/>
              </w:rPr>
              <w:t>说明：</w:t>
            </w:r>
            <w:r>
              <w:rPr>
                <w:rFonts w:hint="eastAsia" w:ascii="宋体" w:hAnsi="宋体" w:eastAsia="宋体" w:cs="宋体"/>
                <w:bCs/>
                <w:kern w:val="2"/>
                <w:sz w:val="21"/>
                <w:lang w:val="en-US" w:eastAsia="zh-CN"/>
              </w:rPr>
              <w:t>须提供证明材料（合同</w:t>
            </w:r>
            <w:r>
              <w:rPr>
                <w:rFonts w:hint="eastAsia" w:hAnsi="宋体" w:cs="宋体"/>
                <w:bCs/>
                <w:kern w:val="2"/>
                <w:sz w:val="21"/>
                <w:lang w:val="en-US" w:eastAsia="zh-CN"/>
              </w:rPr>
              <w:t>签署页</w:t>
            </w:r>
            <w:r>
              <w:rPr>
                <w:rFonts w:hint="eastAsia" w:ascii="宋体" w:hAnsi="宋体" w:eastAsia="宋体" w:cs="宋体"/>
                <w:bCs/>
                <w:kern w:val="2"/>
                <w:sz w:val="21"/>
                <w:lang w:val="en-US" w:eastAsia="zh-CN"/>
              </w:rPr>
              <w:t>或成交/中标通知书）复印件，并加盖公章，否则不予计分</w:t>
            </w:r>
            <w:r>
              <w:rPr>
                <w:rFonts w:hint="eastAsia" w:ascii="宋体" w:hAnsi="宋体" w:eastAsia="宋体" w:cs="宋体"/>
                <w:bCs/>
                <w:kern w:val="2"/>
                <w:sz w:val="21"/>
                <w:lang w:eastAsia="zh-CN"/>
              </w:rPr>
              <w:t>。</w:t>
            </w:r>
          </w:p>
        </w:tc>
        <w:tc>
          <w:tcPr>
            <w:tcW w:w="960" w:type="dxa"/>
            <w:noWrap w:val="0"/>
            <w:vAlign w:val="center"/>
          </w:tcPr>
          <w:p>
            <w:pPr>
              <w:pStyle w:val="2"/>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kern w:val="0"/>
                <w:sz w:val="21"/>
                <w:szCs w:val="21"/>
                <w:lang w:val="en-US" w:eastAsia="zh-CN" w:bidi="ar-SA"/>
              </w:rPr>
            </w:pPr>
            <w:r>
              <w:rPr>
                <w:rFonts w:hint="eastAsia" w:ascii="宋体" w:hAnsi="宋体" w:eastAsia="宋体" w:cs="宋体"/>
                <w:b w:val="0"/>
                <w:bCs/>
                <w:kern w:val="0"/>
                <w:sz w:val="21"/>
                <w:szCs w:val="21"/>
                <w:lang w:val="en-US" w:eastAsia="zh-CN" w:bidi="ar-SA"/>
              </w:rPr>
              <w:t>18分</w:t>
            </w:r>
          </w:p>
        </w:tc>
      </w:tr>
      <w:bookmarkEnd w:id="0"/>
      <w:bookmarkEnd w:id="1"/>
      <w:bookmarkEnd w:id="2"/>
      <w:bookmarkEnd w:id="3"/>
      <w:bookmarkEnd w:id="4"/>
      <w:bookmarkEnd w:id="8"/>
    </w:tbl>
    <w:p>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rPr>
      </w:pPr>
    </w:p>
    <w:p/>
    <w:sectPr>
      <w:footerReference r:id="rId3" w:type="default"/>
      <w:pgSz w:w="11906" w:h="16838"/>
      <w:pgMar w:top="1417" w:right="1361" w:bottom="1701" w:left="1474" w:header="851" w:footer="992"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rPr>
                              <w:rFonts w:hint="default" w:ascii="Times New Roman" w:hAnsi="Times New Roman" w:cs="Times New Roman"/>
                              <w:sz w:val="32"/>
                              <w:szCs w:val="32"/>
                            </w:rPr>
                          </w:pPr>
                          <w:r>
                            <w:rPr>
                              <w:rFonts w:hint="default" w:ascii="Times New Roman" w:hAnsi="Times New Roman" w:cs="Times New Roman"/>
                              <w:sz w:val="32"/>
                              <w:szCs w:val="32"/>
                            </w:rPr>
                            <w:t xml:space="preserve">— </w:t>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1</w:t>
                          </w:r>
                          <w:r>
                            <w:rPr>
                              <w:rFonts w:hint="default" w:ascii="Times New Roman" w:hAnsi="Times New Roman" w:cs="Times New Roman"/>
                              <w:sz w:val="32"/>
                              <w:szCs w:val="32"/>
                            </w:rPr>
                            <w:fldChar w:fldCharType="end"/>
                          </w:r>
                          <w:r>
                            <w:rPr>
                              <w:rFonts w:hint="default" w:ascii="Times New Roman" w:hAnsi="Times New Roman" w:cs="Times New Roman"/>
                              <w:sz w:val="32"/>
                              <w:szCs w:val="32"/>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hzD29rgEAAEsD&#10;AAAOAAAAAAAAAAEAIAAAAB4BAABkcnMvZTJvRG9jLnhtbFBLBQYAAAAABgAGAFkBAAA+BQAAAAA=&#10;">
              <v:fill on="f" focussize="0,0"/>
              <v:stroke on="f"/>
              <v:imagedata o:title=""/>
              <o:lock v:ext="edit" aspectratio="f"/>
              <v:textbox inset="0mm,0mm,0mm,0mm" style="mso-fit-shape-to-text:t;">
                <w:txbxContent>
                  <w:p>
                    <w:pPr>
                      <w:pStyle w:val="3"/>
                      <w:rPr>
                        <w:rFonts w:hint="default" w:ascii="Times New Roman" w:hAnsi="Times New Roman" w:cs="Times New Roman"/>
                        <w:sz w:val="32"/>
                        <w:szCs w:val="32"/>
                      </w:rPr>
                    </w:pPr>
                    <w:r>
                      <w:rPr>
                        <w:rFonts w:hint="default" w:ascii="Times New Roman" w:hAnsi="Times New Roman" w:cs="Times New Roman"/>
                        <w:sz w:val="32"/>
                        <w:szCs w:val="32"/>
                      </w:rPr>
                      <w:t xml:space="preserve">— </w:t>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1</w:t>
                    </w:r>
                    <w:r>
                      <w:rPr>
                        <w:rFonts w:hint="default" w:ascii="Times New Roman" w:hAnsi="Times New Roman" w:cs="Times New Roman"/>
                        <w:sz w:val="32"/>
                        <w:szCs w:val="32"/>
                      </w:rPr>
                      <w:fldChar w:fldCharType="end"/>
                    </w:r>
                    <w:r>
                      <w:rPr>
                        <w:rFonts w:hint="default" w:ascii="Times New Roman" w:hAnsi="Times New Roman" w:cs="Times New Roman"/>
                        <w:sz w:val="32"/>
                        <w:szCs w:val="32"/>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6D4FF5"/>
    <w:rsid w:val="05BC24A0"/>
    <w:rsid w:val="08912D15"/>
    <w:rsid w:val="15BC3189"/>
    <w:rsid w:val="23B5334C"/>
    <w:rsid w:val="29DF0736"/>
    <w:rsid w:val="31626E20"/>
    <w:rsid w:val="39D02592"/>
    <w:rsid w:val="40257138"/>
    <w:rsid w:val="409864B0"/>
    <w:rsid w:val="423D65E4"/>
    <w:rsid w:val="44C90E67"/>
    <w:rsid w:val="44FA6DD1"/>
    <w:rsid w:val="4E7450D0"/>
    <w:rsid w:val="6209178A"/>
    <w:rsid w:val="63A41771"/>
    <w:rsid w:val="649750E5"/>
    <w:rsid w:val="65162799"/>
    <w:rsid w:val="6C504766"/>
    <w:rsid w:val="6D72612A"/>
    <w:rsid w:val="6F242071"/>
    <w:rsid w:val="6F4A30FF"/>
    <w:rsid w:val="6FEE4EAF"/>
    <w:rsid w:val="71881E9C"/>
    <w:rsid w:val="75994396"/>
    <w:rsid w:val="75D600FB"/>
    <w:rsid w:val="76B225DA"/>
    <w:rsid w:val="7F8660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Plain Text"/>
    <w:basedOn w:val="1"/>
    <w:next w:val="1"/>
    <w:qFormat/>
    <w:uiPriority w:val="0"/>
    <w:pPr>
      <w:widowControl w:val="0"/>
      <w:spacing w:after="0"/>
      <w:jc w:val="both"/>
    </w:pPr>
    <w:rPr>
      <w:rFonts w:ascii="宋体" w:hAnsi="Courier New" w:eastAsia="宋体" w:cs="Times New Roman"/>
      <w:kern w:val="2"/>
      <w:sz w:val="21"/>
      <w:szCs w:val="21"/>
      <w:lang w:val="en-US" w:eastAsia="zh-CN" w:bidi="ar-SA"/>
    </w:rPr>
  </w:style>
  <w:style w:type="paragraph" w:styleId="3">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2025-03-20T08:16:00Z</dcterms:created>
  <dc:creator>hbt</dc:creator>
  <cp:lastModifiedBy>玲珑奇巧</cp:lastModifiedBy>
  <cp:lastPrinted>2025-04-08T02:41:35Z</cp:lastPrinted>
  <dcterms:modified xsi:type="dcterms:W3CDTF">2025-04-08T03:06:11Z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