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6FBC6E">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color w:val="auto"/>
          <w:sz w:val="32"/>
          <w:szCs w:val="32"/>
          <w:lang w:val="en-US" w:eastAsia="zh-CN"/>
        </w:rPr>
      </w:pPr>
      <w:bookmarkStart w:id="0" w:name="OLE_LINK6"/>
      <w:bookmarkStart w:id="1" w:name="OLE_LINK1"/>
      <w:bookmarkStart w:id="2" w:name="OLE_LINK2"/>
      <w:r>
        <w:rPr>
          <w:rFonts w:hint="eastAsia" w:ascii="黑体" w:hAnsi="黑体" w:eastAsia="黑体" w:cs="黑体"/>
          <w:color w:val="auto"/>
          <w:sz w:val="32"/>
          <w:szCs w:val="32"/>
          <w:lang w:val="en-US" w:eastAsia="zh-CN"/>
        </w:rPr>
        <w:t>附件1</w:t>
      </w:r>
    </w:p>
    <w:p w14:paraId="31A6AC6B">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color w:val="auto"/>
          <w:sz w:val="44"/>
          <w:szCs w:val="44"/>
          <w:lang w:val="en-US" w:eastAsia="zh-CN"/>
        </w:rPr>
      </w:pPr>
      <w:bookmarkStart w:id="3" w:name="OLE_LINK12"/>
      <w:r>
        <w:rPr>
          <w:rFonts w:hint="eastAsia" w:ascii="方正小标宋_GBK" w:hAnsi="方正小标宋_GBK" w:eastAsia="方正小标宋_GBK" w:cs="方正小标宋_GBK"/>
          <w:color w:val="auto"/>
          <w:sz w:val="44"/>
          <w:szCs w:val="44"/>
          <w:lang w:val="en-US" w:eastAsia="zh-CN"/>
        </w:rPr>
        <w:t>预算绩效管理服务项目</w:t>
      </w:r>
      <w:bookmarkEnd w:id="0"/>
      <w:r>
        <w:rPr>
          <w:rFonts w:hint="eastAsia" w:ascii="方正小标宋_GBK" w:hAnsi="方正小标宋_GBK" w:eastAsia="方正小标宋_GBK" w:cs="方正小标宋_GBK"/>
          <w:color w:val="auto"/>
          <w:sz w:val="44"/>
          <w:szCs w:val="44"/>
          <w:lang w:val="en-US" w:eastAsia="zh-CN"/>
        </w:rPr>
        <w:t>采购需求文件</w:t>
      </w:r>
    </w:p>
    <w:bookmarkEnd w:id="3"/>
    <w:p w14:paraId="3C96923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rPr>
          <w:rFonts w:hint="eastAsia" w:ascii="黑体" w:hAnsi="黑体" w:eastAsia="黑体" w:cs="黑体"/>
          <w:color w:val="auto"/>
          <w:sz w:val="32"/>
          <w:szCs w:val="32"/>
          <w:lang w:val="en-US" w:eastAsia="zh-CN"/>
        </w:rPr>
      </w:pPr>
    </w:p>
    <w:p w14:paraId="263AADB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一、项目名称</w:t>
      </w:r>
    </w:p>
    <w:p w14:paraId="0B3B81C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color w:val="auto"/>
          <w:sz w:val="32"/>
          <w:szCs w:val="32"/>
          <w:lang w:val="en-US" w:eastAsia="zh-CN"/>
        </w:rPr>
      </w:pPr>
      <w:bookmarkStart w:id="4" w:name="OLE_LINK32"/>
      <w:bookmarkStart w:id="5" w:name="OLE_LINK7"/>
      <w:r>
        <w:rPr>
          <w:rFonts w:hint="eastAsia" w:ascii="仿宋" w:hAnsi="仿宋" w:eastAsia="仿宋" w:cs="仿宋"/>
          <w:color w:val="auto"/>
          <w:sz w:val="32"/>
          <w:szCs w:val="32"/>
          <w:lang w:val="en-US" w:eastAsia="zh-CN"/>
        </w:rPr>
        <w:t>预算</w:t>
      </w:r>
      <w:bookmarkEnd w:id="4"/>
      <w:r>
        <w:rPr>
          <w:rFonts w:hint="eastAsia" w:ascii="仿宋" w:hAnsi="仿宋" w:eastAsia="仿宋" w:cs="仿宋"/>
          <w:color w:val="auto"/>
          <w:sz w:val="32"/>
          <w:szCs w:val="32"/>
          <w:lang w:val="en-US" w:eastAsia="zh-CN"/>
        </w:rPr>
        <w:t>绩效管理服务项目</w:t>
      </w:r>
      <w:bookmarkEnd w:id="5"/>
      <w:r>
        <w:rPr>
          <w:rFonts w:hint="eastAsia" w:ascii="仿宋" w:hAnsi="仿宋" w:eastAsia="仿宋" w:cs="仿宋"/>
          <w:color w:val="auto"/>
          <w:sz w:val="32"/>
          <w:szCs w:val="32"/>
          <w:lang w:val="en-US" w:eastAsia="zh-CN"/>
        </w:rPr>
        <w:t>。</w:t>
      </w:r>
    </w:p>
    <w:p w14:paraId="587089C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二、项目背景</w:t>
      </w:r>
    </w:p>
    <w:p w14:paraId="25A7CF8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color w:val="auto"/>
          <w:sz w:val="32"/>
          <w:szCs w:val="32"/>
          <w:lang w:val="en-US" w:eastAsia="zh-CN"/>
        </w:rPr>
      </w:pPr>
      <w:bookmarkStart w:id="6" w:name="OLE_LINK25"/>
      <w:r>
        <w:rPr>
          <w:rFonts w:hint="eastAsia" w:ascii="仿宋" w:hAnsi="仿宋" w:eastAsia="仿宋" w:cs="仿宋"/>
          <w:color w:val="auto"/>
          <w:sz w:val="32"/>
          <w:szCs w:val="32"/>
          <w:lang w:val="en-US" w:eastAsia="zh-CN"/>
        </w:rPr>
        <w:t>为贯彻落实全面实施预算绩效管理的要求，提升广西壮族自治区生态环境厅生态环境保护综合行政执法局（以下简称执法局）预算绩效管理水平，优化财政资源配置，提高资金使用效益，结合《财政部关于委托第三方机构参与预算绩效管理的指导意见》（财预〔2021〕6号）规定，“预算部门或单位委托第三方机构参与预算绩效管理，是全面实施预算绩效管理的重要举措，是推动加强预算管理、提高财政资金使用效益的有效手段”。现拟通过比选采购方式，聘请具有资质的专业服务机构提供预算绩效管理服务。</w:t>
      </w:r>
    </w:p>
    <w:bookmarkEnd w:id="6"/>
    <w:p w14:paraId="6D3C306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三、项目概算</w:t>
      </w:r>
    </w:p>
    <w:p w14:paraId="3699C4E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项目概算5万元。</w:t>
      </w:r>
      <w:bookmarkStart w:id="7" w:name="OLE_LINK11"/>
      <w:r>
        <w:rPr>
          <w:rFonts w:hint="eastAsia" w:ascii="仿宋" w:hAnsi="仿宋" w:eastAsia="仿宋" w:cs="仿宋"/>
          <w:color w:val="auto"/>
          <w:sz w:val="32"/>
          <w:szCs w:val="32"/>
          <w:lang w:val="en-US" w:eastAsia="zh-CN"/>
        </w:rPr>
        <w:t>根据《广西壮族自治区财政厅关于印发第三方中介机构参与财政监督和预算绩效管理业务委托服务费管理暂行办法的通知》（桂财办〔2020〕25号）</w:t>
      </w:r>
      <w:bookmarkEnd w:id="7"/>
      <w:r>
        <w:rPr>
          <w:rFonts w:hint="eastAsia" w:ascii="仿宋" w:hAnsi="仿宋" w:eastAsia="仿宋" w:cs="仿宋"/>
          <w:color w:val="auto"/>
          <w:sz w:val="32"/>
          <w:szCs w:val="32"/>
          <w:lang w:val="en-US" w:eastAsia="zh-CN"/>
        </w:rPr>
        <w:t>，结合项目数量以及工作内容进行测算，其中包括：</w:t>
      </w:r>
      <w:bookmarkStart w:id="8" w:name="OLE_LINK3"/>
    </w:p>
    <w:p w14:paraId="324D927A">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bookmarkStart w:id="9" w:name="OLE_LINK16"/>
      <w:r>
        <w:rPr>
          <w:rFonts w:hint="eastAsia" w:ascii="仿宋" w:hAnsi="仿宋" w:eastAsia="仿宋" w:cs="仿宋"/>
          <w:color w:val="auto"/>
          <w:sz w:val="32"/>
          <w:szCs w:val="32"/>
          <w:lang w:val="en-US" w:eastAsia="zh-CN"/>
        </w:rPr>
        <w:t>审核执法局</w:t>
      </w:r>
      <w:bookmarkStart w:id="10" w:name="OLE_LINK4"/>
      <w:r>
        <w:rPr>
          <w:rFonts w:hint="eastAsia" w:ascii="仿宋" w:hAnsi="仿宋" w:eastAsia="仿宋" w:cs="仿宋"/>
          <w:color w:val="auto"/>
          <w:sz w:val="32"/>
          <w:szCs w:val="32"/>
          <w:lang w:val="en-US" w:eastAsia="zh-CN"/>
        </w:rPr>
        <w:t>20个</w:t>
      </w:r>
      <w:bookmarkEnd w:id="10"/>
      <w:r>
        <w:rPr>
          <w:rFonts w:hint="eastAsia" w:ascii="仿宋" w:hAnsi="仿宋" w:eastAsia="仿宋" w:cs="仿宋"/>
          <w:color w:val="auto"/>
          <w:sz w:val="32"/>
          <w:szCs w:val="32"/>
          <w:lang w:val="en-US" w:eastAsia="zh-CN"/>
        </w:rPr>
        <w:t>2024年</w:t>
      </w:r>
      <w:bookmarkStart w:id="11" w:name="OLE_LINK14"/>
      <w:bookmarkStart w:id="12" w:name="OLE_LINK13"/>
      <w:r>
        <w:rPr>
          <w:rFonts w:hint="eastAsia" w:ascii="仿宋" w:hAnsi="仿宋" w:eastAsia="仿宋" w:cs="仿宋"/>
          <w:color w:val="auto"/>
          <w:sz w:val="32"/>
          <w:szCs w:val="32"/>
          <w:lang w:val="en-US" w:eastAsia="zh-CN"/>
        </w:rPr>
        <w:t>本级预算</w:t>
      </w:r>
      <w:bookmarkEnd w:id="11"/>
      <w:r>
        <w:rPr>
          <w:rFonts w:hint="eastAsia" w:ascii="仿宋" w:hAnsi="仿宋" w:eastAsia="仿宋" w:cs="仿宋"/>
          <w:color w:val="auto"/>
          <w:sz w:val="32"/>
          <w:szCs w:val="32"/>
          <w:lang w:val="en-US" w:eastAsia="zh-CN"/>
        </w:rPr>
        <w:t>项目、2个专项转移支付项目</w:t>
      </w:r>
      <w:bookmarkEnd w:id="12"/>
      <w:r>
        <w:rPr>
          <w:rFonts w:hint="eastAsia" w:ascii="仿宋" w:hAnsi="仿宋" w:eastAsia="仿宋" w:cs="仿宋"/>
          <w:color w:val="auto"/>
          <w:sz w:val="32"/>
          <w:szCs w:val="32"/>
          <w:lang w:val="en-US" w:eastAsia="zh-CN"/>
        </w:rPr>
        <w:t>（涉及14个地市）的支出绩效自评表、绩效自评报告</w:t>
      </w:r>
      <w:bookmarkStart w:id="13" w:name="OLE_LINK24"/>
      <w:bookmarkStart w:id="14" w:name="OLE_LINK15"/>
      <w:r>
        <w:rPr>
          <w:rFonts w:hint="eastAsia" w:ascii="仿宋" w:hAnsi="仿宋" w:eastAsia="仿宋" w:cs="仿宋"/>
          <w:color w:val="auto"/>
          <w:sz w:val="32"/>
          <w:szCs w:val="32"/>
          <w:lang w:val="en-US" w:eastAsia="zh-CN"/>
        </w:rPr>
        <w:t>，</w:t>
      </w:r>
      <w:bookmarkEnd w:id="13"/>
      <w:bookmarkStart w:id="15" w:name="OLE_LINK20"/>
      <w:bookmarkStart w:id="16" w:name="OLE_LINK34"/>
      <w:r>
        <w:rPr>
          <w:rFonts w:hint="eastAsia" w:ascii="仿宋" w:hAnsi="仿宋" w:eastAsia="仿宋" w:cs="仿宋"/>
          <w:color w:val="auto"/>
          <w:sz w:val="32"/>
          <w:szCs w:val="32"/>
          <w:lang w:val="en-US" w:eastAsia="zh-CN"/>
        </w:rPr>
        <w:t>审核项目执行过程中</w:t>
      </w:r>
      <w:r>
        <w:rPr>
          <w:rFonts w:hint="eastAsia" w:ascii="仿宋_GB2312" w:hAnsi="仿宋_GB2312" w:eastAsia="仿宋_GB2312" w:cs="仿宋_GB2312"/>
          <w:color w:val="auto"/>
          <w:sz w:val="32"/>
          <w:szCs w:val="32"/>
          <w:lang w:val="en-US" w:eastAsia="zh-CN"/>
        </w:rPr>
        <w:t>资金、项目、财务等方面的管理规范性</w:t>
      </w:r>
      <w:bookmarkEnd w:id="15"/>
      <w:r>
        <w:rPr>
          <w:rFonts w:hint="eastAsia" w:ascii="仿宋_GB2312" w:hAnsi="仿宋_GB2312" w:eastAsia="仿宋_GB2312" w:cs="仿宋_GB2312"/>
          <w:color w:val="auto"/>
          <w:sz w:val="32"/>
          <w:szCs w:val="32"/>
          <w:lang w:val="en-US" w:eastAsia="zh-CN"/>
        </w:rPr>
        <w:t>，</w:t>
      </w:r>
      <w:bookmarkEnd w:id="16"/>
      <w:r>
        <w:rPr>
          <w:rFonts w:hint="eastAsia" w:ascii="仿宋" w:hAnsi="仿宋" w:eastAsia="仿宋" w:cs="仿宋"/>
          <w:color w:val="auto"/>
          <w:sz w:val="32"/>
          <w:szCs w:val="32"/>
          <w:lang w:val="en-US" w:eastAsia="zh-CN"/>
        </w:rPr>
        <w:t>形成审核发现问题清单，撰写</w:t>
      </w:r>
      <w:bookmarkEnd w:id="14"/>
      <w:r>
        <w:rPr>
          <w:rFonts w:hint="eastAsia" w:ascii="仿宋" w:hAnsi="仿宋" w:eastAsia="仿宋" w:cs="仿宋"/>
          <w:color w:val="auto"/>
          <w:sz w:val="32"/>
          <w:szCs w:val="32"/>
          <w:lang w:val="en-US" w:eastAsia="zh-CN"/>
        </w:rPr>
        <w:t>汇总绩效自评情况报告</w:t>
      </w:r>
      <w:bookmarkStart w:id="17" w:name="OLE_LINK21"/>
      <w:r>
        <w:rPr>
          <w:rFonts w:hint="eastAsia" w:ascii="仿宋" w:hAnsi="仿宋" w:eastAsia="仿宋" w:cs="仿宋"/>
          <w:color w:val="auto"/>
          <w:sz w:val="32"/>
          <w:szCs w:val="32"/>
          <w:lang w:val="en-US" w:eastAsia="zh-CN"/>
        </w:rPr>
        <w:t>，费用3万元。</w:t>
      </w:r>
      <w:bookmarkEnd w:id="17"/>
    </w:p>
    <w:p w14:paraId="5906D12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sz w:val="32"/>
          <w:szCs w:val="32"/>
          <w:lang w:val="en-US" w:eastAsia="zh-CN"/>
        </w:rPr>
      </w:pPr>
      <w:bookmarkStart w:id="18" w:name="OLE_LINK18"/>
      <w:r>
        <w:rPr>
          <w:rFonts w:hint="eastAsia" w:ascii="仿宋" w:hAnsi="仿宋" w:eastAsia="仿宋" w:cs="仿宋"/>
          <w:color w:val="auto"/>
          <w:sz w:val="32"/>
          <w:szCs w:val="32"/>
          <w:lang w:val="en-US" w:eastAsia="zh-CN"/>
        </w:rPr>
        <w:t>（二）审核执法局20个2025年本级预算项目、1个专项转移支付项目</w:t>
      </w:r>
      <w:bookmarkStart w:id="19" w:name="OLE_LINK22"/>
      <w:r>
        <w:rPr>
          <w:rFonts w:hint="eastAsia" w:ascii="仿宋" w:hAnsi="仿宋" w:eastAsia="仿宋" w:cs="仿宋"/>
          <w:color w:val="auto"/>
          <w:sz w:val="32"/>
          <w:szCs w:val="32"/>
          <w:lang w:val="en-US" w:eastAsia="zh-CN"/>
        </w:rPr>
        <w:t>（涉及14个地市）</w:t>
      </w:r>
      <w:bookmarkEnd w:id="19"/>
      <w:r>
        <w:rPr>
          <w:rFonts w:hint="eastAsia" w:ascii="仿宋" w:hAnsi="仿宋" w:eastAsia="仿宋" w:cs="仿宋"/>
          <w:color w:val="auto"/>
          <w:sz w:val="32"/>
          <w:szCs w:val="32"/>
          <w:lang w:val="en-US" w:eastAsia="zh-CN"/>
        </w:rPr>
        <w:t>的</w:t>
      </w:r>
      <w:r>
        <w:rPr>
          <w:rFonts w:hint="eastAsia" w:ascii="仿宋_GB2312" w:hAnsi="仿宋_GB2312" w:eastAsia="仿宋_GB2312" w:cs="仿宋_GB2312"/>
          <w:color w:val="auto"/>
          <w:sz w:val="32"/>
          <w:szCs w:val="32"/>
          <w:lang w:val="en-US" w:eastAsia="zh-CN"/>
        </w:rPr>
        <w:t>绩效目标跟踪监控情况表</w:t>
      </w:r>
      <w:bookmarkStart w:id="20" w:name="OLE_LINK23"/>
      <w:r>
        <w:rPr>
          <w:rFonts w:hint="eastAsia" w:ascii="仿宋" w:hAnsi="仿宋" w:eastAsia="仿宋" w:cs="仿宋"/>
          <w:color w:val="auto"/>
          <w:sz w:val="32"/>
          <w:szCs w:val="32"/>
          <w:lang w:val="en-US" w:eastAsia="zh-CN"/>
        </w:rPr>
        <w:t>，审核项目执行过程中</w:t>
      </w:r>
      <w:r>
        <w:rPr>
          <w:rFonts w:hint="eastAsia" w:ascii="仿宋_GB2312" w:hAnsi="仿宋_GB2312" w:eastAsia="仿宋_GB2312" w:cs="仿宋_GB2312"/>
          <w:color w:val="auto"/>
          <w:sz w:val="32"/>
          <w:szCs w:val="32"/>
          <w:lang w:val="en-US" w:eastAsia="zh-CN"/>
        </w:rPr>
        <w:t>资金、项目、财务等方面</w:t>
      </w:r>
      <w:bookmarkStart w:id="21" w:name="OLE_LINK36"/>
      <w:r>
        <w:rPr>
          <w:rFonts w:hint="eastAsia" w:ascii="仿宋_GB2312" w:hAnsi="仿宋_GB2312" w:eastAsia="仿宋_GB2312" w:cs="仿宋_GB2312"/>
          <w:color w:val="auto"/>
          <w:sz w:val="32"/>
          <w:szCs w:val="32"/>
          <w:lang w:val="en-US" w:eastAsia="zh-CN"/>
        </w:rPr>
        <w:t>的</w:t>
      </w:r>
      <w:bookmarkEnd w:id="21"/>
      <w:r>
        <w:rPr>
          <w:rFonts w:hint="eastAsia" w:ascii="仿宋_GB2312" w:hAnsi="仿宋_GB2312" w:eastAsia="仿宋_GB2312" w:cs="仿宋_GB2312"/>
          <w:color w:val="auto"/>
          <w:sz w:val="32"/>
          <w:szCs w:val="32"/>
          <w:lang w:val="en-US" w:eastAsia="zh-CN"/>
        </w:rPr>
        <w:t>管理规范性，</w:t>
      </w:r>
      <w:r>
        <w:rPr>
          <w:rFonts w:hint="eastAsia" w:ascii="仿宋" w:hAnsi="仿宋" w:eastAsia="仿宋" w:cs="仿宋"/>
          <w:color w:val="auto"/>
          <w:sz w:val="32"/>
          <w:szCs w:val="32"/>
          <w:lang w:val="en-US" w:eastAsia="zh-CN"/>
        </w:rPr>
        <w:t>形成审核清单</w:t>
      </w:r>
      <w:bookmarkEnd w:id="20"/>
      <w:r>
        <w:rPr>
          <w:rFonts w:hint="eastAsia" w:ascii="仿宋" w:hAnsi="仿宋" w:eastAsia="仿宋" w:cs="仿宋"/>
          <w:color w:val="auto"/>
          <w:sz w:val="32"/>
          <w:szCs w:val="32"/>
          <w:lang w:val="en-US" w:eastAsia="zh-CN"/>
        </w:rPr>
        <w:t>，撰写</w:t>
      </w:r>
      <w:r>
        <w:rPr>
          <w:rFonts w:ascii="仿宋_GB2312" w:hAnsi="仿宋_GB2312" w:eastAsia="仿宋_GB2312" w:cs="仿宋_GB2312"/>
          <w:b w:val="0"/>
          <w:color w:val="auto"/>
          <w:sz w:val="32"/>
          <w:szCs w:val="32"/>
        </w:rPr>
        <w:t>预算绩效监控报告</w:t>
      </w:r>
      <w:bookmarkEnd w:id="1"/>
      <w:bookmarkEnd w:id="2"/>
      <w:bookmarkEnd w:id="8"/>
      <w:bookmarkStart w:id="22" w:name="OLE_LINK26"/>
      <w:r>
        <w:rPr>
          <w:rFonts w:hint="eastAsia" w:ascii="仿宋_GB2312" w:hAnsi="仿宋_GB2312" w:eastAsia="仿宋_GB2312" w:cs="仿宋_GB2312"/>
          <w:b w:val="0"/>
          <w:color w:val="auto"/>
          <w:sz w:val="32"/>
          <w:szCs w:val="32"/>
          <w:lang w:eastAsia="zh-CN"/>
        </w:rPr>
        <w:t>，</w:t>
      </w:r>
      <w:r>
        <w:rPr>
          <w:rFonts w:hint="eastAsia" w:ascii="仿宋" w:hAnsi="仿宋" w:eastAsia="仿宋" w:cs="仿宋"/>
          <w:color w:val="auto"/>
          <w:sz w:val="32"/>
          <w:szCs w:val="32"/>
          <w:lang w:val="en-US" w:eastAsia="zh-CN"/>
        </w:rPr>
        <w:t>费用</w:t>
      </w:r>
      <w:bookmarkEnd w:id="22"/>
      <w:r>
        <w:rPr>
          <w:rFonts w:hint="eastAsia" w:ascii="仿宋" w:hAnsi="仿宋" w:eastAsia="仿宋" w:cs="仿宋"/>
          <w:color w:val="auto"/>
          <w:sz w:val="32"/>
          <w:szCs w:val="32"/>
          <w:lang w:val="en-US" w:eastAsia="zh-CN"/>
        </w:rPr>
        <w:t>2万元。</w:t>
      </w:r>
    </w:p>
    <w:bookmarkEnd w:id="9"/>
    <w:bookmarkEnd w:id="18"/>
    <w:p w14:paraId="25E58CF5">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640" w:leftChars="0" w:firstLine="0" w:firstLineChars="0"/>
        <w:jc w:val="left"/>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项目需求</w:t>
      </w:r>
    </w:p>
    <w:p w14:paraId="3C82824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（一）项目需求概况</w:t>
      </w:r>
    </w:p>
    <w:p w14:paraId="36AEACC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全面实施预算绩效管理是推进国家治理体系和治理能力现代化的内在要求，是深化财税体制改革、建立现代财政制度的重要内容，是优化财政资源配置、提升公共服务质量的关键举措。根据《中共中央 国务院关于全面实施预算绩效管理的意见》</w:t>
      </w:r>
      <w:bookmarkStart w:id="23" w:name="OLE_LINK10"/>
      <w:r>
        <w:rPr>
          <w:rFonts w:hint="eastAsia" w:ascii="仿宋" w:hAnsi="仿宋" w:eastAsia="仿宋" w:cs="仿宋"/>
          <w:color w:val="auto"/>
          <w:sz w:val="32"/>
          <w:szCs w:val="32"/>
          <w:lang w:val="en-US" w:eastAsia="zh-CN"/>
        </w:rPr>
        <w:t>（中发〔2018〕34号）</w:t>
      </w:r>
      <w:bookmarkEnd w:id="23"/>
      <w:r>
        <w:rPr>
          <w:rFonts w:hint="eastAsia" w:ascii="仿宋" w:hAnsi="仿宋" w:eastAsia="仿宋" w:cs="仿宋"/>
          <w:color w:val="auto"/>
          <w:sz w:val="32"/>
          <w:szCs w:val="32"/>
          <w:lang w:val="en-US" w:eastAsia="zh-CN"/>
        </w:rPr>
        <w:t>精神，加快建成全方位、全过程、全覆盖的预算绩效管理体系和《中共广西壮族自治区委员会 广西壮族自治区人民政府关于全面实施预算绩效管理的实施意见》（桂发〔2018〕26号），各级财政部门要建立重大政策、项目预算绩效评价机制，逐步开展部门整体绩效评价，必要时可以引入第三方机构参与绩效评价，为提高执法局绩效管理水平，提升资金使用效率，确保资金投入与产出效益最大化，提高组织管理水平，项目执行过程中能及时规避在</w:t>
      </w:r>
      <w:r>
        <w:rPr>
          <w:rFonts w:hint="eastAsia" w:ascii="仿宋_GB2312" w:hAnsi="仿宋_GB2312" w:eastAsia="仿宋_GB2312" w:cs="仿宋_GB2312"/>
          <w:color w:val="auto"/>
          <w:sz w:val="32"/>
          <w:szCs w:val="32"/>
          <w:lang w:val="en-US" w:eastAsia="zh-CN"/>
        </w:rPr>
        <w:t>资金管理、项目管理及财务管理等方面出现的不规范行为</w:t>
      </w:r>
      <w:r>
        <w:rPr>
          <w:rFonts w:hint="eastAsia" w:ascii="仿宋" w:hAnsi="仿宋" w:eastAsia="仿宋" w:cs="仿宋"/>
          <w:color w:val="auto"/>
          <w:sz w:val="32"/>
          <w:szCs w:val="32"/>
          <w:lang w:val="en-US" w:eastAsia="zh-CN"/>
        </w:rPr>
        <w:t>。现拟通过委托具有专业资质的第三方技术服务单位开展绩效管理服务工作，协助执法局开展预算绩效管理相关工作。</w:t>
      </w:r>
    </w:p>
    <w:p w14:paraId="628C6CC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（二）项目内容和技术要求</w:t>
      </w:r>
    </w:p>
    <w:p w14:paraId="301BC78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bookmarkStart w:id="24" w:name="OLE_LINK17"/>
      <w:r>
        <w:rPr>
          <w:rFonts w:hint="eastAsia" w:ascii="仿宋" w:hAnsi="仿宋" w:eastAsia="仿宋" w:cs="仿宋"/>
          <w:color w:val="auto"/>
          <w:sz w:val="32"/>
          <w:szCs w:val="32"/>
          <w:lang w:val="en-US" w:eastAsia="zh-CN"/>
        </w:rPr>
        <w:t>根据《广西壮族自治区财政厅关于开展2024年度预算绩效自评和2025年部门绩效评价及预算绩效监控工作的通知》（桂财办〔2025〕12号）</w:t>
      </w:r>
      <w:bookmarkEnd w:id="24"/>
      <w:r>
        <w:rPr>
          <w:rFonts w:hint="eastAsia" w:ascii="仿宋" w:hAnsi="仿宋" w:eastAsia="仿宋" w:cs="仿宋"/>
          <w:color w:val="auto"/>
          <w:sz w:val="32"/>
          <w:szCs w:val="32"/>
          <w:lang w:val="en-US" w:eastAsia="zh-CN"/>
        </w:rPr>
        <w:t>要求，协助执法局完成2024年预算绩效自评和2025年预算绩效监控工作。内容包括：</w:t>
      </w:r>
    </w:p>
    <w:p w14:paraId="2DC6DBD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bookmarkStart w:id="25" w:name="OLE_LINK33"/>
      <w:r>
        <w:rPr>
          <w:rFonts w:hint="eastAsia" w:ascii="仿宋" w:hAnsi="仿宋" w:eastAsia="仿宋" w:cs="仿宋"/>
          <w:color w:val="auto"/>
          <w:sz w:val="32"/>
          <w:szCs w:val="32"/>
          <w:lang w:val="en-US" w:eastAsia="zh-CN"/>
        </w:rPr>
        <w:t>1.审核执法局20个2024年本级预算项目、2个专项转移支付项目（涉及14个地市）的项目支出绩效自评表、绩效自评报告，审核项目执行过程中</w:t>
      </w:r>
      <w:r>
        <w:rPr>
          <w:rFonts w:hint="eastAsia" w:ascii="仿宋_GB2312" w:hAnsi="仿宋_GB2312" w:eastAsia="仿宋_GB2312" w:cs="仿宋_GB2312"/>
          <w:color w:val="auto"/>
          <w:sz w:val="32"/>
          <w:szCs w:val="32"/>
          <w:lang w:val="en-US" w:eastAsia="zh-CN"/>
        </w:rPr>
        <w:t>资金、项目、财务等方面的管理规范性，</w:t>
      </w:r>
      <w:r>
        <w:rPr>
          <w:rFonts w:hint="eastAsia" w:ascii="仿宋" w:hAnsi="仿宋" w:eastAsia="仿宋" w:cs="仿宋"/>
          <w:color w:val="auto"/>
          <w:sz w:val="32"/>
          <w:szCs w:val="32"/>
          <w:lang w:val="en-US" w:eastAsia="zh-CN"/>
        </w:rPr>
        <w:t>形成审核发现问题清单，撰写汇总绩效自评情况报告。</w:t>
      </w:r>
    </w:p>
    <w:p w14:paraId="22D9711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2.审核执法局20个2025年本级预算项目、1个专项转移支付项目（涉及14个地市）的项目</w:t>
      </w:r>
      <w:r>
        <w:rPr>
          <w:rFonts w:hint="eastAsia" w:ascii="仿宋_GB2312" w:hAnsi="仿宋_GB2312" w:eastAsia="仿宋_GB2312" w:cs="仿宋_GB2312"/>
          <w:color w:val="auto"/>
          <w:sz w:val="32"/>
          <w:szCs w:val="32"/>
          <w:lang w:val="en-US" w:eastAsia="zh-CN"/>
        </w:rPr>
        <w:t>绩效目标跟踪监控情况表</w:t>
      </w:r>
      <w:r>
        <w:rPr>
          <w:rFonts w:hint="eastAsia" w:ascii="仿宋" w:hAnsi="仿宋" w:eastAsia="仿宋" w:cs="仿宋"/>
          <w:color w:val="auto"/>
          <w:sz w:val="32"/>
          <w:szCs w:val="32"/>
          <w:lang w:val="en-US" w:eastAsia="zh-CN"/>
        </w:rPr>
        <w:t>，审核项目执行过程中</w:t>
      </w:r>
      <w:r>
        <w:rPr>
          <w:rFonts w:hint="eastAsia" w:ascii="仿宋_GB2312" w:hAnsi="仿宋_GB2312" w:eastAsia="仿宋_GB2312" w:cs="仿宋_GB2312"/>
          <w:color w:val="auto"/>
          <w:sz w:val="32"/>
          <w:szCs w:val="32"/>
          <w:lang w:val="en-US" w:eastAsia="zh-CN"/>
        </w:rPr>
        <w:t>资金、项目、财务等方面的管理规范性，</w:t>
      </w:r>
      <w:r>
        <w:rPr>
          <w:rFonts w:hint="eastAsia" w:ascii="仿宋" w:hAnsi="仿宋" w:eastAsia="仿宋" w:cs="仿宋"/>
          <w:color w:val="auto"/>
          <w:sz w:val="32"/>
          <w:szCs w:val="32"/>
          <w:lang w:val="en-US" w:eastAsia="zh-CN"/>
        </w:rPr>
        <w:t>形成审核清单，撰写</w:t>
      </w:r>
      <w:r>
        <w:rPr>
          <w:rFonts w:ascii="仿宋_GB2312" w:hAnsi="仿宋_GB2312" w:eastAsia="仿宋_GB2312" w:cs="仿宋_GB2312"/>
          <w:b w:val="0"/>
          <w:color w:val="auto"/>
          <w:sz w:val="32"/>
          <w:szCs w:val="32"/>
        </w:rPr>
        <w:t>预算绩效监控报告</w:t>
      </w:r>
      <w:r>
        <w:rPr>
          <w:rFonts w:hint="eastAsia" w:ascii="仿宋" w:hAnsi="仿宋" w:eastAsia="仿宋" w:cs="仿宋"/>
          <w:color w:val="auto"/>
          <w:sz w:val="32"/>
          <w:szCs w:val="32"/>
          <w:lang w:val="en-US" w:eastAsia="zh-CN"/>
        </w:rPr>
        <w:t>。</w:t>
      </w:r>
    </w:p>
    <w:p w14:paraId="7B99FF6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Calibri" w:hAnsi="Calibri" w:eastAsia="仿宋_GB2312" w:cs="Calibri"/>
          <w:color w:val="auto"/>
          <w:sz w:val="32"/>
          <w:szCs w:val="32"/>
          <w:lang w:val="en-US" w:eastAsia="zh-CN"/>
        </w:rPr>
        <w:t>审核要求：</w:t>
      </w:r>
      <w:r>
        <w:rPr>
          <w:rFonts w:hint="eastAsia" w:ascii="仿宋_GB2312" w:hAnsi="仿宋_GB2312" w:eastAsia="仿宋_GB2312" w:cs="仿宋_GB2312"/>
          <w:color w:val="auto"/>
          <w:sz w:val="32"/>
          <w:szCs w:val="32"/>
          <w:lang w:val="en-US" w:eastAsia="zh-CN"/>
        </w:rPr>
        <w:t>资金管理规范性主要关注资金支付是否履行审批程序和手续，支出用途、费用标准、支持对象等是否按财政批复的内容实施，是否存在超范围、超标准、虚列支出、截留、挤占、挪用等问题。项目管理规范性主要关注项目实施是否遵守相关财经法规和项目管理有关制度规定，项目调整及支出调整是否按规定履行报批手续，项目采购或招投标、建设、监理、验收等是否严格执行相关规定，是否建立相应的质量管控机制等。财务管理规范性主要关注会计核算是否规范，财务制度是否健全，内控制度是否严格执行等</w:t>
      </w:r>
      <w:bookmarkEnd w:id="25"/>
      <w:r>
        <w:rPr>
          <w:rFonts w:hint="eastAsia" w:ascii="仿宋_GB2312" w:hAnsi="仿宋_GB2312" w:eastAsia="仿宋_GB2312" w:cs="仿宋_GB2312"/>
          <w:color w:val="auto"/>
          <w:sz w:val="32"/>
          <w:szCs w:val="32"/>
          <w:lang w:val="en-US" w:eastAsia="zh-CN"/>
        </w:rPr>
        <w:t>采购人要求其他的审核要求。</w:t>
      </w:r>
    </w:p>
    <w:p w14:paraId="4CC39DA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（三）采购标的数量</w:t>
      </w:r>
    </w:p>
    <w:p w14:paraId="2B05F30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本项目采购预算绩效管理服务项目1项。服务内容不涉及进口，专门面向中小企业采购，供应商应为中小企业（监狱企业、残疾人福利性单位视同小型、微型企业）。</w:t>
      </w:r>
    </w:p>
    <w:p w14:paraId="6782930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（四）工作质量控制要求</w:t>
      </w:r>
    </w:p>
    <w:p w14:paraId="6A62BC0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供应商所提供的服务、服务质量及服务内容必须与合同、招标文件（采购文件）、响应文件及承诺相一致，有国家强制性标准的，还必须符合国家强制性标准的规定，没有国家强制性标准但有其他标准的，必须符合其他标准的规定。</w:t>
      </w:r>
    </w:p>
    <w:p w14:paraId="754DA9D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（五）数据资料归属及保管</w:t>
      </w:r>
    </w:p>
    <w:p w14:paraId="0E46AA2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本项目所形成的数据和报告归采购人所有。未经采购人授权，不得将数据和报告等发送给任何第三方，严格执行项目实施过程中产生的数据和报告等资料保密管理。</w:t>
      </w:r>
    </w:p>
    <w:p w14:paraId="50816EC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（六）成果提交内容</w:t>
      </w:r>
    </w:p>
    <w:p w14:paraId="3FF1265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1.</w:t>
      </w:r>
      <w:r>
        <w:rPr>
          <w:rFonts w:hint="eastAsia" w:ascii="仿宋" w:hAnsi="仿宋" w:eastAsia="仿宋" w:cs="仿宋"/>
          <w:color w:val="auto"/>
          <w:sz w:val="32"/>
          <w:szCs w:val="32"/>
          <w:lang w:val="en-US" w:eastAsia="zh-CN"/>
        </w:rPr>
        <w:t>预算</w:t>
      </w:r>
      <w:r>
        <w:rPr>
          <w:rFonts w:hint="default" w:ascii="仿宋" w:hAnsi="仿宋" w:eastAsia="仿宋" w:cs="仿宋"/>
          <w:color w:val="auto"/>
          <w:sz w:val="32"/>
          <w:szCs w:val="32"/>
          <w:lang w:val="en-US" w:eastAsia="zh-CN"/>
        </w:rPr>
        <w:t>绩效自评</w:t>
      </w:r>
      <w:bookmarkStart w:id="26" w:name="OLE_LINK27"/>
      <w:r>
        <w:rPr>
          <w:rFonts w:hint="eastAsia" w:ascii="仿宋" w:hAnsi="仿宋" w:eastAsia="仿宋" w:cs="仿宋"/>
          <w:color w:val="auto"/>
          <w:sz w:val="32"/>
          <w:szCs w:val="32"/>
          <w:lang w:val="en-US" w:eastAsia="zh-CN"/>
        </w:rPr>
        <w:t>审核</w:t>
      </w:r>
      <w:bookmarkStart w:id="27" w:name="OLE_LINK38"/>
      <w:r>
        <w:rPr>
          <w:rFonts w:hint="eastAsia" w:ascii="仿宋" w:hAnsi="仿宋" w:eastAsia="仿宋" w:cs="仿宋"/>
          <w:color w:val="auto"/>
          <w:sz w:val="32"/>
          <w:szCs w:val="32"/>
          <w:lang w:val="en-US" w:eastAsia="zh-CN"/>
        </w:rPr>
        <w:t>发现</w:t>
      </w:r>
      <w:bookmarkStart w:id="28" w:name="OLE_LINK37"/>
      <w:r>
        <w:rPr>
          <w:rFonts w:hint="eastAsia" w:ascii="仿宋" w:hAnsi="仿宋" w:eastAsia="仿宋" w:cs="仿宋"/>
          <w:color w:val="auto"/>
          <w:sz w:val="32"/>
          <w:szCs w:val="32"/>
          <w:lang w:val="en-US" w:eastAsia="zh-CN"/>
        </w:rPr>
        <w:t>问题清单</w:t>
      </w:r>
      <w:bookmarkEnd w:id="27"/>
      <w:bookmarkEnd w:id="28"/>
      <w:bookmarkStart w:id="29" w:name="OLE_LINK8"/>
      <w:r>
        <w:rPr>
          <w:rFonts w:hint="eastAsia" w:ascii="仿宋" w:hAnsi="仿宋" w:eastAsia="仿宋" w:cs="仿宋"/>
          <w:color w:val="auto"/>
          <w:sz w:val="32"/>
          <w:szCs w:val="32"/>
          <w:lang w:val="en-US" w:eastAsia="zh-CN"/>
        </w:rPr>
        <w:t>1式3份</w:t>
      </w:r>
      <w:bookmarkEnd w:id="26"/>
      <w:bookmarkEnd w:id="29"/>
      <w:r>
        <w:rPr>
          <w:rFonts w:hint="eastAsia" w:ascii="仿宋" w:hAnsi="仿宋" w:eastAsia="仿宋" w:cs="仿宋"/>
          <w:color w:val="auto"/>
          <w:sz w:val="32"/>
          <w:szCs w:val="32"/>
          <w:lang w:val="en-US" w:eastAsia="zh-CN"/>
        </w:rPr>
        <w:t>，预算绩效自评情况报告1式3份。</w:t>
      </w:r>
    </w:p>
    <w:p w14:paraId="4207272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2.绩效跟踪监控</w:t>
      </w:r>
      <w:r>
        <w:rPr>
          <w:rFonts w:hint="eastAsia" w:ascii="仿宋" w:hAnsi="仿宋" w:eastAsia="仿宋" w:cs="仿宋"/>
          <w:color w:val="auto"/>
          <w:sz w:val="32"/>
          <w:szCs w:val="32"/>
          <w:lang w:val="en-US" w:eastAsia="zh-CN"/>
        </w:rPr>
        <w:t>审核发现问题清单1式3份，</w:t>
      </w:r>
      <w:bookmarkStart w:id="30" w:name="OLE_LINK29"/>
      <w:r>
        <w:rPr>
          <w:rFonts w:ascii="仿宋_GB2312" w:hAnsi="仿宋_GB2312" w:eastAsia="仿宋_GB2312" w:cs="仿宋_GB2312"/>
          <w:b w:val="0"/>
          <w:color w:val="auto"/>
          <w:sz w:val="32"/>
          <w:szCs w:val="32"/>
        </w:rPr>
        <w:t>预算绩效监控报告</w:t>
      </w:r>
      <w:bookmarkEnd w:id="30"/>
      <w:r>
        <w:rPr>
          <w:rFonts w:hint="eastAsia" w:ascii="仿宋" w:hAnsi="仿宋" w:eastAsia="仿宋" w:cs="仿宋"/>
          <w:color w:val="auto"/>
          <w:sz w:val="32"/>
          <w:szCs w:val="32"/>
          <w:lang w:val="en-US" w:eastAsia="zh-CN"/>
        </w:rPr>
        <w:t>1式3份。</w:t>
      </w:r>
    </w:p>
    <w:p w14:paraId="6FB23BB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五、项目分包情况</w:t>
      </w:r>
    </w:p>
    <w:p w14:paraId="33F2EB3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该项目无分包。</w:t>
      </w:r>
    </w:p>
    <w:p w14:paraId="3EDE473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六、商务要求</w:t>
      </w:r>
    </w:p>
    <w:p w14:paraId="5B6391B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（一）合同签订日期</w:t>
      </w:r>
    </w:p>
    <w:p w14:paraId="7B91116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自成交通知书发出之日起5个工作日内。</w:t>
      </w:r>
    </w:p>
    <w:p w14:paraId="34960D8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（二）服务期限</w:t>
      </w:r>
    </w:p>
    <w:p w14:paraId="3A7E7A2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bookmarkStart w:id="31" w:name="OLE_LINK35"/>
      <w:r>
        <w:rPr>
          <w:rFonts w:hint="eastAsia" w:ascii="仿宋" w:hAnsi="仿宋" w:eastAsia="仿宋" w:cs="仿宋"/>
          <w:color w:val="auto"/>
          <w:sz w:val="32"/>
          <w:szCs w:val="32"/>
          <w:lang w:val="en-US" w:eastAsia="zh-CN"/>
        </w:rPr>
        <w:t>自合同签订之日起至2025年9月30日</w:t>
      </w:r>
      <w:bookmarkEnd w:id="31"/>
      <w:r>
        <w:rPr>
          <w:rFonts w:hint="eastAsia" w:ascii="仿宋" w:hAnsi="仿宋" w:eastAsia="仿宋" w:cs="仿宋"/>
          <w:color w:val="auto"/>
          <w:sz w:val="32"/>
          <w:szCs w:val="32"/>
          <w:lang w:val="en-US" w:eastAsia="zh-CN"/>
        </w:rPr>
        <w:t>。</w:t>
      </w:r>
    </w:p>
    <w:p w14:paraId="73F0ABA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（三）服务成果提交地点</w:t>
      </w:r>
    </w:p>
    <w:p w14:paraId="1E7A604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广西壮族自治区南宁市佛子岭路16号</w:t>
      </w:r>
      <w:bookmarkStart w:id="32" w:name="OLE_LINK5"/>
      <w:r>
        <w:rPr>
          <w:rFonts w:hint="eastAsia" w:ascii="仿宋" w:hAnsi="仿宋" w:eastAsia="仿宋" w:cs="仿宋"/>
          <w:color w:val="auto"/>
          <w:sz w:val="32"/>
          <w:szCs w:val="32"/>
          <w:lang w:val="en-US" w:eastAsia="zh-CN"/>
        </w:rPr>
        <w:t>广西壮族自治区生态环境厅生态环境保护综合行政执法局</w:t>
      </w:r>
      <w:bookmarkEnd w:id="32"/>
      <w:r>
        <w:rPr>
          <w:rFonts w:hint="eastAsia" w:ascii="仿宋" w:hAnsi="仿宋" w:eastAsia="仿宋" w:cs="仿宋"/>
          <w:color w:val="auto"/>
          <w:sz w:val="32"/>
          <w:szCs w:val="32"/>
          <w:lang w:val="en-US" w:eastAsia="zh-CN"/>
        </w:rPr>
        <w:t>。</w:t>
      </w:r>
    </w:p>
    <w:p w14:paraId="5D8F55A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（四）付款方式</w:t>
      </w:r>
    </w:p>
    <w:p w14:paraId="02DD15E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bookmarkStart w:id="33" w:name="OLE_LINK19"/>
      <w:r>
        <w:rPr>
          <w:rFonts w:hint="eastAsia" w:ascii="仿宋" w:hAnsi="仿宋" w:eastAsia="仿宋" w:cs="仿宋"/>
          <w:color w:val="auto"/>
          <w:sz w:val="32"/>
          <w:szCs w:val="32"/>
          <w:lang w:val="en-US" w:eastAsia="zh-CN"/>
        </w:rPr>
        <w:t>1.签订合同之日起5 个工作日内，采购人向成交供应商支付合同总金额的50%</w:t>
      </w:r>
      <w:bookmarkStart w:id="34" w:name="OLE_LINK28"/>
      <w:r>
        <w:rPr>
          <w:rFonts w:hint="eastAsia" w:ascii="仿宋" w:hAnsi="仿宋" w:eastAsia="仿宋" w:cs="仿宋"/>
          <w:color w:val="auto"/>
          <w:sz w:val="32"/>
          <w:szCs w:val="32"/>
          <w:lang w:val="en-US" w:eastAsia="zh-CN"/>
        </w:rPr>
        <w:t>；提交</w:t>
      </w:r>
      <w:bookmarkEnd w:id="34"/>
      <w:r>
        <w:rPr>
          <w:rFonts w:hint="eastAsia" w:ascii="仿宋" w:hAnsi="仿宋" w:eastAsia="仿宋" w:cs="仿宋"/>
          <w:color w:val="auto"/>
          <w:sz w:val="32"/>
          <w:szCs w:val="32"/>
          <w:lang w:val="en-US" w:eastAsia="zh-CN"/>
        </w:rPr>
        <w:t>预算绩效自评报告经采购人确认合格后支付合同总金额的 30%；提交</w:t>
      </w:r>
      <w:r>
        <w:rPr>
          <w:rFonts w:ascii="仿宋_GB2312" w:hAnsi="仿宋_GB2312" w:eastAsia="仿宋_GB2312" w:cs="仿宋_GB2312"/>
          <w:b w:val="0"/>
          <w:color w:val="auto"/>
          <w:sz w:val="32"/>
          <w:szCs w:val="32"/>
        </w:rPr>
        <w:t>预算绩效监控报告</w:t>
      </w:r>
      <w:bookmarkStart w:id="35" w:name="OLE_LINK30"/>
      <w:r>
        <w:rPr>
          <w:rFonts w:hint="eastAsia" w:ascii="仿宋" w:hAnsi="仿宋" w:eastAsia="仿宋" w:cs="仿宋"/>
          <w:color w:val="auto"/>
          <w:sz w:val="32"/>
          <w:szCs w:val="32"/>
          <w:lang w:val="en-US" w:eastAsia="zh-CN"/>
        </w:rPr>
        <w:t>经采购人确认合格后</w:t>
      </w:r>
      <w:bookmarkEnd w:id="35"/>
      <w:r>
        <w:rPr>
          <w:rFonts w:hint="eastAsia" w:ascii="仿宋" w:hAnsi="仿宋" w:eastAsia="仿宋" w:cs="仿宋"/>
          <w:color w:val="auto"/>
          <w:sz w:val="32"/>
          <w:szCs w:val="32"/>
          <w:lang w:val="en-US" w:eastAsia="zh-CN"/>
        </w:rPr>
        <w:t>支付合同总金额的20%。</w:t>
      </w:r>
    </w:p>
    <w:p w14:paraId="79C83AF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采购人在支付每笔款项前，成交供应商应当提供可供政府审计并且符合税务规定的正式发票，否则采购人有权拒付相应款项直至成交供应商能提供符合规定的发票为止；采购人在收到发票10个工作日内支付相应金额。</w:t>
      </w:r>
    </w:p>
    <w:bookmarkEnd w:id="33"/>
    <w:p w14:paraId="069A0AD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（五）服务要求</w:t>
      </w:r>
    </w:p>
    <w:p w14:paraId="4FF0179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1.专业能力要求</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供应商需具备预算绩效管理相关经验，熟悉财政资金管理、项目管理和财务管理的政策法规</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服务团队中</w:t>
      </w:r>
      <w:r>
        <w:rPr>
          <w:rFonts w:hint="eastAsia" w:ascii="仿宋" w:hAnsi="仿宋" w:eastAsia="仿宋" w:cs="仿宋"/>
          <w:color w:val="auto"/>
          <w:sz w:val="32"/>
          <w:szCs w:val="32"/>
          <w:lang w:val="en-US" w:eastAsia="zh-CN"/>
        </w:rPr>
        <w:t>至少应有3名</w:t>
      </w:r>
      <w:r>
        <w:rPr>
          <w:rFonts w:hint="default" w:ascii="仿宋" w:hAnsi="仿宋" w:eastAsia="仿宋" w:cs="仿宋"/>
          <w:color w:val="auto"/>
          <w:sz w:val="32"/>
          <w:szCs w:val="32"/>
          <w:lang w:val="en-US" w:eastAsia="zh-CN"/>
        </w:rPr>
        <w:t>具有预算绩效管理相关工作经验的专业人员，其中项目负责人需具有</w:t>
      </w:r>
      <w:r>
        <w:rPr>
          <w:rFonts w:hint="eastAsia" w:ascii="仿宋" w:hAnsi="仿宋" w:eastAsia="仿宋" w:cs="仿宋"/>
          <w:color w:val="auto"/>
          <w:sz w:val="32"/>
          <w:szCs w:val="32"/>
          <w:lang w:val="en-US" w:eastAsia="zh-CN"/>
        </w:rPr>
        <w:t>3</w:t>
      </w:r>
      <w:r>
        <w:rPr>
          <w:rFonts w:hint="default" w:ascii="仿宋" w:hAnsi="仿宋" w:eastAsia="仿宋" w:cs="仿宋"/>
          <w:color w:val="auto"/>
          <w:sz w:val="32"/>
          <w:szCs w:val="32"/>
          <w:lang w:val="en-US" w:eastAsia="zh-CN"/>
        </w:rPr>
        <w:t>年以上相关经验。</w:t>
      </w:r>
    </w:p>
    <w:p w14:paraId="6722BC5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2.</w:t>
      </w:r>
      <w:r>
        <w:rPr>
          <w:rFonts w:hint="eastAsia" w:ascii="仿宋" w:hAnsi="仿宋" w:eastAsia="仿宋" w:cs="仿宋"/>
          <w:color w:val="auto"/>
          <w:sz w:val="32"/>
          <w:szCs w:val="32"/>
          <w:lang w:val="en-US" w:eastAsia="zh-CN"/>
        </w:rPr>
        <w:t>完成时间要求，</w:t>
      </w:r>
      <w:r>
        <w:rPr>
          <w:rFonts w:hint="default" w:ascii="仿宋" w:hAnsi="仿宋" w:eastAsia="仿宋" w:cs="仿宋"/>
          <w:color w:val="auto"/>
          <w:sz w:val="32"/>
          <w:szCs w:val="32"/>
          <w:lang w:val="en-US" w:eastAsia="zh-CN"/>
        </w:rPr>
        <w:t xml:space="preserve"> 供应商需在合同签订后30个工作日内完成2024年预算绩效自评审核及报告撰写；</w:t>
      </w:r>
      <w:r>
        <w:rPr>
          <w:rFonts w:hint="eastAsia" w:ascii="仿宋" w:hAnsi="仿宋" w:eastAsia="仿宋" w:cs="仿宋"/>
          <w:color w:val="auto"/>
          <w:sz w:val="32"/>
          <w:szCs w:val="32"/>
          <w:lang w:val="en-US" w:eastAsia="zh-CN"/>
        </w:rPr>
        <w:t>2025年9月10日前</w:t>
      </w:r>
      <w:bookmarkStart w:id="37" w:name="_GoBack"/>
      <w:r>
        <w:rPr>
          <w:rFonts w:hint="eastAsia" w:ascii="仿宋" w:hAnsi="仿宋" w:eastAsia="仿宋" w:cs="仿宋"/>
          <w:color w:val="auto"/>
          <w:sz w:val="32"/>
          <w:szCs w:val="32"/>
          <w:lang w:val="en-US" w:eastAsia="zh-CN"/>
        </w:rPr>
        <w:t>完成</w:t>
      </w:r>
      <w:bookmarkEnd w:id="37"/>
      <w:r>
        <w:rPr>
          <w:rFonts w:hint="default" w:ascii="仿宋" w:hAnsi="仿宋" w:eastAsia="仿宋" w:cs="仿宋"/>
          <w:color w:val="auto"/>
          <w:sz w:val="32"/>
          <w:szCs w:val="32"/>
          <w:lang w:val="en-US" w:eastAsia="zh-CN"/>
        </w:rPr>
        <w:t>2025年预算执行绩效监控审核清单及监控报告。</w:t>
      </w:r>
    </w:p>
    <w:p w14:paraId="0A31624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default" w:ascii="仿宋" w:hAnsi="仿宋" w:eastAsia="仿宋" w:cs="仿宋"/>
          <w:color w:val="auto"/>
          <w:sz w:val="32"/>
          <w:szCs w:val="32"/>
          <w:lang w:val="en-US" w:eastAsia="zh-CN"/>
        </w:rPr>
        <w:t>.服务质量要求</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审核工作需严谨细致，确保数据准确、问题分析透彻、</w:t>
      </w:r>
      <w:r>
        <w:rPr>
          <w:rFonts w:hint="eastAsia" w:ascii="仿宋" w:hAnsi="仿宋" w:eastAsia="仿宋" w:cs="仿宋"/>
          <w:color w:val="auto"/>
          <w:sz w:val="32"/>
          <w:szCs w:val="32"/>
          <w:lang w:val="en-US" w:eastAsia="zh-CN"/>
        </w:rPr>
        <w:t>提供整改措施</w:t>
      </w:r>
      <w:r>
        <w:rPr>
          <w:rFonts w:hint="default" w:ascii="仿宋" w:hAnsi="仿宋" w:eastAsia="仿宋" w:cs="仿宋"/>
          <w:color w:val="auto"/>
          <w:sz w:val="32"/>
          <w:szCs w:val="32"/>
          <w:lang w:val="en-US" w:eastAsia="zh-CN"/>
        </w:rPr>
        <w:t>切实可行。</w:t>
      </w:r>
    </w:p>
    <w:p w14:paraId="7E33493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（六）质量保证</w:t>
      </w:r>
    </w:p>
    <w:p w14:paraId="7F4EE70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成交供应商须切实按比选公告要求，履行各项服务承诺，保证服务的质量。</w:t>
      </w:r>
    </w:p>
    <w:p w14:paraId="0B30CAA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（七）其他要求</w:t>
      </w:r>
    </w:p>
    <w:p w14:paraId="6EC1AA8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供应商如有，可自行根据项目要求，在响应文件中提供针对本项目的服务方案、项目实施方案、服务承诺、拟投入人员及业绩等相关材料。</w:t>
      </w:r>
    </w:p>
    <w:p w14:paraId="508F9EC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p>
    <w:p w14:paraId="28FCBA6A">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仿宋" w:hAnsi="仿宋" w:eastAsia="仿宋" w:cs="仿宋"/>
          <w:color w:val="auto"/>
          <w:sz w:val="32"/>
          <w:szCs w:val="32"/>
          <w:lang w:val="en-US" w:eastAsia="zh-CN"/>
        </w:rPr>
      </w:pPr>
    </w:p>
    <w:p w14:paraId="1D26F832">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仿宋" w:hAnsi="仿宋" w:eastAsia="仿宋" w:cs="仿宋"/>
          <w:color w:val="auto"/>
          <w:sz w:val="32"/>
          <w:szCs w:val="32"/>
          <w:lang w:val="en-US" w:eastAsia="zh-CN"/>
        </w:rPr>
      </w:pPr>
    </w:p>
    <w:p w14:paraId="61E77C7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default" w:ascii="仿宋" w:hAnsi="仿宋" w:eastAsia="仿宋" w:cs="仿宋"/>
          <w:color w:val="auto"/>
          <w:sz w:val="32"/>
          <w:szCs w:val="32"/>
          <w:lang w:val="en-US" w:eastAsia="zh-CN"/>
        </w:rPr>
      </w:pPr>
    </w:p>
    <w:p w14:paraId="48A9881E">
      <w:pPr>
        <w:keepNext w:val="0"/>
        <w:keepLines w:val="0"/>
        <w:pageBreakBefore w:val="0"/>
        <w:widowControl w:val="0"/>
        <w:kinsoku/>
        <w:wordWrap/>
        <w:overflowPunct/>
        <w:topLinePunct w:val="0"/>
        <w:autoSpaceDE/>
        <w:autoSpaceDN/>
        <w:bidi w:val="0"/>
        <w:adjustRightInd/>
        <w:snapToGrid/>
        <w:spacing w:line="600" w:lineRule="exact"/>
        <w:ind w:firstLine="3200" w:firstLineChars="10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编制单位：</w:t>
      </w:r>
      <w:bookmarkStart w:id="36" w:name="OLE_LINK9"/>
      <w:r>
        <w:rPr>
          <w:rFonts w:hint="eastAsia" w:ascii="仿宋" w:hAnsi="仿宋" w:eastAsia="仿宋" w:cs="仿宋"/>
          <w:color w:val="auto"/>
          <w:sz w:val="32"/>
          <w:szCs w:val="32"/>
          <w:lang w:val="en-US" w:eastAsia="zh-CN"/>
        </w:rPr>
        <w:t>广西壮族自治区生态环境厅</w:t>
      </w:r>
    </w:p>
    <w:p w14:paraId="7E91F6CC">
      <w:pPr>
        <w:keepNext w:val="0"/>
        <w:keepLines w:val="0"/>
        <w:pageBreakBefore w:val="0"/>
        <w:widowControl w:val="0"/>
        <w:kinsoku/>
        <w:wordWrap/>
        <w:overflowPunct/>
        <w:topLinePunct w:val="0"/>
        <w:autoSpaceDE/>
        <w:autoSpaceDN/>
        <w:bidi w:val="0"/>
        <w:adjustRightInd/>
        <w:snapToGrid/>
        <w:spacing w:line="600" w:lineRule="exact"/>
        <w:ind w:firstLine="4480" w:firstLineChars="14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生态环境保护综合行政执法局</w:t>
      </w:r>
      <w:bookmarkEnd w:id="36"/>
    </w:p>
    <w:p w14:paraId="7385883F">
      <w:pPr>
        <w:keepNext w:val="0"/>
        <w:keepLines w:val="0"/>
        <w:pageBreakBefore w:val="0"/>
        <w:widowControl w:val="0"/>
        <w:kinsoku/>
        <w:wordWrap/>
        <w:overflowPunct/>
        <w:topLinePunct w:val="0"/>
        <w:autoSpaceDE/>
        <w:autoSpaceDN/>
        <w:bidi w:val="0"/>
        <w:adjustRightInd/>
        <w:snapToGrid/>
        <w:spacing w:line="600" w:lineRule="exact"/>
        <w:ind w:firstLine="3200" w:firstLineChars="10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科室负责人：</w:t>
      </w:r>
    </w:p>
    <w:p w14:paraId="73EC2D55">
      <w:pPr>
        <w:keepNext w:val="0"/>
        <w:keepLines w:val="0"/>
        <w:pageBreakBefore w:val="0"/>
        <w:widowControl w:val="0"/>
        <w:kinsoku/>
        <w:wordWrap/>
        <w:overflowPunct/>
        <w:topLinePunct w:val="0"/>
        <w:autoSpaceDE/>
        <w:autoSpaceDN/>
        <w:bidi w:val="0"/>
        <w:adjustRightInd/>
        <w:snapToGrid/>
        <w:spacing w:line="600" w:lineRule="exact"/>
        <w:ind w:firstLine="3200" w:firstLineChars="10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分管领导：</w:t>
      </w:r>
    </w:p>
    <w:p w14:paraId="33C10C88">
      <w:pPr>
        <w:keepNext w:val="0"/>
        <w:keepLines w:val="0"/>
        <w:pageBreakBefore w:val="0"/>
        <w:widowControl w:val="0"/>
        <w:kinsoku/>
        <w:wordWrap/>
        <w:overflowPunct/>
        <w:topLinePunct w:val="0"/>
        <w:autoSpaceDE/>
        <w:autoSpaceDN/>
        <w:bidi w:val="0"/>
        <w:adjustRightInd/>
        <w:snapToGrid/>
        <w:spacing w:line="600" w:lineRule="exact"/>
        <w:ind w:firstLine="3200" w:firstLineChars="10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主要领导：</w:t>
      </w:r>
    </w:p>
    <w:p w14:paraId="695F26C8">
      <w:pPr>
        <w:keepNext w:val="0"/>
        <w:keepLines w:val="0"/>
        <w:pageBreakBefore w:val="0"/>
        <w:widowControl w:val="0"/>
        <w:kinsoku/>
        <w:wordWrap/>
        <w:overflowPunct/>
        <w:topLinePunct w:val="0"/>
        <w:autoSpaceDE/>
        <w:autoSpaceDN/>
        <w:bidi w:val="0"/>
        <w:adjustRightInd/>
        <w:snapToGrid/>
        <w:spacing w:line="600" w:lineRule="exact"/>
        <w:ind w:firstLine="3200" w:firstLineChars="1000"/>
        <w:jc w:val="lef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编制时间：2025年3月25日</w:t>
      </w:r>
    </w:p>
    <w:p w14:paraId="15895C37">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default" w:ascii="仿宋" w:hAnsi="仿宋" w:eastAsia="仿宋" w:cs="仿宋"/>
          <w:sz w:val="32"/>
          <w:szCs w:val="32"/>
          <w:lang w:val="en-US" w:eastAsia="zh-CN"/>
        </w:rPr>
      </w:pPr>
    </w:p>
    <w:sectPr>
      <w:footerReference r:id="rId3" w:type="default"/>
      <w:pgSz w:w="11906" w:h="16838"/>
      <w:pgMar w:top="1440" w:right="1361" w:bottom="1701" w:left="1587" w:header="1134" w:footer="1304"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58EEA">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8A860">
                          <w:pPr>
                            <w:pStyle w:val="2"/>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7E8A860">
                    <w:pPr>
                      <w:pStyle w:val="2"/>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2A1E4E"/>
    <w:multiLevelType w:val="singleLevel"/>
    <w:tmpl w:val="512A1E4E"/>
    <w:lvl w:ilvl="0" w:tentative="0">
      <w:start w:val="1"/>
      <w:numFmt w:val="chineseCounting"/>
      <w:suff w:val="nothing"/>
      <w:lvlText w:val="（%1）"/>
      <w:lvlJc w:val="left"/>
      <w:rPr>
        <w:rFonts w:hint="eastAsia"/>
      </w:rPr>
    </w:lvl>
  </w:abstractNum>
  <w:abstractNum w:abstractNumId="1">
    <w:nsid w:val="58A9A026"/>
    <w:multiLevelType w:val="singleLevel"/>
    <w:tmpl w:val="58A9A026"/>
    <w:lvl w:ilvl="0" w:tentative="0">
      <w:start w:val="4"/>
      <w:numFmt w:val="chineseCounting"/>
      <w:suff w:val="nothing"/>
      <w:lvlText w:val="%1、"/>
      <w:lvlJc w:val="left"/>
      <w:pPr>
        <w:ind w:left="640" w:leftChars="0" w:firstLine="0" w:firstLineChars="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D6054"/>
    <w:rsid w:val="01CC3CAB"/>
    <w:rsid w:val="02F42526"/>
    <w:rsid w:val="043F31FA"/>
    <w:rsid w:val="047837DE"/>
    <w:rsid w:val="060D043C"/>
    <w:rsid w:val="06DF53D8"/>
    <w:rsid w:val="079F5CDF"/>
    <w:rsid w:val="0929376A"/>
    <w:rsid w:val="097C1111"/>
    <w:rsid w:val="0C7B3C50"/>
    <w:rsid w:val="0E1A5040"/>
    <w:rsid w:val="112D3084"/>
    <w:rsid w:val="116E45AE"/>
    <w:rsid w:val="118542DF"/>
    <w:rsid w:val="119B3977"/>
    <w:rsid w:val="124826EE"/>
    <w:rsid w:val="12E1202B"/>
    <w:rsid w:val="14ED1428"/>
    <w:rsid w:val="15113035"/>
    <w:rsid w:val="16EF3545"/>
    <w:rsid w:val="1852263D"/>
    <w:rsid w:val="186133E3"/>
    <w:rsid w:val="1C675A35"/>
    <w:rsid w:val="1C984587"/>
    <w:rsid w:val="1D865877"/>
    <w:rsid w:val="1ED42D4A"/>
    <w:rsid w:val="219316B0"/>
    <w:rsid w:val="21E834B7"/>
    <w:rsid w:val="25256888"/>
    <w:rsid w:val="25B45233"/>
    <w:rsid w:val="26847682"/>
    <w:rsid w:val="26D32546"/>
    <w:rsid w:val="28FE22E5"/>
    <w:rsid w:val="2AA276DC"/>
    <w:rsid w:val="325E62FB"/>
    <w:rsid w:val="33CB3E41"/>
    <w:rsid w:val="340B6478"/>
    <w:rsid w:val="35FB21A2"/>
    <w:rsid w:val="36886074"/>
    <w:rsid w:val="37160381"/>
    <w:rsid w:val="382E225D"/>
    <w:rsid w:val="3BDE0D72"/>
    <w:rsid w:val="4B790FD5"/>
    <w:rsid w:val="4C5E47FA"/>
    <w:rsid w:val="4D261D13"/>
    <w:rsid w:val="4EFF1E32"/>
    <w:rsid w:val="50743FD5"/>
    <w:rsid w:val="509A5A27"/>
    <w:rsid w:val="53E407AE"/>
    <w:rsid w:val="544F76FA"/>
    <w:rsid w:val="56F86F1A"/>
    <w:rsid w:val="5AE90CD4"/>
    <w:rsid w:val="5B797429"/>
    <w:rsid w:val="5B997C43"/>
    <w:rsid w:val="5C111649"/>
    <w:rsid w:val="5C4756F6"/>
    <w:rsid w:val="5F824D58"/>
    <w:rsid w:val="5FB17133"/>
    <w:rsid w:val="601F1A6B"/>
    <w:rsid w:val="60BA44A2"/>
    <w:rsid w:val="612178AB"/>
    <w:rsid w:val="627C6CCA"/>
    <w:rsid w:val="66DC3367"/>
    <w:rsid w:val="68D620A1"/>
    <w:rsid w:val="6B600682"/>
    <w:rsid w:val="73941242"/>
    <w:rsid w:val="75EA4C5E"/>
    <w:rsid w:val="76C115D5"/>
    <w:rsid w:val="78881DCB"/>
    <w:rsid w:val="7CE965FB"/>
    <w:rsid w:val="7DD90200"/>
    <w:rsid w:val="7DDD2722"/>
    <w:rsid w:val="7E452C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2588</Words>
  <Characters>2675</Characters>
  <Lines>0</Lines>
  <Paragraphs>0</Paragraphs>
  <TotalTime>18</TotalTime>
  <ScaleCrop>false</ScaleCrop>
  <LinksUpToDate>false</LinksUpToDate>
  <CharactersWithSpaces>2679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2025-03-20T03:19:00Z</dcterms:created>
  <dc:creator>hbt</dc:creator>
  <cp:lastModifiedBy></cp:lastModifiedBy>
  <cp:lastPrinted>2025-04-03T01:51:00Z</cp:lastPrinted>
  <dcterms:modified xsi:type="dcterms:W3CDTF">2025-04-18T08:18:40Z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eyJoZGlkIjoiZGNhN2YyZTk1NWZhOTUwODI2Y2E1YWI4OTUxN2E1OGYiLCJ1c2VySWQiOiIzMDI3OTUwMTgifQ==</vt:lpwstr>
  </property>
  <property fmtid="{D5CDD505-2E9C-101B-9397-08002B2CF9AE}" pid="4" name="ICV">
    <vt:lpwstr>34B11D767FEB4F82B43E9EA274A56F30_12</vt:lpwstr>
  </property>
</Properties>
</file>