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9568">
      <w:pPr>
        <w:widowControl/>
        <w:snapToGrid w:val="0"/>
        <w:spacing w:line="60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标准物质采购商务要求</w:t>
      </w:r>
    </w:p>
    <w:p w14:paraId="2BAC2B3C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</w:p>
    <w:p w14:paraId="144114EA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标准物质采购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要求：</w:t>
      </w:r>
    </w:p>
    <w:p w14:paraId="27962EDF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</w:p>
    <w:p w14:paraId="19E5E897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）中标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承诺保证其具备履行本合同所必需的合法主体资格及供应本合同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标准物质研制单位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的相应的资格、资质和能力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附有相应的证明文件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方每次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交货时须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附上标准物质出库详单（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格式内容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见下页附件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）。</w:t>
      </w:r>
    </w:p>
    <w:p w14:paraId="3FB42573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）中标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保证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照标物证书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有关要求进行包装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保存并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运输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合同交货地点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，否则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承担相应的违约责任并赔偿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en-US"/>
        </w:rPr>
        <w:t>损失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。中标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提供的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必须原装、全新、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为该标物在该品牌的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最新生产批号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，其证书上的标准号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、出厂批号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与外包装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一致并可索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源，同时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满足国家及行业强制性标准及规范，并符合采购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提出的有关质量标准。采购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根据采购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的技术要求和国家有关质量标准进行现场验收，符合采购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技术要求的，给予签收，初步验收不合格的不予签收。</w:t>
      </w:r>
    </w:p>
    <w:p w14:paraId="5A21B476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）所有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在开箱检验时必须完好，无破损，配置与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出库详单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相符。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物外观清洁，标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签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字体清晰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lang w:eastAsia="zh-CN"/>
        </w:rPr>
        <w:t>，符合商务需求的有效期要求（需求清单中特殊备注的按需求清单执行）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国外品牌标物外包装上须标识中文名称和批号。标物每一支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（瓶）提供一张纸质证书和电子证书（无电子证书提供证书扫描件）。</w:t>
      </w:r>
      <w:bookmarkStart w:id="0" w:name="_GoBack"/>
      <w:bookmarkEnd w:id="0"/>
    </w:p>
    <w:p w14:paraId="2862EC0B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）国产标准物质货期为10个自然日，进口标准物质货期为30个自然日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，需求清单标注有时间段供货的，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按照时间段供货。</w:t>
      </w:r>
    </w:p>
    <w:p w14:paraId="6030C092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五）需求时如有以下情况，应在供货前与采购方确认后，方可供货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：</w:t>
      </w:r>
    </w:p>
    <w:p w14:paraId="1CC42EDB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1、已标明货号，如无货或有最新出厂生产标号或剩余保质期小于6个月的；</w:t>
      </w:r>
    </w:p>
    <w:p w14:paraId="36D156DF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2、未标明货号；</w:t>
      </w:r>
    </w:p>
    <w:p w14:paraId="6818B89D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如果需求批号无货或供货期过长，经与采购方协商确认后，可更换相同价位下，不同品牌或不同型号货品（更换货品价值不得超过中标价格的10%）。</w:t>
      </w:r>
    </w:p>
    <w:p w14:paraId="51B5B74B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4、符合上述情况的，在与采购方确认后，可不受第（四）点货期限制。</w:t>
      </w:r>
    </w:p>
    <w:p w14:paraId="75D08741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</w:pPr>
    </w:p>
    <w:p w14:paraId="1E6F01FB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的验收：</w:t>
      </w:r>
    </w:p>
    <w:p w14:paraId="3082660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6109A940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（一）验收按国家有关的规定、规范进行。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质控要求符合采购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需求的质量控制标准或有效试验判断标准要求。</w:t>
      </w:r>
    </w:p>
    <w:p w14:paraId="6BA7F78E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（二）对于相关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，若不能在收到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时进行验收的，采购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在使用过程中发现有质量问题的，中标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 xml:space="preserve">需在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个工作日内无条件换货。</w:t>
      </w:r>
    </w:p>
    <w:p w14:paraId="1A42DDDF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</w:p>
    <w:p w14:paraId="10046D06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质量保证及售后服务：</w:t>
      </w:r>
    </w:p>
    <w:p w14:paraId="0CC5881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3FEF36C6">
      <w:pPr>
        <w:numPr>
          <w:ilvl w:val="0"/>
          <w:numId w:val="2"/>
        </w:numPr>
        <w:jc w:val="left"/>
        <w:rPr>
          <w:rFonts w:hint="default" w:ascii="Times New Roman" w:hAnsi="Times New Roman" w:eastAsia="仿宋_GB2312" w:cs="Times New Roman"/>
          <w:color w:val="auto"/>
          <w:kern w:val="0"/>
          <w:sz w:val="2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质量保证期：从验收合格之日起计，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标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物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剩余有效期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不少于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标物总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有效期的三分之二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，有机类标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物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剩余有效期不少于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10个月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val="en-US" w:eastAsia="zh-CN"/>
        </w:rPr>
        <w:t>供货前已获采购方确认同意的除外）。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3个月内因质量问题须包换。如有在质量保证范围和质量保证期内发生非因采购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正常使用造成的质量问题的，中标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应在收到有关通知后 7 天内予以更换。质保期内全部服务费和更换货物的费用由中标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  <w:lang w:eastAsia="zh-CN"/>
        </w:rPr>
        <w:t>方</w:t>
      </w:r>
      <w:r>
        <w:rPr>
          <w:rFonts w:hint="default" w:ascii="Times New Roman" w:hAnsi="Times New Roman" w:eastAsia="仿宋_GB2312" w:cs="Times New Roman"/>
          <w:color w:val="auto"/>
          <w:kern w:val="0"/>
          <w:sz w:val="22"/>
        </w:rPr>
        <w:t>承担。</w:t>
      </w:r>
    </w:p>
    <w:p w14:paraId="52838FF4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1173F3FE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标物货款结算：</w:t>
      </w:r>
    </w:p>
    <w:p w14:paraId="1034E85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7D9A0574">
      <w:pPr>
        <w:numPr>
          <w:ilvl w:val="0"/>
          <w:numId w:val="0"/>
        </w:numPr>
        <w:ind w:leftChars="0" w:firstLine="4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标物货款可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阶段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支付：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方在部分供货后，经采购方验收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方可向采购方申请阶段性结算。在所有标物提供给采购方并经验收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，采购方支付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剩余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货款。</w:t>
      </w:r>
    </w:p>
    <w:p w14:paraId="4FC637DC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3F6998B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它</w:t>
      </w:r>
    </w:p>
    <w:p w14:paraId="5F317453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p w14:paraId="4B03A9DD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▲1、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highlight w:val="yellow"/>
        </w:rPr>
        <w:t>本项目采购标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highlight w:val="yellow"/>
          <w:lang w:eastAsia="zh-CN"/>
        </w:rPr>
        <w:t>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highlight w:val="yellow"/>
          <w:lang w:val="en-US" w:eastAsia="zh-CN"/>
        </w:rPr>
        <w:t>原则上需满足需求清单上所标注的各类技术要求，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需执行国家相关标准、行业标准、地方标准或其他强制性标准、规范等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的要求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。</w:t>
      </w:r>
    </w:p>
    <w:p w14:paraId="02A9F195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▲2、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  <w:t>标物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</w:rPr>
        <w:t>如为进口的，供货时需提供生产厂家或代理商针对本次项目的授权书（代理商的还需提供提供厂家授权）、供货证明、售后服务承诺书复印件及质量检测报告复印件。</w:t>
      </w:r>
    </w:p>
    <w:p w14:paraId="15AFE860">
      <w:pPr>
        <w:jc w:val="left"/>
        <w:rPr>
          <w:rFonts w:hint="default" w:ascii="Times New Roman" w:hAnsi="Times New Roman" w:eastAsia="仿宋_GB2312" w:cs="Times New Roman"/>
          <w:color w:val="000000"/>
          <w:kern w:val="0"/>
          <w:sz w:val="22"/>
          <w:lang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86E27"/>
    <w:multiLevelType w:val="singleLevel"/>
    <w:tmpl w:val="85F86E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4E81B3F"/>
    <w:multiLevelType w:val="singleLevel"/>
    <w:tmpl w:val="14E81B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ThiMjQxZmQ2MmY1NGJlZGUxNDkzMWE5OGZkMzQifQ=="/>
  </w:docVars>
  <w:rsids>
    <w:rsidRoot w:val="22B6208D"/>
    <w:rsid w:val="00010A5A"/>
    <w:rsid w:val="0004075B"/>
    <w:rsid w:val="00051E44"/>
    <w:rsid w:val="000B56C0"/>
    <w:rsid w:val="00171F12"/>
    <w:rsid w:val="00210AA5"/>
    <w:rsid w:val="00263B15"/>
    <w:rsid w:val="002E1943"/>
    <w:rsid w:val="002E391E"/>
    <w:rsid w:val="003A42E8"/>
    <w:rsid w:val="004308C6"/>
    <w:rsid w:val="00454FE7"/>
    <w:rsid w:val="00461EA2"/>
    <w:rsid w:val="00491CFC"/>
    <w:rsid w:val="004A2959"/>
    <w:rsid w:val="00517C8F"/>
    <w:rsid w:val="005247E9"/>
    <w:rsid w:val="00526657"/>
    <w:rsid w:val="005B5BC1"/>
    <w:rsid w:val="005C5956"/>
    <w:rsid w:val="00782E66"/>
    <w:rsid w:val="008376C3"/>
    <w:rsid w:val="008B6656"/>
    <w:rsid w:val="009036B4"/>
    <w:rsid w:val="00957091"/>
    <w:rsid w:val="009B481B"/>
    <w:rsid w:val="009D0D8E"/>
    <w:rsid w:val="00A74D6F"/>
    <w:rsid w:val="00A90C1C"/>
    <w:rsid w:val="00AF47C5"/>
    <w:rsid w:val="00B01705"/>
    <w:rsid w:val="00B24504"/>
    <w:rsid w:val="00B51906"/>
    <w:rsid w:val="00B57933"/>
    <w:rsid w:val="00B81AC5"/>
    <w:rsid w:val="00BD4691"/>
    <w:rsid w:val="00BE6177"/>
    <w:rsid w:val="00BF1E4C"/>
    <w:rsid w:val="00C24B42"/>
    <w:rsid w:val="00C30CC9"/>
    <w:rsid w:val="00C83C0C"/>
    <w:rsid w:val="00C84904"/>
    <w:rsid w:val="00D449BE"/>
    <w:rsid w:val="00D52017"/>
    <w:rsid w:val="00DB7A26"/>
    <w:rsid w:val="00DE1A2C"/>
    <w:rsid w:val="00DE749E"/>
    <w:rsid w:val="00E80290"/>
    <w:rsid w:val="00EE0B8F"/>
    <w:rsid w:val="00F64B30"/>
    <w:rsid w:val="00FC6DF5"/>
    <w:rsid w:val="09C87ECD"/>
    <w:rsid w:val="0AE71708"/>
    <w:rsid w:val="0BA731D7"/>
    <w:rsid w:val="0E9C67CC"/>
    <w:rsid w:val="0EA276E3"/>
    <w:rsid w:val="10070FE4"/>
    <w:rsid w:val="12A57708"/>
    <w:rsid w:val="161E0493"/>
    <w:rsid w:val="19D15638"/>
    <w:rsid w:val="19ED1CDC"/>
    <w:rsid w:val="1A2C17C1"/>
    <w:rsid w:val="1B6A6322"/>
    <w:rsid w:val="1BE92C62"/>
    <w:rsid w:val="1F780798"/>
    <w:rsid w:val="200932D7"/>
    <w:rsid w:val="21CE1EC4"/>
    <w:rsid w:val="223036D9"/>
    <w:rsid w:val="22A9688E"/>
    <w:rsid w:val="22B6208D"/>
    <w:rsid w:val="24512D94"/>
    <w:rsid w:val="292E744C"/>
    <w:rsid w:val="2C8D6BBE"/>
    <w:rsid w:val="2E2F4000"/>
    <w:rsid w:val="31C125E3"/>
    <w:rsid w:val="368774BA"/>
    <w:rsid w:val="37042FEB"/>
    <w:rsid w:val="38255A91"/>
    <w:rsid w:val="39095162"/>
    <w:rsid w:val="39AD2755"/>
    <w:rsid w:val="3A0A3C4B"/>
    <w:rsid w:val="3AAF4669"/>
    <w:rsid w:val="3D447F8C"/>
    <w:rsid w:val="3D8F6DA6"/>
    <w:rsid w:val="407654B0"/>
    <w:rsid w:val="44A55475"/>
    <w:rsid w:val="45F51B30"/>
    <w:rsid w:val="461C2BE1"/>
    <w:rsid w:val="4C5F25DA"/>
    <w:rsid w:val="4DF54B22"/>
    <w:rsid w:val="4FE16E50"/>
    <w:rsid w:val="50F31072"/>
    <w:rsid w:val="521241DD"/>
    <w:rsid w:val="53A612D0"/>
    <w:rsid w:val="54E22AEE"/>
    <w:rsid w:val="58BB54AB"/>
    <w:rsid w:val="5B4F030A"/>
    <w:rsid w:val="5BF603BE"/>
    <w:rsid w:val="5C837DF9"/>
    <w:rsid w:val="6098672D"/>
    <w:rsid w:val="63005E5C"/>
    <w:rsid w:val="64A50EBF"/>
    <w:rsid w:val="68B1535D"/>
    <w:rsid w:val="6A0C0B0E"/>
    <w:rsid w:val="6DA34E49"/>
    <w:rsid w:val="6EE22EA6"/>
    <w:rsid w:val="7273490B"/>
    <w:rsid w:val="733E33A5"/>
    <w:rsid w:val="76270C35"/>
    <w:rsid w:val="77F62792"/>
    <w:rsid w:val="78C65B43"/>
    <w:rsid w:val="795C3FDC"/>
    <w:rsid w:val="7A880983"/>
    <w:rsid w:val="7AB37F9B"/>
    <w:rsid w:val="7F361AF6"/>
    <w:rsid w:val="7FC41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2"/>
      <w:szCs w:val="22"/>
    </w:rPr>
  </w:style>
  <w:style w:type="paragraph" w:customStyle="1" w:styleId="1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2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2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22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Cs w:val="21"/>
    </w:rPr>
  </w:style>
  <w:style w:type="paragraph" w:customStyle="1" w:styleId="24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5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Helvetica" w:hAnsi="Helvetica" w:eastAsia="宋体" w:cs="宋体"/>
      <w:kern w:val="0"/>
      <w:sz w:val="22"/>
      <w:szCs w:val="22"/>
    </w:rPr>
  </w:style>
  <w:style w:type="paragraph" w:customStyle="1" w:styleId="26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7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28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  <w:szCs w:val="22"/>
    </w:rPr>
  </w:style>
  <w:style w:type="paragraph" w:customStyle="1" w:styleId="2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Cs w:val="21"/>
    </w:rPr>
  </w:style>
  <w:style w:type="paragraph" w:customStyle="1" w:styleId="30">
    <w:name w:val="fon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3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5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kern w:val="0"/>
      <w:szCs w:val="21"/>
    </w:rPr>
  </w:style>
  <w:style w:type="paragraph" w:customStyle="1" w:styleId="5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5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5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6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6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6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6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4"/>
    </w:rPr>
  </w:style>
  <w:style w:type="paragraph" w:customStyle="1" w:styleId="65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66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Helvetica" w:hAnsi="Helvetica" w:eastAsia="宋体" w:cs="宋体"/>
      <w:kern w:val="0"/>
      <w:sz w:val="18"/>
      <w:szCs w:val="18"/>
    </w:rPr>
  </w:style>
  <w:style w:type="paragraph" w:customStyle="1" w:styleId="67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Helvetica" w:hAnsi="Helvetica" w:eastAsia="宋体" w:cs="宋体"/>
      <w:kern w:val="0"/>
      <w:szCs w:val="21"/>
    </w:rPr>
  </w:style>
  <w:style w:type="paragraph" w:customStyle="1" w:styleId="6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6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Helvetica" w:hAnsi="Helvetica" w:eastAsia="宋体" w:cs="宋体"/>
      <w:kern w:val="0"/>
      <w:sz w:val="24"/>
    </w:rPr>
  </w:style>
  <w:style w:type="paragraph" w:customStyle="1" w:styleId="70">
    <w:name w:val="xl1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7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font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75">
    <w:name w:val="font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  <w:szCs w:val="22"/>
    </w:rPr>
  </w:style>
  <w:style w:type="paragraph" w:customStyle="1" w:styleId="76">
    <w:name w:val="fon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  <w:szCs w:val="22"/>
    </w:rPr>
  </w:style>
  <w:style w:type="paragraph" w:customStyle="1" w:styleId="7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character" w:customStyle="1" w:styleId="78">
    <w:name w:val="标题 2 Char"/>
    <w:basedOn w:val="7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styleId="7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0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3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4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5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6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7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8">
    <w:name w:val="font1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12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1292</Words>
  <Characters>1308</Characters>
  <Lines>9</Lines>
  <Paragraphs>5</Paragraphs>
  <TotalTime>9</TotalTime>
  <ScaleCrop>false</ScaleCrop>
  <LinksUpToDate>false</LinksUpToDate>
  <CharactersWithSpaces>1328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2021-12-02T09:11:00Z</dcterms:created>
  <dc:creator>HP</dc:creator>
  <cp:lastModifiedBy>廖小圆</cp:lastModifiedBy>
  <cp:lastPrinted>2022-07-08T11:50:00Z</cp:lastPrinted>
  <dcterms:modified xsi:type="dcterms:W3CDTF">2025-05-26T02:57:53Z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F4E1356E2F3449888DBB2563B790A30B</vt:lpwstr>
  </property>
  <property fmtid="{D5CDD505-2E9C-101B-9397-08002B2CF9AE}" pid="4" name="KSOTemplateDocerSaveRecord">
    <vt:lpwstr>eyJoZGlkIjoiMjg3YzU0YTJjODAxYTgyZjc4ZWY0NGYyNmUyMjBjNzQiLCJ1c2VySWQiOiIxMTM2MzM3NzM0In0=</vt:lpwstr>
  </property>
</Properties>
</file>