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2"/>
        <w:keepNext/>
        <w:keepLines/>
        <w:pageBreakBefore w:val="0"/>
        <w:widowControl w:val="0"/>
        <w:kinsoku/>
        <w:wordWrap/>
        <w:overflowPunct/>
        <w:topLinePunct w:val="0"/>
        <w:autoSpaceDE/>
        <w:autoSpaceDN/>
        <w:bidi w:val="0"/>
        <w:adjustRightInd w:val="0"/>
        <w:snapToGrid/>
        <w:spacing w:before="240" w:after="240"/>
        <w:jc w:val="center"/>
        <w:textAlignment w:val="baseline"/>
        <w:rPr>
          <w:rFonts w:hint="eastAsia"/>
          <w:b/>
          <w:bCs/>
          <w:color w:val="auto"/>
          <w:sz w:val="32"/>
          <w:szCs w:val="32"/>
          <w:highlight w:val="none"/>
        </w:rPr>
      </w:pPr>
      <w:bookmarkStart w:id="0" w:name="OLE_LINK7"/>
      <w:r>
        <w:rPr>
          <w:rFonts w:hint="eastAsia" w:ascii="Times New Roman" w:hAnsi="Times New Roman" w:cs="Times New Roman"/>
          <w:b/>
          <w:bCs/>
          <w:color w:val="auto"/>
          <w:sz w:val="32"/>
          <w:szCs w:val="32"/>
          <w:highlight w:val="none"/>
        </w:rPr>
        <w:t>2025年北部湾海域海水巡测自动监测系统租赁服务</w:t>
      </w:r>
      <w:bookmarkEnd w:id="0"/>
      <w:r>
        <w:rPr>
          <w:rFonts w:hint="eastAsia"/>
          <w:b/>
          <w:bCs/>
          <w:color w:val="auto"/>
          <w:sz w:val="32"/>
          <w:szCs w:val="32"/>
          <w:highlight w:val="none"/>
        </w:rPr>
        <w:t>合同</w:t>
      </w:r>
    </w:p>
    <w:p>
      <w:bookmarkStart w:id="2" w:name="_GoBack"/>
      <w:bookmarkEnd w:id="2"/>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甲方（出租方）：</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公司地址：</w:t>
      </w:r>
    </w:p>
    <w:p>
      <w:pPr>
        <w:spacing w:line="360" w:lineRule="auto"/>
        <w:ind w:firstLine="480" w:firstLineChars="200"/>
        <w:rPr>
          <w:rFonts w:hint="eastAsia" w:ascii="仿宋" w:hAnsi="仿宋" w:eastAsia="仿宋"/>
          <w:color w:val="auto"/>
          <w:sz w:val="24"/>
          <w:szCs w:val="24"/>
          <w:highlight w:val="none"/>
          <w:lang w:val="en-US" w:eastAsia="zh-CN"/>
        </w:rPr>
      </w:pPr>
      <w:r>
        <w:rPr>
          <w:rFonts w:hint="eastAsia" w:ascii="仿宋" w:hAnsi="仿宋" w:eastAsia="仿宋"/>
          <w:color w:val="auto"/>
          <w:sz w:val="24"/>
          <w:szCs w:val="24"/>
          <w:highlight w:val="none"/>
        </w:rPr>
        <w:t>联系电话：</w:t>
      </w:r>
    </w:p>
    <w:p>
      <w:pPr>
        <w:spacing w:line="360" w:lineRule="auto"/>
        <w:rPr>
          <w:rFonts w:hint="default" w:ascii="仿宋" w:hAnsi="仿宋" w:eastAsia="仿宋"/>
          <w:color w:val="auto"/>
          <w:sz w:val="24"/>
          <w:szCs w:val="24"/>
          <w:highlight w:val="none"/>
          <w:lang w:val="en-US" w:eastAsia="zh-CN"/>
        </w:rPr>
      </w:pPr>
    </w:p>
    <w:p>
      <w:pPr>
        <w:spacing w:line="360" w:lineRule="auto"/>
        <w:ind w:firstLine="480" w:firstLineChars="200"/>
        <w:rPr>
          <w:rFonts w:hint="eastAsia" w:ascii="仿宋" w:hAnsi="仿宋" w:eastAsia="仿宋"/>
          <w:color w:val="auto"/>
          <w:sz w:val="24"/>
          <w:szCs w:val="24"/>
          <w:highlight w:val="none"/>
          <w:lang w:val="en-US" w:eastAsia="zh-CN"/>
        </w:rPr>
      </w:pPr>
      <w:r>
        <w:rPr>
          <w:rFonts w:hint="eastAsia" w:ascii="仿宋" w:hAnsi="仿宋" w:eastAsia="仿宋"/>
          <w:color w:val="auto"/>
          <w:sz w:val="24"/>
          <w:szCs w:val="24"/>
          <w:highlight w:val="none"/>
        </w:rPr>
        <w:t>乙方（承租方）：</w:t>
      </w:r>
    </w:p>
    <w:p>
      <w:pPr>
        <w:spacing w:line="360" w:lineRule="auto"/>
        <w:ind w:firstLine="480" w:firstLineChars="200"/>
        <w:rPr>
          <w:rFonts w:hint="default" w:ascii="仿宋" w:hAnsi="仿宋" w:eastAsia="仿宋"/>
          <w:color w:val="auto"/>
          <w:sz w:val="24"/>
          <w:szCs w:val="24"/>
          <w:highlight w:val="none"/>
          <w:lang w:val="en-US" w:eastAsia="zh-CN"/>
        </w:rPr>
      </w:pPr>
      <w:r>
        <w:rPr>
          <w:rFonts w:hint="eastAsia" w:ascii="仿宋" w:hAnsi="仿宋" w:eastAsia="仿宋"/>
          <w:color w:val="auto"/>
          <w:sz w:val="24"/>
          <w:szCs w:val="24"/>
          <w:highlight w:val="none"/>
        </w:rPr>
        <w:t>公司地址：</w:t>
      </w:r>
    </w:p>
    <w:p>
      <w:pPr>
        <w:spacing w:line="360" w:lineRule="auto"/>
        <w:ind w:firstLine="480" w:firstLineChars="200"/>
        <w:rPr>
          <w:rFonts w:hint="eastAsia" w:ascii="仿宋" w:hAnsi="仿宋" w:eastAsia="仿宋"/>
          <w:color w:val="auto"/>
          <w:sz w:val="24"/>
          <w:szCs w:val="24"/>
          <w:highlight w:val="none"/>
        </w:rPr>
      </w:pPr>
      <w:r>
        <w:rPr>
          <w:rFonts w:hint="eastAsia" w:ascii="仿宋" w:hAnsi="仿宋" w:eastAsia="仿宋"/>
          <w:color w:val="auto"/>
          <w:sz w:val="24"/>
          <w:szCs w:val="24"/>
          <w:highlight w:val="none"/>
        </w:rPr>
        <w:t>联系电话：</w:t>
      </w:r>
    </w:p>
    <w:p>
      <w:pPr>
        <w:spacing w:line="360" w:lineRule="auto"/>
        <w:rPr>
          <w:rFonts w:hint="eastAsia" w:ascii="仿宋" w:hAnsi="仿宋" w:eastAsia="仿宋"/>
          <w:color w:val="auto"/>
          <w:sz w:val="24"/>
          <w:szCs w:val="24"/>
          <w:highlight w:val="yellow"/>
        </w:rPr>
      </w:pP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根据《中华人民共和国民法典》及相关法律法规，甲、乙双方本着自愿、公正的原则，就</w:t>
      </w:r>
      <w:r>
        <w:rPr>
          <w:rFonts w:hint="eastAsia" w:ascii="仿宋" w:hAnsi="仿宋" w:eastAsia="仿宋"/>
          <w:color w:val="auto"/>
          <w:sz w:val="24"/>
          <w:szCs w:val="24"/>
          <w:highlight w:val="none"/>
          <w:lang w:val="en-US" w:eastAsia="zh-CN"/>
        </w:rPr>
        <w:t xml:space="preserve">      走航式营养盐分析仪</w:t>
      </w:r>
      <w:r>
        <w:rPr>
          <w:rFonts w:hint="eastAsia" w:ascii="仿宋" w:hAnsi="仿宋" w:eastAsia="仿宋"/>
          <w:color w:val="auto"/>
          <w:sz w:val="24"/>
          <w:szCs w:val="24"/>
          <w:highlight w:val="none"/>
        </w:rPr>
        <w:t>设备（以下简称设备）租赁事宜达成以下协议：</w:t>
      </w:r>
    </w:p>
    <w:p>
      <w:pPr>
        <w:pStyle w:val="22"/>
        <w:spacing w:line="360" w:lineRule="auto"/>
        <w:ind w:firstLine="482" w:firstLineChars="200"/>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一、租赁设备及参数</w:t>
      </w:r>
    </w:p>
    <w:tbl>
      <w:tblPr>
        <w:tblStyle w:val="15"/>
        <w:tblW w:w="92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5"/>
        <w:gridCol w:w="3560"/>
        <w:gridCol w:w="763"/>
        <w:gridCol w:w="1512"/>
        <w:gridCol w:w="1367"/>
        <w:gridCol w:w="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shd w:val="clear" w:color="auto" w:fill="F1F1F1" w:themeFill="background1" w:themeFillShade="F2"/>
            <w:vAlign w:val="center"/>
          </w:tcPr>
          <w:p>
            <w:pPr>
              <w:snapToGrid w:val="0"/>
              <w:spacing w:line="240" w:lineRule="auto"/>
              <w:jc w:val="center"/>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设备名称</w:t>
            </w:r>
          </w:p>
        </w:tc>
        <w:tc>
          <w:tcPr>
            <w:tcW w:w="3560" w:type="dxa"/>
            <w:shd w:val="clear" w:color="auto" w:fill="F1F1F1" w:themeFill="background1" w:themeFillShade="F2"/>
            <w:vAlign w:val="center"/>
          </w:tcPr>
          <w:p>
            <w:pPr>
              <w:snapToGrid w:val="0"/>
              <w:spacing w:line="240" w:lineRule="auto"/>
              <w:jc w:val="center"/>
              <w:rPr>
                <w:rFonts w:ascii="仿宋" w:hAnsi="仿宋" w:eastAsia="仿宋"/>
                <w:b/>
                <w:bCs/>
                <w:color w:val="auto"/>
                <w:sz w:val="24"/>
                <w:szCs w:val="24"/>
                <w:highlight w:val="none"/>
              </w:rPr>
            </w:pPr>
            <w:r>
              <w:rPr>
                <w:rFonts w:hint="eastAsia" w:ascii="仿宋" w:hAnsi="仿宋" w:eastAsia="仿宋"/>
                <w:b/>
                <w:bCs/>
                <w:color w:val="auto"/>
                <w:sz w:val="24"/>
                <w:szCs w:val="24"/>
                <w:highlight w:val="none"/>
                <w:lang w:eastAsia="zh-CN"/>
              </w:rPr>
              <w:t>服务</w:t>
            </w:r>
            <w:r>
              <w:rPr>
                <w:rFonts w:hint="eastAsia" w:ascii="仿宋" w:hAnsi="仿宋" w:eastAsia="仿宋"/>
                <w:b/>
                <w:bCs/>
                <w:color w:val="auto"/>
                <w:sz w:val="24"/>
                <w:szCs w:val="24"/>
                <w:highlight w:val="none"/>
              </w:rPr>
              <w:t>参数</w:t>
            </w:r>
          </w:p>
        </w:tc>
        <w:tc>
          <w:tcPr>
            <w:tcW w:w="763" w:type="dxa"/>
            <w:shd w:val="clear" w:color="auto" w:fill="F1F1F1" w:themeFill="background1" w:themeFillShade="F2"/>
            <w:vAlign w:val="center"/>
          </w:tcPr>
          <w:p>
            <w:pPr>
              <w:snapToGrid w:val="0"/>
              <w:spacing w:line="240" w:lineRule="auto"/>
              <w:jc w:val="center"/>
              <w:rPr>
                <w:rFonts w:hint="eastAsia" w:ascii="仿宋" w:hAnsi="仿宋" w:eastAsia="仿宋"/>
                <w:b/>
                <w:bCs/>
                <w:color w:val="auto"/>
                <w:sz w:val="24"/>
                <w:szCs w:val="24"/>
                <w:highlight w:val="none"/>
                <w:lang w:eastAsia="zh-CN"/>
              </w:rPr>
            </w:pPr>
            <w:r>
              <w:rPr>
                <w:rFonts w:hint="eastAsia" w:ascii="仿宋" w:hAnsi="仿宋" w:eastAsia="仿宋"/>
                <w:b/>
                <w:bCs/>
                <w:color w:val="auto"/>
                <w:sz w:val="24"/>
                <w:szCs w:val="24"/>
                <w:highlight w:val="none"/>
                <w:lang w:val="en-US" w:eastAsia="zh-CN"/>
              </w:rPr>
              <w:t>数量</w:t>
            </w:r>
          </w:p>
        </w:tc>
        <w:tc>
          <w:tcPr>
            <w:tcW w:w="1512" w:type="dxa"/>
            <w:shd w:val="clear" w:color="auto" w:fill="F1F1F1" w:themeFill="background1" w:themeFillShade="F2"/>
            <w:vAlign w:val="center"/>
          </w:tcPr>
          <w:p>
            <w:pPr>
              <w:snapToGrid w:val="0"/>
              <w:spacing w:line="240" w:lineRule="auto"/>
              <w:jc w:val="center"/>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单价</w:t>
            </w:r>
          </w:p>
        </w:tc>
        <w:tc>
          <w:tcPr>
            <w:tcW w:w="1367" w:type="dxa"/>
            <w:shd w:val="clear" w:color="auto" w:fill="F1F1F1" w:themeFill="background1" w:themeFillShade="F2"/>
            <w:vAlign w:val="center"/>
          </w:tcPr>
          <w:p>
            <w:pPr>
              <w:snapToGrid w:val="0"/>
              <w:spacing w:line="240" w:lineRule="auto"/>
              <w:jc w:val="center"/>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总价</w:t>
            </w:r>
          </w:p>
        </w:tc>
        <w:tc>
          <w:tcPr>
            <w:tcW w:w="596" w:type="dxa"/>
            <w:shd w:val="clear" w:color="auto" w:fill="F1F1F1" w:themeFill="background1" w:themeFillShade="F2"/>
            <w:vAlign w:val="center"/>
          </w:tcPr>
          <w:p>
            <w:pPr>
              <w:snapToGrid w:val="0"/>
              <w:spacing w:line="240" w:lineRule="auto"/>
              <w:jc w:val="center"/>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vAlign w:val="center"/>
          </w:tcPr>
          <w:p>
            <w:pPr>
              <w:snapToGrid w:val="0"/>
              <w:spacing w:line="240" w:lineRule="auto"/>
              <w:jc w:val="center"/>
              <w:rPr>
                <w:rFonts w:hint="default"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走航式营养盐分析仪</w:t>
            </w:r>
          </w:p>
        </w:tc>
        <w:tc>
          <w:tcPr>
            <w:tcW w:w="3560"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jc w:val="both"/>
              <w:textAlignment w:val="baseline"/>
              <w:rPr>
                <w:rFonts w:hint="eastAsia"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海水自动巡测监测，包括取水系统、走航式营养盐在线分析仪、多参数水质在线分析仪等设备，监测设备系统一体式，集成程度高便于搬运和使用、设备调试、清洗维护保养、功能检査、校准、系统联调、巡测过程测试以及常规故障诊断、处理和维修、数据处理等；</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jc w:val="both"/>
              <w:textAlignment w:val="baseline"/>
              <w:rPr>
                <w:rFonts w:hint="eastAsia" w:ascii="仿宋" w:hAnsi="仿宋" w:eastAsia="仿宋"/>
                <w:color w:val="auto"/>
                <w:sz w:val="24"/>
                <w:szCs w:val="24"/>
                <w:highlight w:val="none"/>
                <w:lang w:eastAsia="zh-CN"/>
              </w:rPr>
            </w:pPr>
            <w:r>
              <w:rPr>
                <w:rFonts w:hint="eastAsia" w:ascii="仿宋" w:hAnsi="仿宋" w:eastAsia="仿宋"/>
                <w:color w:val="auto"/>
                <w:sz w:val="24"/>
                <w:szCs w:val="24"/>
                <w:highlight w:val="none"/>
              </w:rPr>
              <w:t>监测指标：包含水温、盐度、pH、溶解氧、无机氮、活性磷酸盐等</w:t>
            </w:r>
            <w:r>
              <w:rPr>
                <w:rFonts w:hint="eastAsia" w:ascii="仿宋" w:hAnsi="仿宋" w:eastAsia="仿宋"/>
                <w:color w:val="auto"/>
                <w:sz w:val="24"/>
                <w:szCs w:val="24"/>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jc w:val="both"/>
              <w:textAlignment w:val="baseline"/>
              <w:rPr>
                <w:rFonts w:hint="eastAsia"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走航营养盐设备主机尺寸：不大于750mm*550mm*850mm</w:t>
            </w:r>
          </w:p>
        </w:tc>
        <w:tc>
          <w:tcPr>
            <w:tcW w:w="763" w:type="dxa"/>
            <w:vAlign w:val="center"/>
          </w:tcPr>
          <w:p>
            <w:pPr>
              <w:snapToGrid w:val="0"/>
              <w:spacing w:line="240" w:lineRule="auto"/>
              <w:jc w:val="center"/>
              <w:rPr>
                <w:rFonts w:hint="eastAsia"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1</w:t>
            </w:r>
          </w:p>
        </w:tc>
        <w:tc>
          <w:tcPr>
            <w:tcW w:w="1512" w:type="dxa"/>
            <w:vAlign w:val="center"/>
          </w:tcPr>
          <w:p>
            <w:pPr>
              <w:snapToGrid w:val="0"/>
              <w:spacing w:line="240" w:lineRule="auto"/>
              <w:jc w:val="center"/>
              <w:rPr>
                <w:rFonts w:hint="default"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100000.00</w:t>
            </w:r>
          </w:p>
        </w:tc>
        <w:tc>
          <w:tcPr>
            <w:tcW w:w="1367" w:type="dxa"/>
            <w:vAlign w:val="center"/>
          </w:tcPr>
          <w:p>
            <w:pPr>
              <w:snapToGrid w:val="0"/>
              <w:spacing w:line="240" w:lineRule="auto"/>
              <w:jc w:val="center"/>
              <w:rPr>
                <w:rFonts w:hint="default"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100000.00</w:t>
            </w:r>
          </w:p>
        </w:tc>
        <w:tc>
          <w:tcPr>
            <w:tcW w:w="596" w:type="dxa"/>
            <w:vAlign w:val="center"/>
          </w:tcPr>
          <w:p>
            <w:pPr>
              <w:snapToGrid w:val="0"/>
              <w:spacing w:line="240" w:lineRule="auto"/>
              <w:jc w:val="left"/>
              <w:rPr>
                <w:rFonts w:hint="default"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90" w:type="dxa"/>
            <w:gridSpan w:val="4"/>
            <w:vAlign w:val="center"/>
          </w:tcPr>
          <w:p>
            <w:pPr>
              <w:snapToGrid w:val="0"/>
              <w:spacing w:line="240" w:lineRule="auto"/>
              <w:jc w:val="left"/>
              <w:rPr>
                <w:rFonts w:hint="eastAsia" w:ascii="仿宋" w:hAnsi="仿宋" w:eastAsia="仿宋"/>
                <w:color w:val="auto"/>
                <w:sz w:val="24"/>
                <w:szCs w:val="24"/>
                <w:highlight w:val="none"/>
                <w:lang w:val="en-US" w:eastAsia="zh-CN"/>
              </w:rPr>
            </w:pPr>
            <w:r>
              <w:rPr>
                <w:rFonts w:hint="eastAsia" w:ascii="仿宋" w:hAnsi="仿宋" w:eastAsia="仿宋"/>
                <w:color w:val="auto"/>
                <w:sz w:val="24"/>
                <w:szCs w:val="24"/>
                <w:highlight w:val="none"/>
              </w:rPr>
              <w:t>合  计</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lang w:val="en-US" w:eastAsia="zh-CN"/>
              </w:rPr>
              <w:t>壹拾万元</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lang w:val="en-US" w:eastAsia="zh-CN"/>
              </w:rPr>
              <w:t>大写</w:t>
            </w:r>
            <w:r>
              <w:rPr>
                <w:rFonts w:hint="eastAsia" w:ascii="仿宋" w:hAnsi="仿宋" w:eastAsia="仿宋"/>
                <w:color w:val="auto"/>
                <w:sz w:val="24"/>
                <w:szCs w:val="24"/>
                <w:highlight w:val="none"/>
                <w:lang w:eastAsia="zh-CN"/>
              </w:rPr>
              <w:t>）</w:t>
            </w:r>
          </w:p>
        </w:tc>
        <w:tc>
          <w:tcPr>
            <w:tcW w:w="1367" w:type="dxa"/>
            <w:vAlign w:val="center"/>
          </w:tcPr>
          <w:p>
            <w:pPr>
              <w:snapToGrid w:val="0"/>
              <w:spacing w:line="240" w:lineRule="auto"/>
              <w:jc w:val="center"/>
              <w:rPr>
                <w:rFonts w:hint="default" w:ascii="仿宋" w:hAnsi="仿宋" w:eastAsia="仿宋"/>
                <w:color w:val="auto"/>
                <w:sz w:val="24"/>
                <w:szCs w:val="24"/>
                <w:highlight w:val="none"/>
                <w:lang w:val="en-US"/>
              </w:rPr>
            </w:pPr>
          </w:p>
        </w:tc>
        <w:tc>
          <w:tcPr>
            <w:tcW w:w="596" w:type="dxa"/>
            <w:vAlign w:val="center"/>
          </w:tcPr>
          <w:p>
            <w:pPr>
              <w:snapToGrid w:val="0"/>
              <w:spacing w:line="240" w:lineRule="auto"/>
              <w:jc w:val="center"/>
              <w:rPr>
                <w:rFonts w:hint="eastAsia"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w:t>
            </w:r>
          </w:p>
        </w:tc>
      </w:tr>
    </w:tbl>
    <w:p>
      <w:pPr>
        <w:spacing w:line="360" w:lineRule="auto"/>
        <w:rPr>
          <w:rFonts w:ascii="仿宋" w:hAnsi="仿宋" w:eastAsia="仿宋"/>
          <w:b/>
          <w:bCs/>
          <w:color w:val="auto"/>
          <w:sz w:val="24"/>
          <w:szCs w:val="24"/>
          <w:highlight w:val="none"/>
        </w:rPr>
      </w:pPr>
    </w:p>
    <w:p>
      <w:pPr>
        <w:spacing w:line="360" w:lineRule="auto"/>
        <w:rPr>
          <w:rFonts w:ascii="仿宋" w:hAnsi="仿宋" w:eastAsia="仿宋"/>
          <w:color w:val="auto"/>
          <w:sz w:val="24"/>
          <w:szCs w:val="24"/>
          <w:highlight w:val="none"/>
        </w:rPr>
      </w:pPr>
      <w:r>
        <w:rPr>
          <w:rFonts w:hint="eastAsia" w:ascii="仿宋" w:hAnsi="仿宋" w:eastAsia="仿宋"/>
          <w:b/>
          <w:bCs/>
          <w:color w:val="auto"/>
          <w:sz w:val="24"/>
          <w:szCs w:val="24"/>
          <w:highlight w:val="none"/>
        </w:rPr>
        <w:t>二、租赁期限</w:t>
      </w:r>
    </w:p>
    <w:p>
      <w:pPr>
        <w:spacing w:line="360" w:lineRule="auto"/>
        <w:ind w:firstLine="480" w:firstLineChars="200"/>
        <w:rPr>
          <w:rFonts w:hint="default" w:ascii="仿宋" w:hAnsi="仿宋" w:eastAsia="仿宋"/>
          <w:color w:val="auto"/>
          <w:sz w:val="24"/>
          <w:szCs w:val="24"/>
          <w:highlight w:val="none"/>
          <w:lang w:val="en-US" w:eastAsia="zh-CN"/>
        </w:rPr>
      </w:pPr>
      <w:r>
        <w:rPr>
          <w:rFonts w:hint="eastAsia" w:ascii="仿宋" w:hAnsi="仿宋" w:eastAsia="仿宋"/>
          <w:color w:val="auto"/>
          <w:sz w:val="24"/>
          <w:szCs w:val="24"/>
          <w:highlight w:val="none"/>
        </w:rPr>
        <w:t>租期为</w:t>
      </w:r>
      <w:r>
        <w:rPr>
          <w:rFonts w:hint="eastAsia" w:ascii="仿宋" w:hAnsi="仿宋" w:eastAsia="仿宋"/>
          <w:color w:val="auto"/>
          <w:sz w:val="24"/>
          <w:szCs w:val="24"/>
          <w:highlight w:val="none"/>
          <w:lang w:val="en-US" w:eastAsia="zh-CN"/>
        </w:rPr>
        <w:t>30</w:t>
      </w:r>
      <w:r>
        <w:rPr>
          <w:rFonts w:hint="eastAsia" w:ascii="仿宋" w:hAnsi="仿宋" w:eastAsia="仿宋"/>
          <w:color w:val="auto"/>
          <w:sz w:val="24"/>
          <w:szCs w:val="24"/>
          <w:highlight w:val="none"/>
        </w:rPr>
        <w:t>天，</w:t>
      </w:r>
      <w:r>
        <w:rPr>
          <w:rFonts w:hint="eastAsia" w:ascii="仿宋" w:hAnsi="仿宋" w:eastAsia="仿宋"/>
          <w:color w:val="auto"/>
          <w:sz w:val="24"/>
          <w:szCs w:val="24"/>
          <w:highlight w:val="none"/>
          <w:lang w:val="en-US" w:eastAsia="zh-CN"/>
        </w:rPr>
        <w:t>分两个航次，夏季航次20天，秋季航次10天，</w:t>
      </w:r>
      <w:r>
        <w:rPr>
          <w:rFonts w:hint="eastAsia" w:ascii="仿宋" w:hAnsi="仿宋" w:eastAsia="仿宋"/>
          <w:color w:val="auto"/>
          <w:sz w:val="24"/>
          <w:szCs w:val="24"/>
          <w:highlight w:val="none"/>
        </w:rPr>
        <w:t>自乙方收货日起算。</w:t>
      </w:r>
    </w:p>
    <w:p>
      <w:pPr>
        <w:spacing w:line="360" w:lineRule="auto"/>
        <w:rPr>
          <w:rFonts w:ascii="仿宋" w:hAnsi="仿宋" w:eastAsia="仿宋"/>
          <w:color w:val="auto"/>
          <w:sz w:val="24"/>
          <w:szCs w:val="24"/>
          <w:highlight w:val="none"/>
        </w:rPr>
      </w:pPr>
      <w:r>
        <w:rPr>
          <w:rFonts w:hint="eastAsia" w:ascii="仿宋" w:hAnsi="仿宋" w:eastAsia="仿宋"/>
          <w:b/>
          <w:bCs/>
          <w:color w:val="auto"/>
          <w:sz w:val="24"/>
          <w:szCs w:val="24"/>
          <w:highlight w:val="none"/>
        </w:rPr>
        <w:t>三、租金</w:t>
      </w:r>
    </w:p>
    <w:p>
      <w:pPr>
        <w:spacing w:line="360" w:lineRule="auto"/>
        <w:ind w:firstLine="480" w:firstLineChars="200"/>
        <w:rPr>
          <w:rFonts w:hint="eastAsia" w:ascii="仿宋" w:hAnsi="仿宋" w:eastAsia="仿宋"/>
          <w:color w:val="auto"/>
          <w:sz w:val="24"/>
          <w:szCs w:val="24"/>
          <w:highlight w:val="none"/>
          <w:lang w:eastAsia="zh-CN"/>
        </w:rPr>
      </w:pPr>
      <w:r>
        <w:rPr>
          <w:rFonts w:hint="eastAsia" w:ascii="仿宋" w:hAnsi="仿宋" w:eastAsia="仿宋"/>
          <w:color w:val="auto"/>
          <w:sz w:val="24"/>
          <w:szCs w:val="24"/>
          <w:highlight w:val="none"/>
        </w:rPr>
        <w:t>租金：按</w:t>
      </w:r>
      <w:r>
        <w:rPr>
          <w:rFonts w:hint="eastAsia" w:ascii="仿宋" w:hAnsi="仿宋" w:eastAsia="仿宋"/>
          <w:color w:val="auto"/>
          <w:sz w:val="24"/>
          <w:szCs w:val="24"/>
          <w:highlight w:val="none"/>
          <w:lang w:val="en-US" w:eastAsia="zh-CN"/>
        </w:rPr>
        <w:t>航次</w:t>
      </w:r>
      <w:r>
        <w:rPr>
          <w:rFonts w:hint="eastAsia" w:ascii="仿宋" w:hAnsi="仿宋" w:eastAsia="仿宋"/>
          <w:color w:val="auto"/>
          <w:sz w:val="24"/>
          <w:szCs w:val="24"/>
          <w:highlight w:val="none"/>
        </w:rPr>
        <w:t>计费</w:t>
      </w:r>
      <w:r>
        <w:rPr>
          <w:rFonts w:hint="eastAsia" w:ascii="仿宋" w:hAnsi="仿宋" w:eastAsia="仿宋"/>
          <w:color w:val="auto"/>
          <w:sz w:val="24"/>
          <w:szCs w:val="24"/>
          <w:highlight w:val="none"/>
          <w:lang w:val="en-US" w:eastAsia="zh-CN"/>
        </w:rPr>
        <w:t>，夏季航次租金为55000.00元，</w:t>
      </w:r>
      <w:r>
        <w:rPr>
          <w:rFonts w:hint="eastAsia" w:ascii="仿宋" w:hAnsi="仿宋" w:eastAsia="仿宋"/>
          <w:color w:val="auto"/>
          <w:sz w:val="24"/>
          <w:szCs w:val="24"/>
          <w:highlight w:val="none"/>
          <w:lang w:eastAsia="zh-CN"/>
        </w:rPr>
        <w:t>秋</w:t>
      </w:r>
      <w:r>
        <w:rPr>
          <w:rFonts w:hint="eastAsia" w:ascii="仿宋" w:hAnsi="仿宋" w:eastAsia="仿宋"/>
          <w:color w:val="auto"/>
          <w:sz w:val="24"/>
          <w:szCs w:val="24"/>
          <w:highlight w:val="none"/>
          <w:lang w:val="en-US" w:eastAsia="zh-CN"/>
        </w:rPr>
        <w:t>航次</w:t>
      </w:r>
      <w:r>
        <w:rPr>
          <w:rFonts w:hint="eastAsia" w:ascii="仿宋" w:hAnsi="仿宋" w:eastAsia="仿宋"/>
          <w:color w:val="auto"/>
          <w:sz w:val="24"/>
          <w:szCs w:val="24"/>
          <w:highlight w:val="none"/>
        </w:rPr>
        <w:t>租金为</w:t>
      </w:r>
      <w:r>
        <w:rPr>
          <w:rFonts w:hint="eastAsia" w:ascii="仿宋" w:hAnsi="仿宋" w:eastAsia="仿宋"/>
          <w:color w:val="auto"/>
          <w:sz w:val="24"/>
          <w:szCs w:val="24"/>
          <w:highlight w:val="none"/>
          <w:lang w:val="en-US" w:eastAsia="zh-CN"/>
        </w:rPr>
        <w:t>45000.00元共计100000.00元（大写：拾肆万伍仟元整）</w:t>
      </w:r>
      <w:r>
        <w:rPr>
          <w:rFonts w:hint="eastAsia" w:ascii="仿宋" w:hAnsi="仿宋" w:eastAsia="仿宋"/>
          <w:color w:val="auto"/>
          <w:sz w:val="24"/>
          <w:szCs w:val="24"/>
          <w:highlight w:val="none"/>
        </w:rPr>
        <w:t>；</w:t>
      </w:r>
      <w:r>
        <w:rPr>
          <w:rFonts w:hint="eastAsia" w:ascii="仿宋" w:hAnsi="仿宋" w:eastAsia="仿宋"/>
          <w:color w:val="auto"/>
          <w:sz w:val="24"/>
          <w:szCs w:val="24"/>
          <w:highlight w:val="none"/>
          <w:lang w:val="en-US" w:eastAsia="zh-CN"/>
        </w:rPr>
        <w:t>本租金</w:t>
      </w:r>
      <w:r>
        <w:rPr>
          <w:rFonts w:hint="eastAsia" w:ascii="仿宋" w:hAnsi="仿宋" w:eastAsia="仿宋"/>
          <w:color w:val="auto"/>
          <w:sz w:val="24"/>
          <w:szCs w:val="24"/>
          <w:highlight w:val="none"/>
        </w:rPr>
        <w:t>含取水装置、运费、保险费、税费等</w:t>
      </w:r>
      <w:r>
        <w:rPr>
          <w:rFonts w:hint="eastAsia" w:ascii="仿宋" w:hAnsi="仿宋" w:eastAsia="仿宋"/>
          <w:color w:val="auto"/>
          <w:sz w:val="24"/>
          <w:szCs w:val="24"/>
          <w:highlight w:val="none"/>
          <w:lang w:eastAsia="zh-CN"/>
        </w:rPr>
        <w:t>。</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付款时间：乙方自本合同签订之日起5个工作日之内，一次性向甲方全额付款。</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租期到期后，若乙方拟延长租赁期限的，须在租赁期限届满前至少提前5日通过微信或其他书面形式向甲方提出延期申请；经甲方批准或双方重新签订补充协议后，乙方可以在延长的租赁期限内继续使用设备，否则须在原约定的租赁期限届满前按时返还给甲方。</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若</w:t>
      </w:r>
      <w:r>
        <w:rPr>
          <w:rFonts w:hint="eastAsia" w:ascii="仿宋" w:hAnsi="仿宋" w:eastAsia="仿宋"/>
          <w:color w:val="auto"/>
          <w:sz w:val="24"/>
          <w:szCs w:val="24"/>
          <w:highlight w:val="none"/>
          <w:lang w:val="en-US" w:eastAsia="zh-CN"/>
        </w:rPr>
        <w:t>未经甲方书面许可，</w:t>
      </w:r>
      <w:r>
        <w:rPr>
          <w:rFonts w:hint="eastAsia" w:ascii="仿宋" w:hAnsi="仿宋" w:eastAsia="仿宋"/>
          <w:color w:val="auto"/>
          <w:sz w:val="24"/>
          <w:szCs w:val="24"/>
          <w:highlight w:val="none"/>
        </w:rPr>
        <w:t>租赁设备无故没有及时归还的，</w:t>
      </w:r>
      <w:r>
        <w:rPr>
          <w:rFonts w:hint="eastAsia" w:ascii="仿宋" w:hAnsi="仿宋" w:eastAsia="仿宋"/>
          <w:color w:val="auto"/>
          <w:sz w:val="24"/>
          <w:szCs w:val="24"/>
          <w:highlight w:val="none"/>
          <w:lang w:val="en-US" w:eastAsia="zh-CN"/>
        </w:rPr>
        <w:t>每逾期一日，按照</w:t>
      </w:r>
      <w:r>
        <w:rPr>
          <w:rFonts w:hint="eastAsia" w:ascii="仿宋" w:hAnsi="仿宋" w:eastAsia="仿宋"/>
          <w:color w:val="auto"/>
          <w:sz w:val="24"/>
          <w:szCs w:val="24"/>
          <w:highlight w:val="none"/>
        </w:rPr>
        <w:t>设备总价格</w:t>
      </w:r>
      <w:r>
        <w:rPr>
          <w:rFonts w:hint="eastAsia" w:ascii="仿宋" w:hAnsi="仿宋" w:eastAsia="仿宋"/>
          <w:color w:val="auto"/>
          <w:sz w:val="24"/>
          <w:szCs w:val="24"/>
          <w:highlight w:val="none"/>
          <w:lang w:eastAsia="zh-CN"/>
        </w:rPr>
        <w:t>的</w:t>
      </w:r>
      <w:r>
        <w:rPr>
          <w:rFonts w:hint="eastAsia" w:ascii="仿宋" w:hAnsi="仿宋" w:eastAsia="仿宋"/>
          <w:color w:val="auto"/>
          <w:sz w:val="24"/>
          <w:szCs w:val="24"/>
          <w:highlight w:val="none"/>
        </w:rPr>
        <w:t>千分之五（5‰）</w:t>
      </w:r>
      <w:r>
        <w:rPr>
          <w:rFonts w:hint="eastAsia" w:ascii="仿宋" w:hAnsi="仿宋" w:eastAsia="仿宋"/>
          <w:color w:val="auto"/>
          <w:sz w:val="24"/>
          <w:szCs w:val="24"/>
          <w:highlight w:val="none"/>
          <w:lang w:val="en-US" w:eastAsia="zh-CN"/>
        </w:rPr>
        <w:t>向甲方支付</w:t>
      </w:r>
      <w:r>
        <w:rPr>
          <w:rFonts w:hint="eastAsia" w:ascii="仿宋" w:hAnsi="仿宋" w:eastAsia="仿宋"/>
          <w:color w:val="auto"/>
          <w:sz w:val="24"/>
          <w:szCs w:val="24"/>
          <w:highlight w:val="none"/>
        </w:rPr>
        <w:t>滞纳金，时间从租赁截至日期次日起算，直至乙方将租赁设备归还甲方。</w:t>
      </w:r>
    </w:p>
    <w:p>
      <w:pPr>
        <w:spacing w:line="360" w:lineRule="auto"/>
        <w:rPr>
          <w:rFonts w:ascii="仿宋" w:hAnsi="仿宋" w:eastAsia="仿宋"/>
          <w:color w:val="auto"/>
          <w:sz w:val="24"/>
          <w:szCs w:val="24"/>
          <w:highlight w:val="none"/>
        </w:rPr>
      </w:pPr>
      <w:r>
        <w:rPr>
          <w:rFonts w:hint="eastAsia" w:ascii="仿宋" w:hAnsi="仿宋" w:eastAsia="仿宋"/>
          <w:b/>
          <w:bCs/>
          <w:color w:val="auto"/>
          <w:sz w:val="24"/>
          <w:szCs w:val="24"/>
          <w:highlight w:val="none"/>
        </w:rPr>
        <w:t>四、押金</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押金：</w:t>
      </w:r>
      <w:r>
        <w:rPr>
          <w:rFonts w:hint="eastAsia" w:ascii="仿宋" w:hAnsi="仿宋" w:eastAsia="仿宋"/>
          <w:color w:val="auto"/>
          <w:sz w:val="24"/>
          <w:szCs w:val="24"/>
          <w:highlight w:val="none"/>
          <w:lang w:val="en-US" w:eastAsia="zh-CN"/>
        </w:rPr>
        <w:t>不收取</w:t>
      </w:r>
      <w:r>
        <w:rPr>
          <w:rFonts w:hint="eastAsia" w:ascii="仿宋" w:hAnsi="仿宋" w:eastAsia="仿宋"/>
          <w:color w:val="auto"/>
          <w:sz w:val="24"/>
          <w:szCs w:val="24"/>
          <w:highlight w:val="none"/>
        </w:rPr>
        <w:t>；</w:t>
      </w:r>
    </w:p>
    <w:p>
      <w:pPr>
        <w:spacing w:line="360" w:lineRule="auto"/>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五、</w:t>
      </w:r>
      <w:r>
        <w:rPr>
          <w:rFonts w:hint="eastAsia" w:ascii="仿宋" w:hAnsi="仿宋" w:eastAsia="仿宋"/>
          <w:b/>
          <w:bCs/>
          <w:color w:val="auto"/>
          <w:sz w:val="24"/>
          <w:szCs w:val="24"/>
          <w:highlight w:val="none"/>
          <w:lang w:val="en-US" w:eastAsia="zh-CN"/>
        </w:rPr>
        <w:t>设备的交付</w:t>
      </w:r>
      <w:r>
        <w:rPr>
          <w:rFonts w:hint="eastAsia" w:ascii="仿宋" w:hAnsi="仿宋" w:eastAsia="仿宋"/>
          <w:b/>
          <w:bCs/>
          <w:color w:val="auto"/>
          <w:sz w:val="24"/>
          <w:szCs w:val="24"/>
          <w:highlight w:val="none"/>
        </w:rPr>
        <w:t>及验收</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1.甲方在收到乙方租金后，应</w:t>
      </w:r>
      <w:r>
        <w:rPr>
          <w:rFonts w:hint="eastAsia" w:ascii="仿宋" w:hAnsi="仿宋" w:eastAsia="仿宋"/>
          <w:color w:val="auto"/>
          <w:sz w:val="24"/>
          <w:szCs w:val="24"/>
          <w:highlight w:val="none"/>
          <w:lang w:val="en-US" w:eastAsia="zh-CN"/>
        </w:rPr>
        <w:t>与乙方约定时间</w:t>
      </w:r>
      <w:r>
        <w:rPr>
          <w:rFonts w:hint="eastAsia" w:ascii="仿宋" w:hAnsi="仿宋" w:eastAsia="仿宋"/>
          <w:color w:val="auto"/>
          <w:sz w:val="24"/>
          <w:szCs w:val="24"/>
          <w:highlight w:val="none"/>
        </w:rPr>
        <w:t>将</w:t>
      </w:r>
      <w:r>
        <w:rPr>
          <w:rFonts w:hint="eastAsia" w:ascii="仿宋" w:hAnsi="仿宋" w:eastAsia="仿宋"/>
          <w:color w:val="auto"/>
          <w:sz w:val="24"/>
          <w:szCs w:val="24"/>
          <w:highlight w:val="none"/>
          <w:lang w:val="en-US" w:eastAsia="zh-CN"/>
        </w:rPr>
        <w:t>设备</w:t>
      </w:r>
      <w:r>
        <w:rPr>
          <w:rFonts w:hint="eastAsia" w:ascii="仿宋" w:hAnsi="仿宋" w:eastAsia="仿宋"/>
          <w:color w:val="auto"/>
          <w:sz w:val="24"/>
          <w:szCs w:val="24"/>
          <w:highlight w:val="none"/>
        </w:rPr>
        <w:t>交付给乙方。</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2.甲方在发出设备时，应保证设备完好，零配件完整，外表和内部功能无损坏；在收到</w:t>
      </w:r>
      <w:r>
        <w:rPr>
          <w:rFonts w:hint="eastAsia" w:ascii="仿宋" w:hAnsi="仿宋" w:eastAsia="仿宋"/>
          <w:color w:val="auto"/>
          <w:sz w:val="24"/>
          <w:szCs w:val="24"/>
          <w:highlight w:val="none"/>
          <w:lang w:val="en-US" w:eastAsia="zh-CN"/>
        </w:rPr>
        <w:t>设备</w:t>
      </w:r>
      <w:r>
        <w:rPr>
          <w:rFonts w:hint="eastAsia" w:ascii="仿宋" w:hAnsi="仿宋" w:eastAsia="仿宋"/>
          <w:color w:val="auto"/>
          <w:sz w:val="24"/>
          <w:szCs w:val="24"/>
          <w:highlight w:val="none"/>
        </w:rPr>
        <w:t>后，乙方应24小时内完成验收，如有质量问题应及时通知甲方，如乙方在上述期限内未向甲方提出书面异议的，视为设备验收合格，无质量问题。</w:t>
      </w:r>
    </w:p>
    <w:p>
      <w:pPr>
        <w:spacing w:line="360" w:lineRule="auto"/>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六、</w:t>
      </w:r>
      <w:r>
        <w:rPr>
          <w:rFonts w:hint="eastAsia" w:ascii="仿宋" w:hAnsi="仿宋" w:eastAsia="仿宋"/>
          <w:b/>
          <w:bCs/>
          <w:color w:val="auto"/>
          <w:sz w:val="24"/>
          <w:szCs w:val="24"/>
          <w:highlight w:val="none"/>
          <w:lang w:val="en-US" w:eastAsia="zh-CN"/>
        </w:rPr>
        <w:t>设备的归还</w:t>
      </w:r>
    </w:p>
    <w:p>
      <w:pPr>
        <w:spacing w:line="360" w:lineRule="auto"/>
        <w:ind w:firstLine="480"/>
        <w:rPr>
          <w:rFonts w:ascii="仿宋" w:hAnsi="仿宋" w:eastAsia="仿宋"/>
          <w:color w:val="auto"/>
          <w:sz w:val="24"/>
          <w:szCs w:val="24"/>
          <w:highlight w:val="none"/>
        </w:rPr>
      </w:pPr>
      <w:r>
        <w:rPr>
          <w:rFonts w:hint="eastAsia" w:ascii="仿宋" w:hAnsi="仿宋" w:eastAsia="仿宋"/>
          <w:color w:val="auto"/>
          <w:sz w:val="24"/>
          <w:szCs w:val="24"/>
          <w:highlight w:val="none"/>
        </w:rPr>
        <w:t>1.乙方应当</w:t>
      </w:r>
      <w:r>
        <w:rPr>
          <w:rFonts w:hint="eastAsia" w:ascii="仿宋" w:hAnsi="仿宋" w:eastAsia="仿宋"/>
          <w:color w:val="auto"/>
          <w:sz w:val="24"/>
          <w:szCs w:val="24"/>
          <w:highlight w:val="none"/>
          <w:lang w:val="en-US" w:eastAsia="zh-CN"/>
        </w:rPr>
        <w:t>按照约定的租赁期限，在每个航次使用结束后按时</w:t>
      </w:r>
      <w:r>
        <w:rPr>
          <w:rFonts w:hint="eastAsia" w:ascii="仿宋" w:hAnsi="仿宋" w:eastAsia="仿宋"/>
          <w:color w:val="auto"/>
          <w:sz w:val="24"/>
          <w:szCs w:val="24"/>
          <w:highlight w:val="none"/>
        </w:rPr>
        <w:t>将设备归还给甲方。</w:t>
      </w:r>
    </w:p>
    <w:p>
      <w:pPr>
        <w:spacing w:line="360" w:lineRule="auto"/>
        <w:ind w:firstLine="480"/>
        <w:rPr>
          <w:rFonts w:ascii="仿宋" w:hAnsi="仿宋" w:eastAsia="仿宋"/>
          <w:color w:val="auto"/>
          <w:sz w:val="24"/>
          <w:szCs w:val="24"/>
          <w:highlight w:val="none"/>
        </w:rPr>
      </w:pPr>
      <w:r>
        <w:rPr>
          <w:rFonts w:hint="eastAsia" w:ascii="仿宋" w:hAnsi="仿宋" w:eastAsia="仿宋"/>
          <w:color w:val="auto"/>
          <w:sz w:val="24"/>
          <w:szCs w:val="24"/>
          <w:highlight w:val="none"/>
        </w:rPr>
        <w:t>2</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乙方在向甲方归还设备时，应保证设备完好，零配件完整、外表和内部功能无损坏，如发生设备丢失、损坏、损毁、灭失的须</w:t>
      </w:r>
      <w:r>
        <w:rPr>
          <w:rFonts w:hint="eastAsia" w:ascii="仿宋" w:hAnsi="仿宋" w:eastAsia="仿宋"/>
          <w:color w:val="auto"/>
          <w:sz w:val="24"/>
          <w:szCs w:val="24"/>
          <w:highlight w:val="none"/>
          <w:lang w:val="en-US" w:eastAsia="zh-CN"/>
        </w:rPr>
        <w:t>根据设备或配件的市场价</w:t>
      </w:r>
      <w:r>
        <w:rPr>
          <w:rFonts w:hint="eastAsia" w:ascii="仿宋" w:hAnsi="仿宋" w:eastAsia="仿宋"/>
          <w:color w:val="auto"/>
          <w:sz w:val="24"/>
          <w:szCs w:val="24"/>
          <w:highlight w:val="none"/>
        </w:rPr>
        <w:t>进行赔偿</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lang w:val="en-US" w:eastAsia="zh-CN"/>
        </w:rPr>
        <w:t>但如因甲方管理、使用等甲方原因导致除外</w:t>
      </w:r>
      <w:r>
        <w:rPr>
          <w:rFonts w:hint="eastAsia" w:ascii="仿宋" w:hAnsi="仿宋" w:eastAsia="仿宋"/>
          <w:color w:val="auto"/>
          <w:sz w:val="24"/>
          <w:szCs w:val="24"/>
          <w:highlight w:val="none"/>
        </w:rPr>
        <w:t>。</w:t>
      </w:r>
    </w:p>
    <w:p>
      <w:pPr>
        <w:spacing w:line="360" w:lineRule="auto"/>
        <w:ind w:firstLine="480"/>
        <w:rPr>
          <w:rFonts w:hint="eastAsia" w:ascii="仿宋" w:hAnsi="仿宋" w:eastAsia="仿宋"/>
          <w:color w:val="auto"/>
          <w:sz w:val="24"/>
          <w:szCs w:val="24"/>
          <w:highlight w:val="none"/>
        </w:rPr>
      </w:pPr>
      <w:bookmarkStart w:id="1" w:name="_Hlk162006475"/>
      <w:r>
        <w:rPr>
          <w:rFonts w:hint="eastAsia" w:ascii="仿宋" w:hAnsi="仿宋" w:eastAsia="仿宋"/>
          <w:color w:val="auto"/>
          <w:sz w:val="24"/>
          <w:szCs w:val="24"/>
          <w:highlight w:val="none"/>
        </w:rPr>
        <w:t>3.乙方</w:t>
      </w:r>
      <w:r>
        <w:rPr>
          <w:rFonts w:hint="eastAsia" w:ascii="仿宋" w:hAnsi="仿宋" w:eastAsia="仿宋"/>
          <w:color w:val="auto"/>
          <w:sz w:val="24"/>
          <w:szCs w:val="24"/>
          <w:highlight w:val="none"/>
          <w:lang w:val="en-US" w:eastAsia="zh-CN"/>
        </w:rPr>
        <w:t>应</w:t>
      </w:r>
      <w:r>
        <w:rPr>
          <w:rFonts w:hint="eastAsia" w:ascii="仿宋" w:hAnsi="仿宋" w:eastAsia="仿宋"/>
          <w:color w:val="auto"/>
          <w:sz w:val="24"/>
          <w:szCs w:val="24"/>
          <w:highlight w:val="none"/>
          <w:lang w:eastAsia="zh-CN"/>
        </w:rPr>
        <w:t>在</w:t>
      </w:r>
      <w:r>
        <w:rPr>
          <w:rFonts w:hint="eastAsia" w:ascii="仿宋" w:hAnsi="仿宋" w:eastAsia="仿宋"/>
          <w:color w:val="auto"/>
          <w:sz w:val="24"/>
          <w:szCs w:val="24"/>
          <w:highlight w:val="none"/>
          <w:lang w:val="en-US" w:eastAsia="zh-CN"/>
        </w:rPr>
        <w:t>每个航次使用结束前提前3个工作日与甲方确认归还事宜，设备在每个航次使用结束后经甲方验收合格，由甲方负责进行设备的运回</w:t>
      </w:r>
      <w:r>
        <w:rPr>
          <w:rFonts w:hint="eastAsia" w:ascii="仿宋" w:hAnsi="仿宋" w:eastAsia="仿宋"/>
          <w:color w:val="auto"/>
          <w:sz w:val="24"/>
          <w:szCs w:val="24"/>
          <w:highlight w:val="none"/>
        </w:rPr>
        <w:t>。</w:t>
      </w:r>
    </w:p>
    <w:p>
      <w:pPr>
        <w:spacing w:line="360" w:lineRule="auto"/>
        <w:ind w:firstLine="480"/>
        <w:rPr>
          <w:rFonts w:hint="default"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4.乙方在归还设备时，应根据设备的使用情况向甲方提供《走航式营养盐监测系统租用用户证明》</w:t>
      </w:r>
    </w:p>
    <w:bookmarkEnd w:id="1"/>
    <w:p>
      <w:pPr>
        <w:spacing w:line="360" w:lineRule="auto"/>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七、使用及维护</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1.甲方应对乙方相关人员进行技术指导和培训，确保其熟悉操作使用、检查测试、一般维护的正确方法，了解各项注意事项。</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租赁期间，非因设备质量问题产生的使用、维修、维护产生的费用均由乙方负责</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lang w:val="en-US" w:eastAsia="zh-CN"/>
        </w:rPr>
        <w:t>但若因甲方管理、使用等甲方原因产生的设备损失及额外费用由甲方负责</w:t>
      </w:r>
      <w:r>
        <w:rPr>
          <w:rFonts w:hint="eastAsia" w:ascii="仿宋" w:hAnsi="仿宋" w:eastAsia="仿宋"/>
          <w:color w:val="auto"/>
          <w:sz w:val="24"/>
          <w:szCs w:val="24"/>
          <w:highlight w:val="none"/>
        </w:rPr>
        <w:t>；因设备本身质量原因所导致产生的费用由甲方负责；</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乙方仅享有租赁期间本合同的范围的使用权，不得将设备转卖或转租、出借给第三方使用，也不得在设备上设定任何抵押或担保，否则全部后果由乙方承担，甲方有权立即收回设备，并要求乙方承担违约责任及赔偿给甲方造成的全部损失；</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3.乙方在归还设备时若设备有损坏</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lang w:val="en-US" w:eastAsia="zh-CN"/>
        </w:rPr>
        <w:t>因甲方管理、使用等甲方原因导致除外</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rPr>
        <w:t>，在经过甲方评估损失后，乙方应当</w:t>
      </w:r>
      <w:r>
        <w:rPr>
          <w:rFonts w:hint="eastAsia" w:ascii="仿宋" w:hAnsi="仿宋" w:eastAsia="仿宋"/>
          <w:color w:val="auto"/>
          <w:sz w:val="24"/>
          <w:szCs w:val="24"/>
          <w:highlight w:val="none"/>
          <w:lang w:val="en-US" w:eastAsia="zh-CN"/>
        </w:rPr>
        <w:t>根据设备的损坏情况，按照设备或配件的市场价</w:t>
      </w:r>
      <w:r>
        <w:rPr>
          <w:rFonts w:hint="eastAsia" w:ascii="仿宋" w:hAnsi="仿宋" w:eastAsia="仿宋"/>
          <w:color w:val="auto"/>
          <w:sz w:val="24"/>
          <w:szCs w:val="24"/>
          <w:highlight w:val="none"/>
        </w:rPr>
        <w:t>对甲方给予赔偿，若产生第三方评估费用的由乙方承担。</w:t>
      </w:r>
    </w:p>
    <w:p>
      <w:pPr>
        <w:spacing w:line="360" w:lineRule="auto"/>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八、知识产权</w:t>
      </w:r>
    </w:p>
    <w:p>
      <w:pPr>
        <w:spacing w:line="360" w:lineRule="auto"/>
        <w:ind w:firstLine="482" w:firstLineChars="200"/>
        <w:rPr>
          <w:rFonts w:ascii="仿宋" w:hAnsi="仿宋" w:eastAsia="仿宋"/>
          <w:color w:val="auto"/>
          <w:sz w:val="24"/>
          <w:szCs w:val="24"/>
          <w:highlight w:val="none"/>
        </w:rPr>
      </w:pPr>
      <w:r>
        <w:rPr>
          <w:rFonts w:hint="eastAsia" w:ascii="仿宋" w:hAnsi="仿宋" w:eastAsia="仿宋"/>
          <w:b/>
          <w:bCs/>
          <w:color w:val="auto"/>
          <w:sz w:val="24"/>
          <w:szCs w:val="24"/>
          <w:highlight w:val="none"/>
        </w:rPr>
        <w:t>甲方对设备拥有全部知识产权，乙方在使用和租赁期间，不得将设备拆解、研究。</w:t>
      </w:r>
      <w:r>
        <w:rPr>
          <w:rFonts w:hint="eastAsia" w:ascii="仿宋" w:hAnsi="仿宋" w:eastAsia="仿宋"/>
          <w:color w:val="auto"/>
          <w:sz w:val="24"/>
          <w:szCs w:val="24"/>
          <w:highlight w:val="none"/>
        </w:rPr>
        <w:t>租赁</w:t>
      </w:r>
      <w:r>
        <w:rPr>
          <w:rFonts w:ascii="仿宋" w:hAnsi="仿宋" w:eastAsia="仿宋"/>
          <w:color w:val="auto"/>
          <w:sz w:val="24"/>
          <w:szCs w:val="24"/>
          <w:highlight w:val="none"/>
        </w:rPr>
        <w:t>设备涵盖的任何知识产权（包括但不限于跟随或组成设备或包含在设备之中的任何及所有文档或数据），无论是否为</w:t>
      </w:r>
      <w:r>
        <w:rPr>
          <w:rFonts w:hint="eastAsia" w:ascii="仿宋" w:hAnsi="仿宋" w:eastAsia="仿宋"/>
          <w:color w:val="auto"/>
          <w:sz w:val="24"/>
          <w:szCs w:val="24"/>
          <w:highlight w:val="none"/>
        </w:rPr>
        <w:t>甲</w:t>
      </w:r>
      <w:r>
        <w:rPr>
          <w:rFonts w:ascii="仿宋" w:hAnsi="仿宋" w:eastAsia="仿宋"/>
          <w:color w:val="auto"/>
          <w:sz w:val="24"/>
          <w:szCs w:val="24"/>
          <w:highlight w:val="none"/>
        </w:rPr>
        <w:t>方专门研发，均由</w:t>
      </w:r>
      <w:r>
        <w:rPr>
          <w:rFonts w:hint="eastAsia" w:ascii="仿宋" w:hAnsi="仿宋" w:eastAsia="仿宋"/>
          <w:color w:val="auto"/>
          <w:sz w:val="24"/>
          <w:szCs w:val="24"/>
          <w:highlight w:val="none"/>
        </w:rPr>
        <w:t>甲</w:t>
      </w:r>
      <w:r>
        <w:rPr>
          <w:rFonts w:ascii="仿宋" w:hAnsi="仿宋" w:eastAsia="仿宋"/>
          <w:color w:val="auto"/>
          <w:sz w:val="24"/>
          <w:szCs w:val="24"/>
          <w:highlight w:val="none"/>
        </w:rPr>
        <w:t>方或其第三方供应商独家享有。</w:t>
      </w:r>
      <w:r>
        <w:rPr>
          <w:rFonts w:hint="eastAsia" w:ascii="仿宋" w:hAnsi="仿宋" w:eastAsia="仿宋"/>
          <w:color w:val="auto"/>
          <w:sz w:val="24"/>
          <w:szCs w:val="24"/>
          <w:highlight w:val="none"/>
        </w:rPr>
        <w:t>乙</w:t>
      </w:r>
      <w:r>
        <w:rPr>
          <w:rFonts w:ascii="仿宋" w:hAnsi="仿宋" w:eastAsia="仿宋"/>
          <w:color w:val="auto"/>
          <w:sz w:val="24"/>
          <w:szCs w:val="24"/>
          <w:highlight w:val="none"/>
        </w:rPr>
        <w:t>方不得以任何方式非法使用或侵犯</w:t>
      </w:r>
      <w:r>
        <w:rPr>
          <w:rFonts w:hint="eastAsia" w:ascii="仿宋" w:hAnsi="仿宋" w:eastAsia="仿宋"/>
          <w:color w:val="auto"/>
          <w:sz w:val="24"/>
          <w:szCs w:val="24"/>
          <w:highlight w:val="none"/>
        </w:rPr>
        <w:t>租赁</w:t>
      </w:r>
      <w:r>
        <w:rPr>
          <w:rFonts w:ascii="仿宋" w:hAnsi="仿宋" w:eastAsia="仿宋"/>
          <w:color w:val="auto"/>
          <w:sz w:val="24"/>
          <w:szCs w:val="24"/>
          <w:highlight w:val="none"/>
        </w:rPr>
        <w:t>设备的知识产权，否则，</w:t>
      </w:r>
      <w:r>
        <w:rPr>
          <w:rFonts w:hint="eastAsia" w:ascii="仿宋" w:hAnsi="仿宋" w:eastAsia="仿宋"/>
          <w:color w:val="auto"/>
          <w:sz w:val="24"/>
          <w:szCs w:val="24"/>
          <w:highlight w:val="none"/>
        </w:rPr>
        <w:t>甲</w:t>
      </w:r>
      <w:r>
        <w:rPr>
          <w:rFonts w:ascii="仿宋" w:hAnsi="仿宋" w:eastAsia="仿宋"/>
          <w:color w:val="auto"/>
          <w:sz w:val="24"/>
          <w:szCs w:val="24"/>
          <w:highlight w:val="none"/>
        </w:rPr>
        <w:t>方有权要求</w:t>
      </w:r>
      <w:r>
        <w:rPr>
          <w:rFonts w:hint="eastAsia" w:ascii="仿宋" w:hAnsi="仿宋" w:eastAsia="仿宋"/>
          <w:color w:val="auto"/>
          <w:sz w:val="24"/>
          <w:szCs w:val="24"/>
          <w:highlight w:val="none"/>
        </w:rPr>
        <w:t>乙</w:t>
      </w:r>
      <w:r>
        <w:rPr>
          <w:rFonts w:ascii="仿宋" w:hAnsi="仿宋" w:eastAsia="仿宋"/>
          <w:color w:val="auto"/>
          <w:sz w:val="24"/>
          <w:szCs w:val="24"/>
          <w:highlight w:val="none"/>
        </w:rPr>
        <w:t>方立即采取补救措施并承担全部责任，包括但不限于立即停止侵权行为，消除影响，赔偿</w:t>
      </w:r>
      <w:r>
        <w:rPr>
          <w:rFonts w:hint="eastAsia" w:ascii="仿宋" w:hAnsi="仿宋" w:eastAsia="仿宋"/>
          <w:color w:val="auto"/>
          <w:sz w:val="24"/>
          <w:szCs w:val="24"/>
          <w:highlight w:val="none"/>
        </w:rPr>
        <w:t>甲</w:t>
      </w:r>
      <w:r>
        <w:rPr>
          <w:rFonts w:ascii="仿宋" w:hAnsi="仿宋" w:eastAsia="仿宋"/>
          <w:color w:val="auto"/>
          <w:sz w:val="24"/>
          <w:szCs w:val="24"/>
          <w:highlight w:val="none"/>
        </w:rPr>
        <w:t>方或其第三方供应商因此遭受的全部损失等。</w:t>
      </w:r>
    </w:p>
    <w:p>
      <w:pPr>
        <w:numPr>
          <w:ilvl w:val="0"/>
          <w:numId w:val="1"/>
        </w:numPr>
        <w:spacing w:line="360" w:lineRule="auto"/>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违约责任</w:t>
      </w:r>
    </w:p>
    <w:p>
      <w:pPr>
        <w:numPr>
          <w:ilvl w:val="0"/>
          <w:numId w:val="2"/>
        </w:num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甲乙双方都应严格遵守本合同约定，任何一方违反本合同约定的，都应向对方偿付设备价格2</w:t>
      </w:r>
      <w:r>
        <w:rPr>
          <w:rFonts w:hint="eastAsia" w:ascii="仿宋" w:hAnsi="仿宋" w:eastAsia="仿宋"/>
          <w:color w:val="auto"/>
          <w:sz w:val="24"/>
          <w:szCs w:val="24"/>
          <w:highlight w:val="none"/>
          <w:lang w:val="en-US" w:eastAsia="zh-CN"/>
        </w:rPr>
        <w:t>0</w:t>
      </w:r>
      <w:r>
        <w:rPr>
          <w:rFonts w:hint="eastAsia" w:ascii="仿宋" w:hAnsi="仿宋" w:eastAsia="仿宋"/>
          <w:color w:val="auto"/>
          <w:sz w:val="24"/>
          <w:szCs w:val="24"/>
          <w:highlight w:val="none"/>
        </w:rPr>
        <w:t>％的违约金。</w:t>
      </w:r>
    </w:p>
    <w:p>
      <w:pPr>
        <w:numPr>
          <w:ilvl w:val="0"/>
          <w:numId w:val="2"/>
        </w:num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甲乙双方保证应对在本合同签署或履行过程中所获悉的有关对方的且无法自公开渠道获得的商业秘密（包括且不限于技术信息、经营信息客户信息、设备信息、文件资料、专有信息或其他任何非公开的信息）予以保密。非经对方事先书面同意或根据有关法律、法规的规定必须向第三方披露外，任意一方均不得以任何方式直接或间接向第三方披露。任何一方违反上述保密义务的，应承担相应的违约责任并赔偿由此造成的损失。</w:t>
      </w:r>
    </w:p>
    <w:p>
      <w:pPr>
        <w:numPr>
          <w:ilvl w:val="0"/>
          <w:numId w:val="1"/>
        </w:numPr>
        <w:spacing w:line="360" w:lineRule="auto"/>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其他</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1.甲方应允许乙方以“由租转购”的方式将设备由租赁转为购置，双方以签订新的协议或补充协议予以确认。</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2.本合同最终解释权归双方共有。如遇不可抗拒因素致条款不能及时履行，合同自动终止，未尽事宜，由双方协商解决。</w:t>
      </w:r>
    </w:p>
    <w:p>
      <w:pPr>
        <w:spacing w:line="360" w:lineRule="auto"/>
        <w:ind w:firstLine="480" w:firstLineChars="200"/>
        <w:rPr>
          <w:rFonts w:ascii="仿宋" w:hAnsi="仿宋" w:eastAsia="仿宋"/>
          <w:color w:val="auto"/>
          <w:sz w:val="24"/>
          <w:szCs w:val="24"/>
          <w:highlight w:val="none"/>
        </w:rPr>
      </w:pPr>
      <w:r>
        <w:rPr>
          <w:rFonts w:ascii="仿宋" w:hAnsi="仿宋" w:eastAsia="仿宋"/>
          <w:color w:val="auto"/>
          <w:sz w:val="24"/>
          <w:szCs w:val="24"/>
          <w:highlight w:val="none"/>
        </w:rPr>
        <w:t>3.</w:t>
      </w:r>
      <w:r>
        <w:rPr>
          <w:rFonts w:hint="eastAsia" w:ascii="仿宋" w:hAnsi="仿宋" w:eastAsia="仿宋"/>
          <w:color w:val="auto"/>
          <w:sz w:val="24"/>
          <w:szCs w:val="24"/>
          <w:highlight w:val="none"/>
        </w:rPr>
        <w:t>凡因本合同引起的或与本合同有关的争议，双方应友好协商解决。协商不成时，双方同意向甲方所在地有管辖权的人民法院提起诉讼。</w:t>
      </w:r>
    </w:p>
    <w:p>
      <w:pPr>
        <w:spacing w:line="360" w:lineRule="auto"/>
        <w:ind w:firstLine="480" w:firstLineChars="200"/>
        <w:rPr>
          <w:rFonts w:hint="eastAsia" w:ascii="仿宋" w:hAnsi="仿宋" w:eastAsia="仿宋"/>
          <w:color w:val="auto"/>
          <w:sz w:val="24"/>
          <w:szCs w:val="24"/>
          <w:highlight w:val="none"/>
        </w:rPr>
      </w:pPr>
      <w:r>
        <w:rPr>
          <w:rFonts w:hint="eastAsia" w:ascii="仿宋" w:hAnsi="仿宋" w:eastAsia="仿宋"/>
          <w:color w:val="auto"/>
          <w:sz w:val="24"/>
          <w:szCs w:val="24"/>
          <w:highlight w:val="none"/>
        </w:rPr>
        <w:t>4.本合同一式两份，甲乙双方各执一份，具有同等法律效力。本合同自双方签字盖章之日起生效。</w:t>
      </w:r>
    </w:p>
    <w:p>
      <w:pPr>
        <w:spacing w:line="360" w:lineRule="auto"/>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（以下无正文）</w:t>
      </w:r>
    </w:p>
    <w:tbl>
      <w:tblPr>
        <w:tblStyle w:val="14"/>
        <w:tblW w:w="903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8"/>
        <w:gridCol w:w="45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jc w:val="center"/>
        </w:trPr>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出租方:</w:t>
            </w:r>
          </w:p>
        </w:tc>
        <w:tc>
          <w:tcPr>
            <w:tcW w:w="4518" w:type="dxa"/>
            <w:vAlign w:val="center"/>
          </w:tcPr>
          <w:p>
            <w:pPr>
              <w:spacing w:line="360" w:lineRule="auto"/>
              <w:rPr>
                <w:rFonts w:ascii="仿宋" w:hAnsi="仿宋" w:eastAsia="仿宋"/>
                <w:color w:val="auto"/>
                <w:kern w:val="2"/>
                <w:sz w:val="24"/>
                <w:szCs w:val="24"/>
                <w:highlight w:val="none"/>
              </w:rPr>
            </w:pPr>
            <w:r>
              <w:rPr>
                <w:rFonts w:hint="eastAsia" w:ascii="仿宋" w:hAnsi="仿宋" w:eastAsia="仿宋"/>
                <w:color w:val="auto"/>
                <w:sz w:val="24"/>
                <w:szCs w:val="24"/>
                <w:highlight w:val="none"/>
              </w:rPr>
              <w:t>承租方</w:t>
            </w:r>
            <w:r>
              <w:rPr>
                <w:rFonts w:hint="eastAsia" w:ascii="仿宋" w:hAnsi="仿宋" w:eastAsia="仿宋"/>
                <w:color w:val="auto"/>
                <w:kern w:val="2"/>
                <w:sz w:val="24"/>
                <w:szCs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7" w:hRule="atLeast"/>
          <w:jc w:val="center"/>
        </w:trPr>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法人或委托代理人：</w:t>
            </w:r>
          </w:p>
        </w:tc>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法人或委托代理人：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2" w:hRule="atLeast"/>
          <w:jc w:val="center"/>
        </w:trPr>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签字日期：20</w:t>
            </w:r>
            <w:r>
              <w:rPr>
                <w:rFonts w:hint="eastAsia" w:ascii="仿宋" w:hAnsi="仿宋" w:eastAsia="仿宋"/>
                <w:color w:val="auto"/>
                <w:sz w:val="24"/>
                <w:szCs w:val="24"/>
                <w:highlight w:val="none"/>
                <w:lang w:val="en-US" w:eastAsia="zh-CN"/>
              </w:rPr>
              <w:t>25</w:t>
            </w:r>
            <w:r>
              <w:rPr>
                <w:rFonts w:hint="eastAsia" w:ascii="仿宋" w:hAnsi="仿宋" w:eastAsia="仿宋"/>
                <w:color w:val="auto"/>
                <w:sz w:val="24"/>
                <w:szCs w:val="24"/>
                <w:highlight w:val="none"/>
              </w:rPr>
              <w:t>年  月  日</w:t>
            </w:r>
          </w:p>
        </w:tc>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签字日期：20</w:t>
            </w:r>
            <w:r>
              <w:rPr>
                <w:rFonts w:hint="eastAsia" w:ascii="仿宋" w:hAnsi="仿宋" w:eastAsia="仿宋"/>
                <w:color w:val="auto"/>
                <w:sz w:val="24"/>
                <w:szCs w:val="24"/>
                <w:highlight w:val="none"/>
                <w:lang w:val="en-US" w:eastAsia="zh-CN"/>
              </w:rPr>
              <w:t>25</w:t>
            </w:r>
            <w:r>
              <w:rPr>
                <w:rFonts w:hint="eastAsia" w:ascii="仿宋" w:hAnsi="仿宋" w:eastAsia="仿宋"/>
                <w:color w:val="auto"/>
                <w:sz w:val="24"/>
                <w:szCs w:val="24"/>
                <w:highlight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5" w:hRule="atLeast"/>
          <w:jc w:val="center"/>
        </w:trPr>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开户银行：</w:t>
            </w:r>
          </w:p>
        </w:tc>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jc w:val="center"/>
        </w:trPr>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帐户名：</w:t>
            </w:r>
          </w:p>
        </w:tc>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帐户名：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3" w:hRule="atLeast"/>
          <w:jc w:val="center"/>
        </w:trPr>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结算帐号：</w:t>
            </w:r>
          </w:p>
        </w:tc>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结算帐号：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jc w:val="center"/>
        </w:trPr>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税号：</w:t>
            </w:r>
          </w:p>
        </w:tc>
        <w:tc>
          <w:tcPr>
            <w:tcW w:w="4518" w:type="dxa"/>
            <w:vAlign w:val="center"/>
          </w:tcPr>
          <w:p>
            <w:pPr>
              <w:spacing w:line="360" w:lineRule="auto"/>
              <w:rPr>
                <w:rFonts w:ascii="仿宋" w:hAnsi="仿宋" w:eastAsia="仿宋"/>
                <w:color w:val="auto"/>
                <w:sz w:val="24"/>
                <w:szCs w:val="24"/>
                <w:highlight w:val="none"/>
              </w:rPr>
            </w:pPr>
            <w:r>
              <w:rPr>
                <w:rFonts w:hint="eastAsia" w:ascii="仿宋" w:hAnsi="仿宋" w:eastAsia="仿宋"/>
                <w:color w:val="auto"/>
                <w:sz w:val="24"/>
                <w:szCs w:val="24"/>
                <w:highlight w:val="none"/>
              </w:rPr>
              <w:t>税号：</w:t>
            </w:r>
          </w:p>
        </w:tc>
      </w:tr>
    </w:tbl>
    <w:p>
      <w:pPr>
        <w:spacing w:line="360" w:lineRule="auto"/>
        <w:jc w:val="center"/>
        <w:rPr>
          <w:rFonts w:hint="eastAsia" w:ascii="华文仿宋" w:hAnsi="华文仿宋" w:eastAsia="华文仿宋" w:cs="华文仿宋"/>
          <w:color w:val="auto"/>
          <w:sz w:val="24"/>
          <w:szCs w:val="24"/>
          <w:highlight w:val="none"/>
        </w:rPr>
      </w:pPr>
    </w:p>
    <w:sectPr>
      <w:footerReference r:id="rId3" w:type="default"/>
      <w:pgSz w:w="12242" w:h="15842"/>
      <w:pgMar w:top="1276" w:right="1610" w:bottom="1418" w:left="1560" w:header="851" w:footer="992" w:gutter="0"/>
      <w:pgNumType w:fmt="decimal" w:start="1"/>
      <w:cols w:space="720" w:num="1"/>
      <w:docGrid w:linePitch="2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w:t>
                    </w:r>
                    <w:r>
                      <w:fldChar w:fldCharType="end"/>
                    </w:r>
                    <w: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7945686"/>
    <w:multiLevelType w:val="singleLevel"/>
    <w:tmpl w:val="F7945686"/>
    <w:lvl w:ilvl="0" w:tentative="0">
      <w:start w:val="1"/>
      <w:numFmt w:val="decimal"/>
      <w:suff w:val="nothing"/>
      <w:lvlText w:val="%1．"/>
      <w:lvlJc w:val="left"/>
    </w:lvl>
  </w:abstractNum>
  <w:abstractNum w:abstractNumId="1">
    <w:nsid w:val="203B7F9D"/>
    <w:multiLevelType w:val="singleLevel"/>
    <w:tmpl w:val="203B7F9D"/>
    <w:lvl w:ilvl="0" w:tentative="0">
      <w:start w:val="9"/>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ulTrailSpace/>
    <w:doNotBreakWrappedTables/>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71F19C4"/>
    <w:rsid w:val="0B0133B1"/>
    <w:rsid w:val="32B72A0A"/>
    <w:rsid w:val="39BC5900"/>
    <w:rsid w:val="468E6862"/>
    <w:rsid w:val="4A954444"/>
    <w:rsid w:val="4D920BF4"/>
    <w:rsid w:val="610C217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360" w:lineRule="atLeast"/>
      <w:textAlignment w:val="baseline"/>
    </w:pPr>
    <w:rPr>
      <w:rFonts w:ascii="Times New Roman" w:hAnsi="Times New Roman" w:eastAsia="宋体" w:cs="Times New Roman"/>
      <w:sz w:val="24"/>
      <w:szCs w:val="24"/>
      <w:lang w:val="en-US" w:eastAsia="zh-CN" w:bidi="ar-SA"/>
    </w:rPr>
  </w:style>
  <w:style w:type="paragraph" w:styleId="2">
    <w:name w:val="heading 1"/>
    <w:basedOn w:val="1"/>
    <w:next w:val="1"/>
    <w:link w:val="21"/>
    <w:qFormat/>
    <w:uiPriority w:val="9"/>
    <w:pPr>
      <w:keepNext/>
      <w:keepLines/>
      <w:spacing w:before="340" w:after="330" w:line="578" w:lineRule="atLeast"/>
      <w:outlineLvl w:val="0"/>
    </w:pPr>
    <w:rPr>
      <w:kern w:val="44"/>
      <w:sz w:val="44"/>
      <w:szCs w:val="44"/>
    </w:rPr>
  </w:style>
  <w:style w:type="paragraph" w:styleId="3">
    <w:name w:val="heading 3"/>
    <w:basedOn w:val="1"/>
    <w:next w:val="1"/>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11">
    <w:name w:val="Default Paragraph Font"/>
    <w:unhideWhenUsed/>
    <w:qFormat/>
    <w:uiPriority w:val="1"/>
  </w:style>
  <w:style w:type="table" w:default="1" w:styleId="14">
    <w:name w:val="Normal Table"/>
    <w:unhideWhenUsed/>
    <w:qFormat/>
    <w:uiPriority w:val="99"/>
    <w:tblPr>
      <w:tblLayout w:type="fixed"/>
      <w:tblCellMar>
        <w:top w:w="0" w:type="dxa"/>
        <w:left w:w="108" w:type="dxa"/>
        <w:bottom w:w="0" w:type="dxa"/>
        <w:right w:w="108" w:type="dxa"/>
      </w:tblCellMar>
    </w:tblPr>
  </w:style>
  <w:style w:type="paragraph" w:styleId="4">
    <w:name w:val="annotation subject"/>
    <w:basedOn w:val="5"/>
    <w:next w:val="5"/>
    <w:link w:val="20"/>
    <w:unhideWhenUsed/>
    <w:qFormat/>
    <w:uiPriority w:val="99"/>
    <w:rPr>
      <w:b/>
      <w:bCs/>
    </w:rPr>
  </w:style>
  <w:style w:type="paragraph" w:styleId="5">
    <w:name w:val="annotation text"/>
    <w:basedOn w:val="1"/>
    <w:link w:val="19"/>
    <w:unhideWhenUsed/>
    <w:qFormat/>
    <w:uiPriority w:val="99"/>
  </w:style>
  <w:style w:type="paragraph" w:styleId="6">
    <w:name w:val="Body Text"/>
    <w:basedOn w:val="1"/>
    <w:unhideWhenUsed/>
    <w:qFormat/>
    <w:uiPriority w:val="0"/>
    <w:pPr>
      <w:spacing w:after="120"/>
    </w:pPr>
  </w:style>
  <w:style w:type="paragraph" w:styleId="7">
    <w:name w:val="Balloon Text"/>
    <w:basedOn w:val="1"/>
    <w:link w:val="23"/>
    <w:unhideWhenUsed/>
    <w:qFormat/>
    <w:uiPriority w:val="99"/>
    <w:pPr>
      <w:spacing w:line="240" w:lineRule="auto"/>
    </w:pPr>
    <w:rPr>
      <w:sz w:val="18"/>
      <w:szCs w:val="18"/>
    </w:rPr>
  </w:style>
  <w:style w:type="paragraph" w:styleId="8">
    <w:name w:val="footer"/>
    <w:basedOn w:val="1"/>
    <w:link w:val="18"/>
    <w:unhideWhenUsed/>
    <w:qFormat/>
    <w:uiPriority w:val="99"/>
    <w:pPr>
      <w:tabs>
        <w:tab w:val="center" w:pos="4153"/>
        <w:tab w:val="right" w:pos="8306"/>
      </w:tabs>
      <w:snapToGrid w:val="0"/>
      <w:spacing w:line="240" w:lineRule="atLeast"/>
    </w:pPr>
    <w:rPr>
      <w:sz w:val="18"/>
      <w:szCs w:val="18"/>
    </w:rPr>
  </w:style>
  <w:style w:type="paragraph" w:styleId="9">
    <w:name w:val="header"/>
    <w:basedOn w:val="1"/>
    <w:link w:val="17"/>
    <w:unhideWhenUsed/>
    <w:qFormat/>
    <w:uiPriority w:val="99"/>
    <w:pPr>
      <w:tabs>
        <w:tab w:val="center" w:pos="4153"/>
        <w:tab w:val="right" w:pos="8306"/>
      </w:tabs>
      <w:snapToGrid w:val="0"/>
      <w:spacing w:line="240" w:lineRule="atLeast"/>
      <w:jc w:val="center"/>
    </w:pPr>
    <w:rPr>
      <w:sz w:val="18"/>
      <w:szCs w:val="18"/>
    </w:rPr>
  </w:style>
  <w:style w:type="paragraph" w:styleId="10">
    <w:name w:val="Normal (Web)"/>
    <w:basedOn w:val="1"/>
    <w:unhideWhenUsed/>
    <w:qFormat/>
    <w:uiPriority w:val="99"/>
    <w:rPr>
      <w:sz w:val="24"/>
    </w:rPr>
  </w:style>
  <w:style w:type="character" w:styleId="12">
    <w:name w:val="Strong"/>
    <w:basedOn w:val="11"/>
    <w:qFormat/>
    <w:uiPriority w:val="22"/>
    <w:rPr>
      <w:b/>
      <w:bCs/>
    </w:rPr>
  </w:style>
  <w:style w:type="character" w:styleId="13">
    <w:name w:val="annotation reference"/>
    <w:basedOn w:val="11"/>
    <w:unhideWhenUsed/>
    <w:qFormat/>
    <w:uiPriority w:val="99"/>
    <w:rPr>
      <w:sz w:val="21"/>
      <w:szCs w:val="21"/>
    </w:rPr>
  </w:style>
  <w:style w:type="table" w:styleId="15">
    <w:name w:val="Table Grid"/>
    <w:basedOn w:val="1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16">
    <w:name w:val="正文1"/>
    <w:qFormat/>
    <w:uiPriority w:val="0"/>
    <w:pPr>
      <w:widowControl w:val="0"/>
      <w:autoSpaceDE w:val="0"/>
      <w:autoSpaceDN w:val="0"/>
      <w:adjustRightInd w:val="0"/>
      <w:spacing w:line="360" w:lineRule="auto"/>
      <w:textAlignment w:val="bottom"/>
    </w:pPr>
    <w:rPr>
      <w:rFonts w:ascii="仿宋" w:hAnsi="仿宋" w:eastAsia="仿宋" w:cs="黑体"/>
      <w:b/>
      <w:bCs/>
      <w:sz w:val="24"/>
      <w:szCs w:val="24"/>
      <w:lang w:val="en-US" w:eastAsia="zh-CN" w:bidi="ar-SA"/>
    </w:rPr>
  </w:style>
  <w:style w:type="character" w:customStyle="1" w:styleId="17">
    <w:name w:val="页眉 Char"/>
    <w:basedOn w:val="11"/>
    <w:link w:val="9"/>
    <w:qFormat/>
    <w:uiPriority w:val="99"/>
    <w:rPr>
      <w:rFonts w:ascii="Times New Roman" w:hAnsi="Times New Roman" w:eastAsia="宋体" w:cs="Times New Roman"/>
      <w:kern w:val="0"/>
      <w:sz w:val="18"/>
      <w:szCs w:val="18"/>
    </w:rPr>
  </w:style>
  <w:style w:type="character" w:customStyle="1" w:styleId="18">
    <w:name w:val="页脚 Char"/>
    <w:basedOn w:val="11"/>
    <w:link w:val="8"/>
    <w:qFormat/>
    <w:uiPriority w:val="99"/>
    <w:rPr>
      <w:rFonts w:ascii="Times New Roman" w:hAnsi="Times New Roman" w:eastAsia="宋体" w:cs="Times New Roman"/>
      <w:kern w:val="0"/>
      <w:sz w:val="18"/>
      <w:szCs w:val="18"/>
    </w:rPr>
  </w:style>
  <w:style w:type="character" w:customStyle="1" w:styleId="19">
    <w:name w:val="批注文字 Char"/>
    <w:basedOn w:val="11"/>
    <w:link w:val="5"/>
    <w:semiHidden/>
    <w:qFormat/>
    <w:uiPriority w:val="99"/>
    <w:rPr>
      <w:rFonts w:ascii="Times New Roman" w:hAnsi="Times New Roman" w:eastAsia="宋体" w:cs="Times New Roman"/>
      <w:kern w:val="0"/>
      <w:szCs w:val="20"/>
    </w:rPr>
  </w:style>
  <w:style w:type="character" w:customStyle="1" w:styleId="20">
    <w:name w:val="批注主题 Char"/>
    <w:basedOn w:val="19"/>
    <w:link w:val="4"/>
    <w:semiHidden/>
    <w:qFormat/>
    <w:uiPriority w:val="99"/>
    <w:rPr>
      <w:rFonts w:ascii="Times New Roman" w:hAnsi="Times New Roman" w:eastAsia="宋体" w:cs="Times New Roman"/>
      <w:b/>
      <w:bCs/>
      <w:kern w:val="0"/>
      <w:szCs w:val="20"/>
    </w:rPr>
  </w:style>
  <w:style w:type="character" w:customStyle="1" w:styleId="21">
    <w:name w:val="标题 1 Char"/>
    <w:basedOn w:val="11"/>
    <w:link w:val="2"/>
    <w:qFormat/>
    <w:uiPriority w:val="9"/>
    <w:rPr>
      <w:rFonts w:ascii="Times New Roman" w:hAnsi="Times New Roman" w:eastAsia="宋体" w:cs="Times New Roman"/>
      <w:b/>
      <w:bCs/>
      <w:kern w:val="44"/>
      <w:sz w:val="44"/>
      <w:szCs w:val="44"/>
    </w:rPr>
  </w:style>
  <w:style w:type="paragraph" w:customStyle="1" w:styleId="22">
    <w:name w:val="List Paragraph"/>
    <w:basedOn w:val="1"/>
    <w:unhideWhenUsed/>
    <w:qFormat/>
    <w:uiPriority w:val="99"/>
    <w:pPr>
      <w:ind w:firstLine="420" w:firstLineChars="200"/>
    </w:pPr>
  </w:style>
  <w:style w:type="character" w:customStyle="1" w:styleId="23">
    <w:name w:val="批注框文本 Char"/>
    <w:basedOn w:val="11"/>
    <w:link w:val="7"/>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2300</Words>
  <Characters>2479</Characters>
  <Lines>18</Lines>
  <Paragraphs>5</Paragraphs>
  <TotalTime>0</TotalTime>
  <ScaleCrop>false</ScaleCrop>
  <LinksUpToDate>false</LinksUpToDate>
  <CharactersWithSpaces>2491</CharactersWithSpaces>
  <Application>WPS Office_10.8.2.6948_F1E327BC-269C-435d-A152-05C5408002CA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2024-03-29T03:05:00Z</dcterms:created>
  <dc:creator>李 杉</dc:creator>
  <cp:lastModifiedBy>韦细姣</cp:lastModifiedBy>
  <dcterms:modified xsi:type="dcterms:W3CDTF">2025-06-04T02:10:17Z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2052-10.8.2.6948</vt:lpwstr>
  </property>
  <property fmtid="{D5CDD505-2E9C-101B-9397-08002B2CF9AE}" pid="3" name="ICV">
    <vt:lpwstr>BE16B6E3D0E9424E9BF953C8CC9CD197_13</vt:lpwstr>
  </property>
  <property fmtid="{D5CDD505-2E9C-101B-9397-08002B2CF9AE}" pid="4" name="KSOTemplateDocerSaveRecord">
    <vt:lpwstr>eyJoZGlkIjoiNzk5ZTA2NWFjZjg2OTg0Njc1M2I5OWFjZWJmOWZiMWEiLCJ1c2VySWQiOiIyMzg3MDYxMjcifQ==</vt:lpwstr>
  </property>
</Properties>
</file>