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86D44A0">
      <w:pPr>
        <w:keepNext w:val="0"/>
        <w:keepLines w:val="0"/>
        <w:pageBreakBefore w:val="0"/>
        <w:widowControl w:val="0"/>
        <w:tabs>
          <w:tab w:val="left" w:pos="0"/>
        </w:tabs>
        <w:kinsoku/>
        <w:wordWrap/>
        <w:overflowPunct/>
        <w:topLinePunct w:val="0"/>
        <w:bidi w:val="0"/>
        <w:spacing w:line="540" w:lineRule="exact"/>
        <w:jc w:val="left"/>
        <w:rPr>
          <w:rFonts w:hint="eastAsia" w:ascii="Times New Roman" w:hAnsi="Times New Roman" w:eastAsia="黑体" w:cs="Times New Roman"/>
          <w:color w:val="auto"/>
          <w:sz w:val="32"/>
          <w:szCs w:val="32"/>
          <w:highlight w:val="none"/>
          <w:lang w:val="en-US" w:eastAsia="zh-CN"/>
        </w:rPr>
      </w:pPr>
      <w:r>
        <w:rPr>
          <w:rFonts w:hint="default" w:ascii="Times New Roman" w:hAnsi="Times New Roman" w:eastAsia="黑体" w:cs="Times New Roman"/>
          <w:color w:val="auto"/>
          <w:sz w:val="32"/>
          <w:szCs w:val="32"/>
          <w:highlight w:val="none"/>
        </w:rPr>
        <w:t>附件</w:t>
      </w:r>
      <w:r>
        <w:rPr>
          <w:rFonts w:hint="eastAsia" w:ascii="Times New Roman" w:hAnsi="Times New Roman" w:eastAsia="黑体" w:cs="Times New Roman"/>
          <w:color w:val="auto"/>
          <w:sz w:val="32"/>
          <w:szCs w:val="32"/>
          <w:highlight w:val="none"/>
          <w:lang w:val="en-US" w:eastAsia="zh-CN"/>
        </w:rPr>
        <w:t>4</w:t>
      </w:r>
    </w:p>
    <w:p w14:paraId="3C4D77FC">
      <w:pPr>
        <w:keepNext w:val="0"/>
        <w:keepLines w:val="0"/>
        <w:pageBreakBefore w:val="0"/>
        <w:widowControl w:val="0"/>
        <w:tabs>
          <w:tab w:val="left" w:pos="0"/>
        </w:tabs>
        <w:kinsoku/>
        <w:wordWrap/>
        <w:overflowPunct/>
        <w:topLinePunct w:val="0"/>
        <w:bidi w:val="0"/>
        <w:spacing w:line="540" w:lineRule="exact"/>
        <w:jc w:val="center"/>
        <w:rPr>
          <w:rFonts w:hint="eastAsia" w:ascii="Times New Roman" w:hAnsi="Times New Roman" w:eastAsia="方正小标宋_GBK" w:cs="Times New Roman"/>
          <w:color w:val="auto"/>
          <w:sz w:val="44"/>
          <w:szCs w:val="44"/>
          <w:highlight w:val="none"/>
          <w:lang w:eastAsia="zh-CN"/>
        </w:rPr>
      </w:pPr>
      <w:r>
        <w:rPr>
          <w:rFonts w:hint="default" w:ascii="Times New Roman" w:hAnsi="Times New Roman" w:eastAsia="方正小标宋_GBK" w:cs="Times New Roman"/>
          <w:color w:val="auto"/>
          <w:sz w:val="44"/>
          <w:szCs w:val="44"/>
          <w:highlight w:val="none"/>
        </w:rPr>
        <w:t>综合评分</w:t>
      </w:r>
      <w:r>
        <w:rPr>
          <w:rFonts w:hint="eastAsia" w:ascii="Times New Roman" w:hAnsi="Times New Roman" w:eastAsia="方正小标宋_GBK" w:cs="Times New Roman"/>
          <w:color w:val="auto"/>
          <w:sz w:val="44"/>
          <w:szCs w:val="44"/>
          <w:highlight w:val="none"/>
          <w:lang w:eastAsia="zh-CN"/>
        </w:rPr>
        <w:t>细则</w:t>
      </w:r>
    </w:p>
    <w:p w14:paraId="2515FB10">
      <w:pPr>
        <w:keepNext w:val="0"/>
        <w:keepLines w:val="0"/>
        <w:pageBreakBefore w:val="0"/>
        <w:widowControl w:val="0"/>
        <w:tabs>
          <w:tab w:val="left" w:pos="0"/>
        </w:tabs>
        <w:kinsoku/>
        <w:wordWrap/>
        <w:overflowPunct/>
        <w:topLinePunct w:val="0"/>
        <w:bidi w:val="0"/>
        <w:spacing w:line="540" w:lineRule="exact"/>
        <w:jc w:val="center"/>
        <w:rPr>
          <w:rFonts w:hint="default" w:ascii="Times New Roman" w:hAnsi="Times New Roman" w:eastAsia="方正小标宋_GBK" w:cs="Times New Roman"/>
          <w:color w:val="auto"/>
          <w:sz w:val="32"/>
          <w:szCs w:val="32"/>
          <w:highlight w:val="none"/>
        </w:rPr>
      </w:pPr>
    </w:p>
    <w:p w14:paraId="5164C3DD">
      <w:pPr>
        <w:keepNext w:val="0"/>
        <w:keepLines w:val="0"/>
        <w:pageBreakBefore w:val="0"/>
        <w:widowControl/>
        <w:kinsoku/>
        <w:wordWrap/>
        <w:overflowPunct/>
        <w:topLinePunct w:val="0"/>
        <w:bidi w:val="0"/>
        <w:spacing w:line="540" w:lineRule="exact"/>
        <w:ind w:firstLine="647" w:firstLineChars="202"/>
        <w:rPr>
          <w:rFonts w:hint="default" w:ascii="Times New Roman" w:hAnsi="Times New Roman" w:eastAsia="宋体" w:cs="Times New Roman"/>
          <w:b/>
          <w:color w:val="auto"/>
          <w:sz w:val="32"/>
          <w:szCs w:val="32"/>
          <w:highlight w:val="none"/>
        </w:rPr>
      </w:pPr>
      <w:r>
        <w:rPr>
          <w:rFonts w:hint="default" w:ascii="Times New Roman" w:hAnsi="Times New Roman" w:eastAsia="宋体" w:cs="Times New Roman"/>
          <w:b/>
          <w:color w:val="auto"/>
          <w:sz w:val="32"/>
          <w:szCs w:val="32"/>
          <w:highlight w:val="none"/>
        </w:rPr>
        <w:t>一、评审原则</w:t>
      </w:r>
    </w:p>
    <w:p w14:paraId="0F8BFA11">
      <w:pPr>
        <w:pStyle w:val="6"/>
        <w:keepNext w:val="0"/>
        <w:keepLines w:val="0"/>
        <w:pageBreakBefore w:val="0"/>
        <w:widowControl w:val="0"/>
        <w:kinsoku/>
        <w:wordWrap/>
        <w:overflowPunct/>
        <w:topLinePunct w:val="0"/>
        <w:bidi w:val="0"/>
        <w:spacing w:line="540" w:lineRule="exact"/>
        <w:ind w:firstLine="640" w:firstLineChars="200"/>
        <w:jc w:val="left"/>
        <w:rPr>
          <w:rFonts w:hint="default" w:ascii="Times New Roman" w:hAnsi="Times New Roman" w:eastAsia="仿宋" w:cs="Times New Roman"/>
          <w:color w:val="auto"/>
          <w:kern w:val="0"/>
          <w:sz w:val="32"/>
          <w:szCs w:val="32"/>
          <w:highlight w:val="none"/>
          <w:lang w:eastAsia="zh-CN"/>
        </w:rPr>
      </w:pPr>
      <w:r>
        <w:rPr>
          <w:rFonts w:hint="default" w:ascii="Times New Roman" w:hAnsi="Times New Roman" w:eastAsia="仿宋" w:cs="Times New Roman"/>
          <w:color w:val="auto"/>
          <w:kern w:val="0"/>
          <w:sz w:val="32"/>
          <w:szCs w:val="32"/>
          <w:highlight w:val="none"/>
          <w:lang w:eastAsia="zh-CN"/>
        </w:rPr>
        <w:t>（一）评审小组构成：评审小组由采购单位组建，评审小组成员由技术评分人员和监督指导人员组成。</w:t>
      </w:r>
    </w:p>
    <w:p w14:paraId="3677AEF3">
      <w:pPr>
        <w:pStyle w:val="6"/>
        <w:keepNext w:val="0"/>
        <w:keepLines w:val="0"/>
        <w:pageBreakBefore w:val="0"/>
        <w:widowControl w:val="0"/>
        <w:kinsoku/>
        <w:wordWrap/>
        <w:overflowPunct/>
        <w:topLinePunct w:val="0"/>
        <w:bidi w:val="0"/>
        <w:spacing w:line="540" w:lineRule="exact"/>
        <w:ind w:firstLine="640" w:firstLineChars="200"/>
        <w:jc w:val="left"/>
        <w:rPr>
          <w:rFonts w:hint="default" w:ascii="Times New Roman" w:hAnsi="Times New Roman" w:eastAsia="仿宋" w:cs="Times New Roman"/>
          <w:color w:val="auto"/>
          <w:kern w:val="0"/>
          <w:sz w:val="32"/>
          <w:szCs w:val="32"/>
          <w:highlight w:val="none"/>
          <w:lang w:eastAsia="zh-CN"/>
        </w:rPr>
      </w:pPr>
      <w:r>
        <w:rPr>
          <w:rFonts w:hint="default" w:ascii="Times New Roman" w:hAnsi="Times New Roman" w:eastAsia="仿宋" w:cs="Times New Roman"/>
          <w:color w:val="auto"/>
          <w:kern w:val="0"/>
          <w:sz w:val="32"/>
          <w:szCs w:val="32"/>
          <w:highlight w:val="none"/>
          <w:lang w:eastAsia="zh-CN"/>
        </w:rPr>
        <w:t>1.技术评分人员为3人以上（含3人）单数，由采购部门人员1人和党务工作人员2人组成，必要时可请本单位其他部门人员参加，也可外聘专家；技术评分人员需对每项逐一打分。</w:t>
      </w:r>
    </w:p>
    <w:p w14:paraId="050C362D">
      <w:pPr>
        <w:pStyle w:val="6"/>
        <w:keepNext w:val="0"/>
        <w:keepLines w:val="0"/>
        <w:pageBreakBefore w:val="0"/>
        <w:widowControl w:val="0"/>
        <w:kinsoku/>
        <w:wordWrap/>
        <w:overflowPunct/>
        <w:topLinePunct w:val="0"/>
        <w:bidi w:val="0"/>
        <w:spacing w:line="540" w:lineRule="exact"/>
        <w:ind w:firstLine="640" w:firstLineChars="200"/>
        <w:jc w:val="left"/>
        <w:rPr>
          <w:rFonts w:hint="default" w:ascii="Times New Roman" w:hAnsi="Times New Roman" w:eastAsia="仿宋" w:cs="Times New Roman"/>
          <w:color w:val="auto"/>
          <w:kern w:val="0"/>
          <w:sz w:val="32"/>
          <w:szCs w:val="32"/>
          <w:highlight w:val="none"/>
          <w:lang w:eastAsia="zh-CN"/>
        </w:rPr>
      </w:pPr>
      <w:r>
        <w:rPr>
          <w:rFonts w:hint="default" w:ascii="Times New Roman" w:hAnsi="Times New Roman" w:eastAsia="仿宋" w:cs="Times New Roman"/>
          <w:color w:val="auto"/>
          <w:kern w:val="0"/>
          <w:sz w:val="32"/>
          <w:szCs w:val="32"/>
          <w:highlight w:val="none"/>
          <w:lang w:eastAsia="zh-CN"/>
        </w:rPr>
        <w:t>2.监督指导人员由党务工作人员1人担任，对评分过程进行监督指导，不参与打分。</w:t>
      </w:r>
    </w:p>
    <w:p w14:paraId="683AD77E">
      <w:pPr>
        <w:pStyle w:val="6"/>
        <w:keepNext w:val="0"/>
        <w:keepLines w:val="0"/>
        <w:pageBreakBefore w:val="0"/>
        <w:widowControl w:val="0"/>
        <w:kinsoku/>
        <w:wordWrap/>
        <w:overflowPunct/>
        <w:topLinePunct w:val="0"/>
        <w:bidi w:val="0"/>
        <w:spacing w:line="540" w:lineRule="exact"/>
        <w:ind w:firstLine="640" w:firstLineChars="200"/>
        <w:jc w:val="left"/>
        <w:rPr>
          <w:rFonts w:hint="default" w:ascii="Times New Roman" w:hAnsi="Times New Roman" w:eastAsia="仿宋" w:cs="Times New Roman"/>
          <w:color w:val="auto"/>
          <w:kern w:val="0"/>
          <w:sz w:val="32"/>
          <w:szCs w:val="32"/>
          <w:highlight w:val="none"/>
          <w:lang w:eastAsia="zh-CN"/>
        </w:rPr>
      </w:pPr>
      <w:r>
        <w:rPr>
          <w:rFonts w:hint="default" w:ascii="Times New Roman" w:hAnsi="Times New Roman" w:eastAsia="仿宋" w:cs="Times New Roman"/>
          <w:color w:val="auto"/>
          <w:kern w:val="0"/>
          <w:sz w:val="32"/>
          <w:szCs w:val="32"/>
          <w:highlight w:val="none"/>
          <w:lang w:eastAsia="zh-CN"/>
        </w:rPr>
        <w:t>（二）评审依据：本评分细则和供应商提交的响应文件。</w:t>
      </w:r>
    </w:p>
    <w:p w14:paraId="64F373B3">
      <w:pPr>
        <w:keepNext w:val="0"/>
        <w:keepLines w:val="0"/>
        <w:pageBreakBefore w:val="0"/>
        <w:widowControl/>
        <w:kinsoku/>
        <w:wordWrap/>
        <w:overflowPunct/>
        <w:topLinePunct w:val="0"/>
        <w:bidi w:val="0"/>
        <w:spacing w:line="540" w:lineRule="exact"/>
        <w:ind w:firstLine="646" w:firstLineChars="202"/>
        <w:rPr>
          <w:rFonts w:hint="default" w:ascii="Times New Roman" w:hAnsi="Times New Roman" w:eastAsia="宋体" w:cs="Times New Roman"/>
          <w:b/>
          <w:color w:val="auto"/>
          <w:sz w:val="32"/>
          <w:szCs w:val="32"/>
          <w:highlight w:val="none"/>
        </w:rPr>
      </w:pPr>
      <w:r>
        <w:rPr>
          <w:rFonts w:hint="default" w:ascii="Times New Roman" w:hAnsi="Times New Roman" w:eastAsia="仿宋" w:cs="Times New Roman"/>
          <w:color w:val="auto"/>
          <w:kern w:val="0"/>
          <w:sz w:val="32"/>
          <w:szCs w:val="32"/>
          <w:highlight w:val="none"/>
          <w:lang w:eastAsia="zh-CN"/>
        </w:rPr>
        <w:t>（三）评审方法：综合评分法。</w:t>
      </w:r>
    </w:p>
    <w:p w14:paraId="2E0DF787">
      <w:pPr>
        <w:keepNext w:val="0"/>
        <w:keepLines w:val="0"/>
        <w:pageBreakBefore w:val="0"/>
        <w:widowControl/>
        <w:kinsoku/>
        <w:wordWrap/>
        <w:overflowPunct/>
        <w:topLinePunct w:val="0"/>
        <w:bidi w:val="0"/>
        <w:spacing w:line="540" w:lineRule="exact"/>
        <w:ind w:firstLine="647" w:firstLineChars="202"/>
        <w:rPr>
          <w:rFonts w:hint="default" w:ascii="Times New Roman" w:hAnsi="Times New Roman" w:eastAsia="宋体" w:cs="Times New Roman"/>
          <w:b/>
          <w:color w:val="auto"/>
          <w:sz w:val="32"/>
          <w:szCs w:val="32"/>
          <w:highlight w:val="none"/>
          <w:lang w:eastAsia="zh-CN"/>
        </w:rPr>
      </w:pPr>
      <w:r>
        <w:rPr>
          <w:rFonts w:hint="default" w:ascii="Times New Roman" w:hAnsi="Times New Roman" w:eastAsia="宋体" w:cs="Times New Roman"/>
          <w:b/>
          <w:color w:val="auto"/>
          <w:sz w:val="32"/>
          <w:szCs w:val="32"/>
          <w:highlight w:val="none"/>
        </w:rPr>
        <w:t>二、评审</w:t>
      </w:r>
      <w:r>
        <w:rPr>
          <w:rFonts w:hint="default" w:ascii="Times New Roman" w:hAnsi="Times New Roman" w:eastAsia="宋体" w:cs="Times New Roman"/>
          <w:b/>
          <w:color w:val="auto"/>
          <w:sz w:val="32"/>
          <w:szCs w:val="32"/>
          <w:highlight w:val="none"/>
          <w:lang w:eastAsia="zh-CN"/>
        </w:rPr>
        <w:t>标准</w:t>
      </w:r>
    </w:p>
    <w:p w14:paraId="567639AB">
      <w:pPr>
        <w:keepNext w:val="0"/>
        <w:keepLines w:val="0"/>
        <w:pageBreakBefore w:val="0"/>
        <w:widowControl/>
        <w:kinsoku/>
        <w:wordWrap/>
        <w:overflowPunct/>
        <w:topLinePunct w:val="0"/>
        <w:bidi w:val="0"/>
        <w:spacing w:line="540" w:lineRule="exact"/>
        <w:ind w:firstLine="640" w:firstLineChars="200"/>
        <w:rPr>
          <w:rFonts w:hint="default" w:ascii="Times New Roman" w:hAnsi="Times New Roman" w:eastAsia="仿宋" w:cs="Times New Roman"/>
          <w:color w:val="auto"/>
          <w:kern w:val="0"/>
          <w:sz w:val="32"/>
          <w:szCs w:val="32"/>
          <w:highlight w:val="none"/>
        </w:rPr>
      </w:pPr>
      <w:r>
        <w:rPr>
          <w:rFonts w:hint="default" w:ascii="Times New Roman" w:hAnsi="Times New Roman" w:eastAsia="仿宋" w:cs="Times New Roman"/>
          <w:color w:val="auto"/>
          <w:kern w:val="0"/>
          <w:sz w:val="32"/>
          <w:szCs w:val="32"/>
          <w:highlight w:val="none"/>
        </w:rPr>
        <w:t>供应商提交的报价及资格材料经初核符合要求的进入详评，评审小组将按本评分细则和响应文件为评定依据，采用百分制综合评分法：</w:t>
      </w:r>
    </w:p>
    <w:p w14:paraId="660BCE86">
      <w:pPr>
        <w:keepNext w:val="0"/>
        <w:keepLines w:val="0"/>
        <w:pageBreakBefore w:val="0"/>
        <w:widowControl/>
        <w:kinsoku/>
        <w:wordWrap/>
        <w:overflowPunct/>
        <w:topLinePunct w:val="0"/>
        <w:autoSpaceDE/>
        <w:autoSpaceDN/>
        <w:bidi w:val="0"/>
        <w:adjustRightInd/>
        <w:snapToGrid/>
        <w:spacing w:line="300" w:lineRule="auto"/>
        <w:ind w:firstLine="641" w:firstLineChars="200"/>
        <w:textAlignment w:val="auto"/>
        <w:rPr>
          <w:rFonts w:hint="default" w:ascii="Times New Roman" w:hAnsi="Times New Roman" w:eastAsia="宋体" w:cs="Times New Roman"/>
          <w:b/>
          <w:sz w:val="32"/>
          <w:szCs w:val="32"/>
          <w:highlight w:val="none"/>
        </w:rPr>
      </w:pPr>
      <w:r>
        <w:rPr>
          <w:rFonts w:hint="default" w:ascii="Times New Roman" w:hAnsi="Times New Roman" w:eastAsia="宋体" w:cs="Times New Roman"/>
          <w:b/>
          <w:sz w:val="32"/>
          <w:szCs w:val="32"/>
          <w:highlight w:val="none"/>
        </w:rPr>
        <w:t>（一）价格分</w:t>
      </w:r>
      <w:r>
        <w:rPr>
          <w:rFonts w:hint="eastAsia" w:eastAsia="宋体" w:cs="Times New Roman"/>
          <w:b/>
          <w:sz w:val="32"/>
          <w:szCs w:val="32"/>
          <w:highlight w:val="none"/>
          <w:lang w:eastAsia="zh-CN"/>
        </w:rPr>
        <w:t>（</w:t>
      </w:r>
      <w:r>
        <w:rPr>
          <w:rFonts w:hint="eastAsia" w:eastAsia="宋体" w:cs="Times New Roman"/>
          <w:b/>
          <w:sz w:val="32"/>
          <w:szCs w:val="32"/>
          <w:highlight w:val="none"/>
          <w:lang w:val="en-US" w:eastAsia="zh-CN"/>
        </w:rPr>
        <w:t>满分30</w:t>
      </w:r>
      <w:r>
        <w:rPr>
          <w:rFonts w:hint="default" w:ascii="Times New Roman" w:hAnsi="Times New Roman" w:eastAsia="宋体" w:cs="Times New Roman"/>
          <w:b/>
          <w:sz w:val="32"/>
          <w:szCs w:val="32"/>
          <w:highlight w:val="none"/>
        </w:rPr>
        <w:t>分</w:t>
      </w:r>
      <w:r>
        <w:rPr>
          <w:rFonts w:hint="eastAsia" w:eastAsia="宋体" w:cs="Times New Roman"/>
          <w:b/>
          <w:sz w:val="32"/>
          <w:szCs w:val="32"/>
          <w:highlight w:val="none"/>
          <w:lang w:eastAsia="zh-CN"/>
        </w:rPr>
        <w:t>）</w:t>
      </w:r>
    </w:p>
    <w:p w14:paraId="37E7B7E1">
      <w:pPr>
        <w:keepNext w:val="0"/>
        <w:keepLines w:val="0"/>
        <w:pageBreakBefore w:val="0"/>
        <w:widowControl/>
        <w:numPr>
          <w:ilvl w:val="0"/>
          <w:numId w:val="0"/>
        </w:numPr>
        <w:kinsoku/>
        <w:wordWrap/>
        <w:overflowPunct/>
        <w:topLinePunct w:val="0"/>
        <w:autoSpaceDE/>
        <w:autoSpaceDN/>
        <w:bidi w:val="0"/>
        <w:adjustRightInd/>
        <w:snapToGrid/>
        <w:spacing w:line="300" w:lineRule="auto"/>
        <w:ind w:firstLine="640" w:firstLineChars="200"/>
        <w:textAlignment w:val="auto"/>
        <w:rPr>
          <w:rFonts w:hint="default"/>
          <w:highlight w:val="none"/>
          <w:lang w:val="en-US" w:eastAsia="zh-CN"/>
        </w:rPr>
      </w:pPr>
      <w:r>
        <w:rPr>
          <w:rFonts w:hint="eastAsia" w:eastAsia="仿宋" w:cs="Times New Roman"/>
          <w:spacing w:val="0"/>
          <w:kern w:val="0"/>
          <w:sz w:val="32"/>
          <w:szCs w:val="32"/>
          <w:highlight w:val="none"/>
          <w:lang w:val="en-US" w:eastAsia="zh-CN"/>
        </w:rPr>
        <w:t>以满足本项目要求且报价最低的供应商报价为基准报价，基准报价得分30分。其余供应商价格分计算公式如下：</w:t>
      </w:r>
    </w:p>
    <w:p w14:paraId="17945A1D">
      <w:pPr>
        <w:keepNext w:val="0"/>
        <w:keepLines w:val="0"/>
        <w:pageBreakBefore w:val="0"/>
        <w:widowControl/>
        <w:numPr>
          <w:ilvl w:val="-1"/>
          <w:numId w:val="0"/>
        </w:numPr>
        <w:kinsoku/>
        <w:wordWrap/>
        <w:overflowPunct/>
        <w:topLinePunct w:val="0"/>
        <w:autoSpaceDE/>
        <w:autoSpaceDN/>
        <w:bidi w:val="0"/>
        <w:adjustRightInd/>
        <w:snapToGrid/>
        <w:spacing w:line="300" w:lineRule="auto"/>
        <w:ind w:firstLine="640" w:firstLineChars="200"/>
        <w:textAlignment w:val="auto"/>
        <w:rPr>
          <w:rFonts w:hint="default" w:ascii="Times New Roman" w:hAnsi="Times New Roman" w:eastAsia="宋体" w:cs="Times New Roman"/>
          <w:b/>
          <w:sz w:val="21"/>
          <w:szCs w:val="21"/>
          <w:highlight w:val="none"/>
        </w:rPr>
      </w:pPr>
      <w:r>
        <w:rPr>
          <w:rFonts w:hint="default" w:ascii="Times New Roman" w:hAnsi="Times New Roman" w:eastAsia="仿宋" w:cs="Times New Roman"/>
          <w:spacing w:val="0"/>
          <w:kern w:val="0"/>
          <w:sz w:val="32"/>
          <w:szCs w:val="32"/>
          <w:highlight w:val="none"/>
        </w:rPr>
        <w:t>某供应商价格分=</w:t>
      </w:r>
      <w:r>
        <w:rPr>
          <w:rFonts w:hint="eastAsia" w:eastAsia="仿宋" w:cs="Times New Roman"/>
          <w:spacing w:val="0"/>
          <w:kern w:val="0"/>
          <w:sz w:val="32"/>
          <w:szCs w:val="32"/>
          <w:highlight w:val="none"/>
          <w:lang w:val="en-US" w:eastAsia="zh-CN"/>
        </w:rPr>
        <w:t>基准报价</w:t>
      </w:r>
      <w:r>
        <w:rPr>
          <w:rFonts w:hint="default" w:ascii="Times New Roman" w:hAnsi="Times New Roman" w:eastAsia="仿宋" w:cs="Times New Roman"/>
          <w:spacing w:val="0"/>
          <w:kern w:val="0"/>
          <w:sz w:val="32"/>
          <w:szCs w:val="32"/>
          <w:highlight w:val="none"/>
        </w:rPr>
        <w:t>/某供应商报价（金额）</w:t>
      </w:r>
      <w:r>
        <w:rPr>
          <w:rFonts w:hint="default" w:ascii="Times New Roman" w:hAnsi="Times New Roman" w:eastAsia="宋体" w:cs="Times New Roman"/>
          <w:spacing w:val="-6"/>
          <w:sz w:val="32"/>
          <w:szCs w:val="32"/>
          <w:highlight w:val="none"/>
        </w:rPr>
        <w:t>×</w:t>
      </w:r>
      <w:r>
        <w:rPr>
          <w:rFonts w:hint="eastAsia" w:eastAsia="宋体" w:cs="Times New Roman"/>
          <w:spacing w:val="-6"/>
          <w:sz w:val="32"/>
          <w:szCs w:val="32"/>
          <w:highlight w:val="none"/>
          <w:lang w:val="en-US" w:eastAsia="zh-CN"/>
        </w:rPr>
        <w:t>30</w:t>
      </w:r>
      <w:r>
        <w:rPr>
          <w:rFonts w:hint="default" w:ascii="Times New Roman" w:hAnsi="Times New Roman" w:eastAsia="宋体" w:cs="Times New Roman"/>
          <w:b/>
          <w:sz w:val="32"/>
          <w:szCs w:val="32"/>
          <w:highlight w:val="none"/>
          <w:lang w:val="en-US" w:eastAsia="zh-CN"/>
        </w:rPr>
        <w:t>分</w:t>
      </w:r>
      <w:r>
        <w:rPr>
          <w:rFonts w:hint="default" w:ascii="Times New Roman" w:hAnsi="Times New Roman" w:eastAsia="宋体" w:cs="Times New Roman"/>
          <w:b/>
          <w:sz w:val="21"/>
          <w:szCs w:val="21"/>
          <w:highlight w:val="none"/>
          <w:lang w:val="en-US" w:eastAsia="zh-CN"/>
        </w:rPr>
        <w:t>。</w:t>
      </w:r>
    </w:p>
    <w:p w14:paraId="1CCC1888">
      <w:pPr>
        <w:keepNext w:val="0"/>
        <w:keepLines w:val="0"/>
        <w:pageBreakBefore w:val="0"/>
        <w:widowControl/>
        <w:numPr>
          <w:ilvl w:val="-1"/>
          <w:numId w:val="0"/>
        </w:numPr>
        <w:kinsoku/>
        <w:wordWrap/>
        <w:overflowPunct/>
        <w:topLinePunct w:val="0"/>
        <w:autoSpaceDE/>
        <w:autoSpaceDN/>
        <w:bidi w:val="0"/>
        <w:adjustRightInd/>
        <w:snapToGrid/>
        <w:spacing w:line="300" w:lineRule="auto"/>
        <w:ind w:firstLine="641" w:firstLineChars="200"/>
        <w:textAlignment w:val="auto"/>
        <w:rPr>
          <w:rFonts w:hint="default" w:ascii="Times New Roman" w:hAnsi="Times New Roman" w:eastAsia="仿宋" w:cs="Times New Roman"/>
          <w:b w:val="0"/>
          <w:bCs w:val="0"/>
          <w:kern w:val="0"/>
          <w:sz w:val="32"/>
          <w:szCs w:val="32"/>
          <w:highlight w:val="none"/>
          <w:lang w:eastAsia="zh-CN"/>
        </w:rPr>
      </w:pPr>
      <w:r>
        <w:rPr>
          <w:rFonts w:hint="default" w:ascii="Times New Roman" w:hAnsi="Times New Roman" w:eastAsia="宋体" w:cs="Times New Roman"/>
          <w:b/>
          <w:sz w:val="32"/>
          <w:szCs w:val="32"/>
          <w:highlight w:val="none"/>
          <w:lang w:eastAsia="zh-CN"/>
        </w:rPr>
        <w:t>（二）技术分 （满分</w:t>
      </w:r>
      <w:r>
        <w:rPr>
          <w:rFonts w:hint="eastAsia" w:eastAsia="宋体" w:cs="Times New Roman"/>
          <w:b/>
          <w:sz w:val="32"/>
          <w:szCs w:val="32"/>
          <w:highlight w:val="none"/>
          <w:lang w:val="en-US" w:eastAsia="zh-CN"/>
        </w:rPr>
        <w:t>60</w:t>
      </w:r>
      <w:r>
        <w:rPr>
          <w:rFonts w:hint="default" w:ascii="Times New Roman" w:hAnsi="Times New Roman" w:eastAsia="宋体" w:cs="Times New Roman"/>
          <w:b/>
          <w:sz w:val="32"/>
          <w:szCs w:val="32"/>
          <w:highlight w:val="none"/>
          <w:lang w:eastAsia="zh-CN"/>
        </w:rPr>
        <w:t>分）</w:t>
      </w:r>
    </w:p>
    <w:p w14:paraId="67A04C33">
      <w:pPr>
        <w:keepNext w:val="0"/>
        <w:keepLines w:val="0"/>
        <w:pageBreakBefore w:val="0"/>
        <w:widowControl/>
        <w:numPr>
          <w:ilvl w:val="0"/>
          <w:numId w:val="0"/>
        </w:numPr>
        <w:kinsoku/>
        <w:wordWrap/>
        <w:overflowPunct/>
        <w:topLinePunct w:val="0"/>
        <w:autoSpaceDE/>
        <w:autoSpaceDN/>
        <w:bidi w:val="0"/>
        <w:adjustRightInd/>
        <w:snapToGrid/>
        <w:spacing w:line="300" w:lineRule="auto"/>
        <w:ind w:firstLine="640" w:firstLineChars="200"/>
        <w:textAlignment w:val="auto"/>
        <w:rPr>
          <w:rFonts w:hint="default" w:ascii="Times New Roman" w:hAnsi="Times New Roman" w:eastAsia="仿宋" w:cs="Times New Roman"/>
          <w:b w:val="0"/>
          <w:bCs w:val="0"/>
          <w:kern w:val="0"/>
          <w:sz w:val="32"/>
          <w:szCs w:val="32"/>
          <w:highlight w:val="none"/>
          <w:lang w:eastAsia="zh-CN"/>
        </w:rPr>
      </w:pPr>
      <w:r>
        <w:rPr>
          <w:rFonts w:hint="default" w:ascii="Times New Roman" w:hAnsi="Times New Roman" w:eastAsia="仿宋" w:cs="Times New Roman"/>
          <w:b w:val="0"/>
          <w:bCs w:val="0"/>
          <w:kern w:val="0"/>
          <w:sz w:val="32"/>
          <w:szCs w:val="32"/>
          <w:lang w:val="en-US" w:eastAsia="zh-CN" w:bidi="ar-SA"/>
        </w:rPr>
        <w:t>（1）</w:t>
      </w:r>
      <w:r>
        <w:rPr>
          <w:rFonts w:hint="default" w:ascii="Times New Roman" w:hAnsi="Times New Roman" w:eastAsia="仿宋" w:cs="Times New Roman"/>
          <w:b w:val="0"/>
          <w:bCs w:val="0"/>
          <w:kern w:val="0"/>
          <w:sz w:val="32"/>
          <w:szCs w:val="32"/>
          <w:highlight w:val="none"/>
          <w:lang w:eastAsia="zh-CN"/>
        </w:rPr>
        <w:t>服务方案（满分</w:t>
      </w:r>
      <w:r>
        <w:rPr>
          <w:rFonts w:hint="eastAsia" w:eastAsia="仿宋" w:cs="Times New Roman"/>
          <w:b w:val="0"/>
          <w:bCs w:val="0"/>
          <w:kern w:val="0"/>
          <w:sz w:val="32"/>
          <w:szCs w:val="32"/>
          <w:highlight w:val="none"/>
          <w:lang w:val="en-US" w:eastAsia="zh-CN"/>
        </w:rPr>
        <w:t>20</w:t>
      </w:r>
      <w:r>
        <w:rPr>
          <w:rFonts w:hint="default" w:ascii="Times New Roman" w:hAnsi="Times New Roman" w:eastAsia="仿宋" w:cs="Times New Roman"/>
          <w:b w:val="0"/>
          <w:bCs w:val="0"/>
          <w:kern w:val="0"/>
          <w:sz w:val="32"/>
          <w:szCs w:val="32"/>
          <w:highlight w:val="none"/>
          <w:lang w:eastAsia="zh-CN"/>
        </w:rPr>
        <w:t>分）：</w:t>
      </w:r>
      <w:r>
        <w:rPr>
          <w:rFonts w:hint="eastAsia" w:eastAsia="仿宋" w:cs="Times New Roman"/>
          <w:b w:val="0"/>
          <w:bCs w:val="0"/>
          <w:kern w:val="0"/>
          <w:sz w:val="32"/>
          <w:szCs w:val="32"/>
          <w:highlight w:val="none"/>
          <w:lang w:val="en-US" w:eastAsia="zh-CN"/>
        </w:rPr>
        <w:t>按以下标准</w:t>
      </w:r>
      <w:r>
        <w:rPr>
          <w:rFonts w:hint="default" w:ascii="Times New Roman" w:hAnsi="Times New Roman" w:eastAsia="仿宋" w:cs="Times New Roman"/>
          <w:b w:val="0"/>
          <w:bCs w:val="0"/>
          <w:kern w:val="0"/>
          <w:sz w:val="32"/>
          <w:szCs w:val="32"/>
          <w:highlight w:val="none"/>
          <w:lang w:eastAsia="zh-CN"/>
        </w:rPr>
        <w:t>对</w:t>
      </w:r>
      <w:r>
        <w:rPr>
          <w:rFonts w:hint="eastAsia" w:eastAsia="仿宋" w:cs="Times New Roman"/>
          <w:b w:val="0"/>
          <w:bCs w:val="0"/>
          <w:kern w:val="0"/>
          <w:sz w:val="32"/>
          <w:szCs w:val="32"/>
          <w:highlight w:val="none"/>
          <w:lang w:val="en-US" w:eastAsia="zh-CN"/>
        </w:rPr>
        <w:t>服务商提供的质量控制方案进行评分，根据本项目机房运行维护工作需求编制服务方案，包括但不限于项目组织安排、人员安排、完成任务的质量标准描述、确保按时高质完成设施设备运行维护工作的措施</w:t>
      </w:r>
      <w:r>
        <w:rPr>
          <w:rFonts w:hint="eastAsia" w:eastAsia="仿宋"/>
          <w:kern w:val="0"/>
          <w:sz w:val="32"/>
          <w:szCs w:val="32"/>
          <w:highlight w:val="none"/>
          <w:lang w:val="en-US" w:eastAsia="zh-CN"/>
        </w:rPr>
        <w:t>等内容</w:t>
      </w:r>
      <w:r>
        <w:rPr>
          <w:rFonts w:hint="default" w:ascii="Times New Roman" w:hAnsi="Times New Roman" w:eastAsia="仿宋" w:cs="Times New Roman"/>
          <w:b w:val="0"/>
          <w:bCs w:val="0"/>
          <w:kern w:val="0"/>
          <w:sz w:val="32"/>
          <w:szCs w:val="32"/>
          <w:highlight w:val="none"/>
          <w:lang w:eastAsia="zh-CN"/>
        </w:rPr>
        <w:t>。</w:t>
      </w:r>
    </w:p>
    <w:p w14:paraId="2F1B3B8F">
      <w:pPr>
        <w:keepNext w:val="0"/>
        <w:keepLines w:val="0"/>
        <w:pageBreakBefore w:val="0"/>
        <w:widowControl/>
        <w:numPr>
          <w:ilvl w:val="-1"/>
          <w:numId w:val="0"/>
        </w:numPr>
        <w:kinsoku/>
        <w:wordWrap/>
        <w:overflowPunct/>
        <w:topLinePunct w:val="0"/>
        <w:autoSpaceDE/>
        <w:autoSpaceDN/>
        <w:bidi w:val="0"/>
        <w:adjustRightInd/>
        <w:snapToGrid/>
        <w:spacing w:line="300" w:lineRule="auto"/>
        <w:ind w:firstLine="640" w:firstLineChars="200"/>
        <w:textAlignment w:val="auto"/>
        <w:rPr>
          <w:rFonts w:hint="default" w:ascii="Times New Roman" w:hAnsi="Times New Roman" w:eastAsia="仿宋" w:cs="Times New Roman"/>
          <w:b w:val="0"/>
          <w:kern w:val="0"/>
          <w:sz w:val="32"/>
          <w:szCs w:val="32"/>
          <w:highlight w:val="none"/>
          <w:lang w:val="en-US" w:eastAsia="zh-CN"/>
        </w:rPr>
      </w:pPr>
      <w:r>
        <w:rPr>
          <w:rFonts w:hint="default" w:ascii="Times New Roman" w:hAnsi="Times New Roman" w:eastAsia="仿宋" w:cs="Times New Roman"/>
          <w:spacing w:val="0"/>
          <w:kern w:val="0"/>
          <w:sz w:val="32"/>
          <w:szCs w:val="32"/>
          <w:highlight w:val="none"/>
          <w:lang w:eastAsia="zh-CN"/>
        </w:rPr>
        <w:t>一档</w:t>
      </w:r>
      <w:r>
        <w:rPr>
          <w:rFonts w:hint="default" w:eastAsia="仿宋" w:cs="Times New Roman"/>
          <w:b w:val="0"/>
          <w:kern w:val="0"/>
          <w:sz w:val="32"/>
          <w:szCs w:val="32"/>
          <w:highlight w:val="none"/>
          <w:lang w:val="en-US" w:eastAsia="zh-CN"/>
        </w:rPr>
        <w:t>（</w:t>
      </w:r>
      <w:r>
        <w:rPr>
          <w:rFonts w:hint="eastAsia" w:eastAsia="仿宋" w:cs="Times New Roman"/>
          <w:b w:val="0"/>
          <w:kern w:val="0"/>
          <w:sz w:val="32"/>
          <w:szCs w:val="32"/>
          <w:highlight w:val="none"/>
          <w:lang w:val="en-US" w:eastAsia="zh-CN"/>
        </w:rPr>
        <w:t>5分</w:t>
      </w:r>
      <w:r>
        <w:rPr>
          <w:rFonts w:hint="default" w:eastAsia="仿宋" w:cs="Times New Roman"/>
          <w:b w:val="0"/>
          <w:kern w:val="0"/>
          <w:sz w:val="32"/>
          <w:szCs w:val="32"/>
          <w:highlight w:val="none"/>
          <w:lang w:val="en-US" w:eastAsia="zh-CN"/>
        </w:rPr>
        <w:t>）</w:t>
      </w:r>
      <w:r>
        <w:rPr>
          <w:rFonts w:hint="eastAsia" w:eastAsia="仿宋" w:cs="Times New Roman"/>
          <w:b w:val="0"/>
          <w:kern w:val="0"/>
          <w:sz w:val="32"/>
          <w:szCs w:val="32"/>
          <w:highlight w:val="none"/>
          <w:lang w:val="en-US" w:eastAsia="zh-CN"/>
        </w:rPr>
        <w:t>:运维服务方案基本可行。运维服务内容及运维服务的规程、流程，描述简单</w:t>
      </w:r>
      <w:r>
        <w:rPr>
          <w:rFonts w:hint="eastAsia" w:eastAsia="仿宋"/>
          <w:kern w:val="0"/>
          <w:sz w:val="32"/>
          <w:szCs w:val="32"/>
          <w:highlight w:val="none"/>
        </w:rPr>
        <w:t>。</w:t>
      </w:r>
    </w:p>
    <w:p w14:paraId="43B39A7D">
      <w:pPr>
        <w:keepNext w:val="0"/>
        <w:keepLines w:val="0"/>
        <w:pageBreakBefore w:val="0"/>
        <w:widowControl/>
        <w:numPr>
          <w:ilvl w:val="-1"/>
          <w:numId w:val="0"/>
        </w:numPr>
        <w:kinsoku/>
        <w:wordWrap/>
        <w:overflowPunct/>
        <w:topLinePunct w:val="0"/>
        <w:autoSpaceDE/>
        <w:autoSpaceDN/>
        <w:bidi w:val="0"/>
        <w:adjustRightInd/>
        <w:snapToGrid/>
        <w:spacing w:line="300" w:lineRule="auto"/>
        <w:ind w:firstLine="640" w:firstLineChars="200"/>
        <w:textAlignment w:val="auto"/>
        <w:rPr>
          <w:rFonts w:hint="default" w:ascii="Times New Roman" w:hAnsi="Times New Roman" w:eastAsia="仿宋" w:cs="Times New Roman"/>
          <w:b w:val="0"/>
          <w:kern w:val="0"/>
          <w:sz w:val="32"/>
          <w:szCs w:val="32"/>
          <w:highlight w:val="none"/>
          <w:lang w:val="en-US" w:eastAsia="zh-CN"/>
        </w:rPr>
      </w:pPr>
      <w:r>
        <w:rPr>
          <w:rFonts w:hint="eastAsia" w:eastAsia="仿宋" w:cs="Times New Roman"/>
          <w:spacing w:val="0"/>
          <w:kern w:val="0"/>
          <w:sz w:val="32"/>
          <w:szCs w:val="32"/>
          <w:highlight w:val="none"/>
          <w:lang w:eastAsia="zh-CN"/>
        </w:rPr>
        <w:t>二</w:t>
      </w:r>
      <w:r>
        <w:rPr>
          <w:rFonts w:hint="default" w:ascii="Times New Roman" w:hAnsi="Times New Roman" w:eastAsia="仿宋" w:cs="Times New Roman"/>
          <w:spacing w:val="0"/>
          <w:kern w:val="0"/>
          <w:sz w:val="32"/>
          <w:szCs w:val="32"/>
          <w:highlight w:val="none"/>
          <w:lang w:eastAsia="zh-CN"/>
        </w:rPr>
        <w:t>档</w:t>
      </w:r>
      <w:r>
        <w:rPr>
          <w:rFonts w:hint="eastAsia" w:eastAsia="仿宋" w:cs="Times New Roman"/>
          <w:b w:val="0"/>
          <w:kern w:val="0"/>
          <w:sz w:val="32"/>
          <w:szCs w:val="32"/>
          <w:highlight w:val="none"/>
          <w:lang w:val="en-US" w:eastAsia="zh-CN"/>
        </w:rPr>
        <w:t>（15分）:</w:t>
      </w:r>
      <w:r>
        <w:rPr>
          <w:rFonts w:hint="eastAsia" w:eastAsia="仿宋"/>
          <w:kern w:val="0"/>
          <w:sz w:val="32"/>
          <w:szCs w:val="32"/>
          <w:highlight w:val="none"/>
        </w:rPr>
        <w:t>服务方案较好。运维服务内容及运维服务的规程、流程，描述较详细，较合理可行；以及具有切合本项目实际的巡检方案、故障排除方案；综合评价一般</w:t>
      </w:r>
      <w:r>
        <w:rPr>
          <w:rFonts w:hint="eastAsia" w:eastAsia="仿宋" w:cs="Times New Roman"/>
          <w:b w:val="0"/>
          <w:kern w:val="0"/>
          <w:sz w:val="32"/>
          <w:szCs w:val="32"/>
          <w:highlight w:val="none"/>
          <w:lang w:val="en-US" w:eastAsia="zh-CN"/>
        </w:rPr>
        <w:t>。</w:t>
      </w:r>
    </w:p>
    <w:p w14:paraId="2DA58997">
      <w:pPr>
        <w:keepNext w:val="0"/>
        <w:keepLines w:val="0"/>
        <w:pageBreakBefore w:val="0"/>
        <w:widowControl/>
        <w:numPr>
          <w:ilvl w:val="-1"/>
          <w:numId w:val="0"/>
        </w:numPr>
        <w:kinsoku/>
        <w:wordWrap/>
        <w:overflowPunct/>
        <w:topLinePunct w:val="0"/>
        <w:autoSpaceDE/>
        <w:autoSpaceDN/>
        <w:bidi w:val="0"/>
        <w:adjustRightInd/>
        <w:snapToGrid/>
        <w:spacing w:line="300" w:lineRule="auto"/>
        <w:ind w:firstLine="640" w:firstLineChars="200"/>
        <w:textAlignment w:val="auto"/>
        <w:rPr>
          <w:rFonts w:hint="default" w:ascii="Times New Roman" w:hAnsi="Times New Roman" w:eastAsia="仿宋" w:cs="Times New Roman"/>
          <w:b w:val="0"/>
          <w:kern w:val="0"/>
          <w:sz w:val="32"/>
          <w:szCs w:val="32"/>
          <w:highlight w:val="none"/>
          <w:lang w:val="en-US" w:eastAsia="zh-CN"/>
        </w:rPr>
      </w:pPr>
      <w:r>
        <w:rPr>
          <w:rFonts w:hint="eastAsia" w:eastAsia="仿宋" w:cs="Times New Roman"/>
          <w:spacing w:val="0"/>
          <w:kern w:val="0"/>
          <w:sz w:val="32"/>
          <w:szCs w:val="32"/>
          <w:highlight w:val="none"/>
          <w:lang w:eastAsia="zh-CN"/>
        </w:rPr>
        <w:t>三</w:t>
      </w:r>
      <w:r>
        <w:rPr>
          <w:rFonts w:hint="default" w:ascii="Times New Roman" w:hAnsi="Times New Roman" w:eastAsia="仿宋" w:cs="Times New Roman"/>
          <w:spacing w:val="0"/>
          <w:kern w:val="0"/>
          <w:sz w:val="32"/>
          <w:szCs w:val="32"/>
          <w:highlight w:val="none"/>
          <w:lang w:eastAsia="zh-CN"/>
        </w:rPr>
        <w:t>档</w:t>
      </w:r>
      <w:r>
        <w:rPr>
          <w:rFonts w:hint="eastAsia" w:eastAsia="仿宋" w:cs="Times New Roman"/>
          <w:b w:val="0"/>
          <w:kern w:val="0"/>
          <w:sz w:val="32"/>
          <w:szCs w:val="32"/>
          <w:highlight w:val="none"/>
          <w:lang w:val="en-US" w:eastAsia="zh-CN"/>
        </w:rPr>
        <w:t>（20分）:</w:t>
      </w:r>
      <w:r>
        <w:rPr>
          <w:rFonts w:hint="eastAsia" w:eastAsia="仿宋"/>
          <w:kern w:val="0"/>
          <w:sz w:val="32"/>
          <w:szCs w:val="32"/>
          <w:highlight w:val="none"/>
        </w:rPr>
        <w:t>服务方案合理细致、可行。运维服务内容及运维服务的规程、流程，描述详细清晰，合理可行；数据备份、存储、恢复工作机制和档案管理机制较完备，以及具有切合本项目实际的巡检方案、故障排除方案，综合评价优秀</w:t>
      </w:r>
      <w:r>
        <w:rPr>
          <w:rFonts w:hint="default" w:eastAsia="仿宋" w:cs="Times New Roman"/>
          <w:b w:val="0"/>
          <w:kern w:val="0"/>
          <w:sz w:val="32"/>
          <w:szCs w:val="32"/>
          <w:highlight w:val="none"/>
          <w:lang w:val="en-US" w:eastAsia="zh-CN"/>
        </w:rPr>
        <w:t>。</w:t>
      </w:r>
    </w:p>
    <w:p w14:paraId="73388B35">
      <w:pPr>
        <w:keepNext w:val="0"/>
        <w:keepLines w:val="0"/>
        <w:pageBreakBefore w:val="0"/>
        <w:widowControl/>
        <w:numPr>
          <w:ilvl w:val="0"/>
          <w:numId w:val="1"/>
        </w:numPr>
        <w:kinsoku/>
        <w:wordWrap/>
        <w:overflowPunct/>
        <w:topLinePunct w:val="0"/>
        <w:autoSpaceDE/>
        <w:autoSpaceDN/>
        <w:bidi w:val="0"/>
        <w:adjustRightInd/>
        <w:snapToGrid/>
        <w:spacing w:line="300" w:lineRule="auto"/>
        <w:ind w:firstLine="640" w:firstLineChars="200"/>
        <w:textAlignment w:val="auto"/>
        <w:rPr>
          <w:rFonts w:hint="eastAsia" w:eastAsia="仿宋"/>
          <w:kern w:val="0"/>
          <w:sz w:val="32"/>
          <w:szCs w:val="32"/>
          <w:highlight w:val="none"/>
        </w:rPr>
      </w:pPr>
      <w:r>
        <w:rPr>
          <w:rFonts w:hint="default" w:ascii="Times New Roman" w:hAnsi="Times New Roman" w:eastAsia="仿宋" w:cs="Times New Roman"/>
          <w:kern w:val="0"/>
          <w:sz w:val="32"/>
          <w:szCs w:val="32"/>
          <w:highlight w:val="none"/>
        </w:rPr>
        <w:t>项目管理和组织方案（</w:t>
      </w:r>
      <w:r>
        <w:rPr>
          <w:rFonts w:hint="eastAsia" w:eastAsia="仿宋" w:cs="Times New Roman"/>
          <w:kern w:val="0"/>
          <w:sz w:val="32"/>
          <w:szCs w:val="32"/>
          <w:highlight w:val="none"/>
          <w:lang w:val="en-US" w:eastAsia="zh-CN"/>
        </w:rPr>
        <w:t>满分10</w:t>
      </w:r>
      <w:r>
        <w:rPr>
          <w:rFonts w:hint="default" w:ascii="Times New Roman" w:hAnsi="Times New Roman" w:eastAsia="仿宋" w:cs="Times New Roman"/>
          <w:kern w:val="0"/>
          <w:sz w:val="32"/>
          <w:szCs w:val="32"/>
          <w:highlight w:val="none"/>
        </w:rPr>
        <w:t>分）：</w:t>
      </w:r>
    </w:p>
    <w:p w14:paraId="48A970BD">
      <w:pPr>
        <w:keepNext w:val="0"/>
        <w:keepLines w:val="0"/>
        <w:pageBreakBefore w:val="0"/>
        <w:widowControl/>
        <w:numPr>
          <w:ilvl w:val="0"/>
          <w:numId w:val="0"/>
        </w:numPr>
        <w:kinsoku/>
        <w:wordWrap/>
        <w:overflowPunct/>
        <w:topLinePunct w:val="0"/>
        <w:autoSpaceDE/>
        <w:autoSpaceDN/>
        <w:bidi w:val="0"/>
        <w:adjustRightInd/>
        <w:snapToGrid/>
        <w:spacing w:line="300" w:lineRule="auto"/>
        <w:ind w:left="0" w:leftChars="0" w:firstLine="640" w:firstLineChars="200"/>
        <w:textAlignment w:val="auto"/>
        <w:rPr>
          <w:rFonts w:hint="default" w:ascii="Times New Roman" w:hAnsi="Times New Roman" w:eastAsia="仿宋" w:cs="Times New Roman"/>
          <w:spacing w:val="0"/>
          <w:kern w:val="0"/>
          <w:sz w:val="32"/>
          <w:szCs w:val="32"/>
          <w:highlight w:val="none"/>
          <w:lang w:eastAsia="zh-CN"/>
        </w:rPr>
      </w:pPr>
      <w:r>
        <w:rPr>
          <w:rFonts w:hint="default" w:ascii="Times New Roman" w:hAnsi="Times New Roman" w:eastAsia="仿宋" w:cs="Times New Roman"/>
          <w:spacing w:val="0"/>
          <w:kern w:val="0"/>
          <w:sz w:val="32"/>
          <w:szCs w:val="32"/>
          <w:highlight w:val="none"/>
          <w:lang w:eastAsia="zh-CN"/>
        </w:rPr>
        <w:t>一档（</w:t>
      </w:r>
      <w:r>
        <w:rPr>
          <w:rFonts w:hint="eastAsia" w:eastAsia="仿宋" w:cs="Times New Roman"/>
          <w:spacing w:val="0"/>
          <w:kern w:val="0"/>
          <w:sz w:val="32"/>
          <w:szCs w:val="32"/>
          <w:highlight w:val="none"/>
          <w:lang w:val="en-US" w:eastAsia="zh-CN"/>
        </w:rPr>
        <w:t>2</w:t>
      </w:r>
      <w:r>
        <w:rPr>
          <w:rFonts w:hint="default" w:ascii="Times New Roman" w:hAnsi="Times New Roman" w:eastAsia="仿宋" w:cs="Times New Roman"/>
          <w:spacing w:val="0"/>
          <w:kern w:val="0"/>
          <w:sz w:val="32"/>
          <w:szCs w:val="32"/>
          <w:highlight w:val="none"/>
          <w:lang w:val="en-US" w:eastAsia="zh-CN"/>
        </w:rPr>
        <w:t>分</w:t>
      </w:r>
      <w:r>
        <w:rPr>
          <w:rFonts w:hint="default" w:ascii="Times New Roman" w:hAnsi="Times New Roman" w:eastAsia="仿宋" w:cs="Times New Roman"/>
          <w:spacing w:val="0"/>
          <w:kern w:val="0"/>
          <w:sz w:val="32"/>
          <w:szCs w:val="32"/>
          <w:highlight w:val="none"/>
          <w:lang w:eastAsia="zh-CN"/>
        </w:rPr>
        <w:t>）：</w:t>
      </w:r>
      <w:r>
        <w:rPr>
          <w:rFonts w:hint="eastAsia" w:eastAsia="仿宋" w:cs="Times New Roman"/>
          <w:spacing w:val="0"/>
          <w:kern w:val="0"/>
          <w:sz w:val="32"/>
          <w:szCs w:val="32"/>
          <w:highlight w:val="none"/>
          <w:lang w:val="en-US" w:eastAsia="zh-CN"/>
        </w:rPr>
        <w:t>有方案，但内容不全</w:t>
      </w:r>
      <w:r>
        <w:rPr>
          <w:rFonts w:hint="eastAsia" w:eastAsia="仿宋"/>
          <w:kern w:val="0"/>
          <w:sz w:val="32"/>
          <w:szCs w:val="32"/>
          <w:highlight w:val="none"/>
        </w:rPr>
        <w:t>。</w:t>
      </w:r>
    </w:p>
    <w:p w14:paraId="38A87193">
      <w:pPr>
        <w:keepNext w:val="0"/>
        <w:keepLines w:val="0"/>
        <w:pageBreakBefore w:val="0"/>
        <w:widowControl/>
        <w:numPr>
          <w:ilvl w:val="0"/>
          <w:numId w:val="0"/>
        </w:numPr>
        <w:kinsoku/>
        <w:wordWrap/>
        <w:overflowPunct/>
        <w:topLinePunct w:val="0"/>
        <w:autoSpaceDE/>
        <w:autoSpaceDN/>
        <w:bidi w:val="0"/>
        <w:adjustRightInd/>
        <w:snapToGrid/>
        <w:spacing w:line="300" w:lineRule="auto"/>
        <w:ind w:firstLine="640" w:firstLineChars="200"/>
        <w:textAlignment w:val="auto"/>
        <w:rPr>
          <w:rFonts w:hint="eastAsia" w:eastAsia="仿宋"/>
          <w:kern w:val="0"/>
          <w:sz w:val="32"/>
          <w:szCs w:val="32"/>
          <w:highlight w:val="none"/>
        </w:rPr>
      </w:pPr>
      <w:r>
        <w:rPr>
          <w:rFonts w:hint="default" w:ascii="Times New Roman" w:hAnsi="Times New Roman" w:eastAsia="仿宋" w:cs="Times New Roman"/>
          <w:kern w:val="0"/>
          <w:sz w:val="32"/>
          <w:szCs w:val="32"/>
          <w:highlight w:val="none"/>
          <w:lang w:eastAsia="zh-CN"/>
        </w:rPr>
        <w:t>二档（</w:t>
      </w:r>
      <w:r>
        <w:rPr>
          <w:rFonts w:hint="eastAsia" w:eastAsia="仿宋" w:cs="Times New Roman"/>
          <w:kern w:val="0"/>
          <w:sz w:val="32"/>
          <w:szCs w:val="32"/>
          <w:highlight w:val="none"/>
          <w:lang w:val="en-US" w:eastAsia="zh-CN"/>
        </w:rPr>
        <w:t>5</w:t>
      </w:r>
      <w:r>
        <w:rPr>
          <w:rFonts w:hint="default" w:ascii="Times New Roman" w:hAnsi="Times New Roman" w:eastAsia="仿宋" w:cs="Times New Roman"/>
          <w:kern w:val="0"/>
          <w:sz w:val="32"/>
          <w:szCs w:val="32"/>
          <w:highlight w:val="none"/>
          <w:lang w:val="en-US" w:eastAsia="zh-CN"/>
        </w:rPr>
        <w:t>分</w:t>
      </w:r>
      <w:r>
        <w:rPr>
          <w:rFonts w:hint="default" w:ascii="Times New Roman" w:hAnsi="Times New Roman" w:eastAsia="仿宋" w:cs="Times New Roman"/>
          <w:kern w:val="0"/>
          <w:sz w:val="32"/>
          <w:szCs w:val="32"/>
          <w:highlight w:val="none"/>
          <w:lang w:eastAsia="zh-CN"/>
        </w:rPr>
        <w:t>）：</w:t>
      </w:r>
      <w:r>
        <w:rPr>
          <w:rFonts w:hint="eastAsia" w:eastAsia="仿宋" w:cs="Times New Roman"/>
          <w:kern w:val="0"/>
          <w:sz w:val="32"/>
          <w:szCs w:val="32"/>
          <w:highlight w:val="none"/>
          <w:lang w:val="en-US" w:eastAsia="zh-CN"/>
        </w:rPr>
        <w:t>方案较简单</w:t>
      </w:r>
      <w:r>
        <w:rPr>
          <w:rFonts w:hint="eastAsia" w:eastAsia="仿宋"/>
          <w:kern w:val="0"/>
          <w:sz w:val="32"/>
          <w:szCs w:val="32"/>
          <w:highlight w:val="none"/>
        </w:rPr>
        <w:t>。</w:t>
      </w:r>
    </w:p>
    <w:p w14:paraId="75113563">
      <w:pPr>
        <w:keepNext w:val="0"/>
        <w:keepLines w:val="0"/>
        <w:pageBreakBefore w:val="0"/>
        <w:widowControl/>
        <w:numPr>
          <w:ilvl w:val="0"/>
          <w:numId w:val="0"/>
        </w:numPr>
        <w:kinsoku/>
        <w:wordWrap/>
        <w:overflowPunct/>
        <w:topLinePunct w:val="0"/>
        <w:autoSpaceDE/>
        <w:autoSpaceDN/>
        <w:bidi w:val="0"/>
        <w:adjustRightInd/>
        <w:snapToGrid/>
        <w:spacing w:line="300" w:lineRule="auto"/>
        <w:ind w:firstLine="640" w:firstLineChars="200"/>
        <w:textAlignment w:val="auto"/>
        <w:rPr>
          <w:rFonts w:hint="eastAsia" w:eastAsia="仿宋"/>
          <w:kern w:val="0"/>
          <w:sz w:val="32"/>
          <w:szCs w:val="32"/>
          <w:highlight w:val="none"/>
        </w:rPr>
      </w:pPr>
      <w:r>
        <w:rPr>
          <w:rFonts w:hint="default" w:ascii="Times New Roman" w:hAnsi="Times New Roman" w:eastAsia="仿宋" w:cs="Times New Roman"/>
          <w:spacing w:val="0"/>
          <w:kern w:val="0"/>
          <w:sz w:val="32"/>
          <w:szCs w:val="32"/>
          <w:highlight w:val="none"/>
          <w:lang w:eastAsia="zh-CN"/>
        </w:rPr>
        <w:t>三档（</w:t>
      </w:r>
      <w:r>
        <w:rPr>
          <w:rFonts w:hint="eastAsia" w:eastAsia="仿宋" w:cs="Times New Roman"/>
          <w:spacing w:val="0"/>
          <w:kern w:val="0"/>
          <w:sz w:val="32"/>
          <w:szCs w:val="32"/>
          <w:highlight w:val="none"/>
          <w:lang w:val="en-US" w:eastAsia="zh-CN"/>
        </w:rPr>
        <w:t>10</w:t>
      </w:r>
      <w:r>
        <w:rPr>
          <w:rFonts w:hint="default" w:ascii="Times New Roman" w:hAnsi="Times New Roman" w:eastAsia="仿宋" w:cs="Times New Roman"/>
          <w:spacing w:val="0"/>
          <w:kern w:val="0"/>
          <w:sz w:val="32"/>
          <w:szCs w:val="32"/>
          <w:highlight w:val="none"/>
          <w:lang w:val="en-US" w:eastAsia="zh-CN"/>
        </w:rPr>
        <w:t>分</w:t>
      </w:r>
      <w:r>
        <w:rPr>
          <w:rFonts w:hint="default" w:ascii="Times New Roman" w:hAnsi="Times New Roman" w:eastAsia="仿宋" w:cs="Times New Roman"/>
          <w:spacing w:val="0"/>
          <w:kern w:val="0"/>
          <w:sz w:val="32"/>
          <w:szCs w:val="32"/>
          <w:highlight w:val="none"/>
          <w:lang w:eastAsia="zh-CN"/>
        </w:rPr>
        <w:t>）：</w:t>
      </w:r>
      <w:r>
        <w:rPr>
          <w:rFonts w:hint="eastAsia" w:eastAsia="仿宋" w:cs="Times New Roman"/>
          <w:spacing w:val="0"/>
          <w:kern w:val="0"/>
          <w:sz w:val="32"/>
          <w:szCs w:val="32"/>
          <w:highlight w:val="none"/>
          <w:lang w:val="en-US" w:eastAsia="zh-CN"/>
        </w:rPr>
        <w:t>方案</w:t>
      </w:r>
      <w:r>
        <w:rPr>
          <w:rFonts w:hint="eastAsia" w:eastAsia="仿宋"/>
          <w:kern w:val="0"/>
          <w:sz w:val="32"/>
          <w:szCs w:val="32"/>
          <w:highlight w:val="none"/>
        </w:rPr>
        <w:t>详细、合理，具有针对性。</w:t>
      </w:r>
    </w:p>
    <w:p w14:paraId="5471569A">
      <w:pPr>
        <w:keepNext w:val="0"/>
        <w:keepLines w:val="0"/>
        <w:pageBreakBefore w:val="0"/>
        <w:widowControl/>
        <w:numPr>
          <w:ilvl w:val="0"/>
          <w:numId w:val="0"/>
        </w:numPr>
        <w:kinsoku/>
        <w:wordWrap/>
        <w:overflowPunct/>
        <w:topLinePunct w:val="0"/>
        <w:autoSpaceDE/>
        <w:autoSpaceDN/>
        <w:bidi w:val="0"/>
        <w:adjustRightInd/>
        <w:snapToGrid/>
        <w:spacing w:line="300" w:lineRule="auto"/>
        <w:ind w:left="0" w:leftChars="0" w:firstLine="640" w:firstLineChars="200"/>
        <w:textAlignment w:val="auto"/>
        <w:rPr>
          <w:rFonts w:hint="default"/>
          <w:lang w:val="en-US" w:eastAsia="zh-CN"/>
        </w:rPr>
      </w:pPr>
      <w:r>
        <w:rPr>
          <w:rFonts w:hint="default" w:ascii="Times New Roman" w:hAnsi="Times New Roman" w:eastAsia="仿宋" w:cs="Times New Roman"/>
          <w:kern w:val="0"/>
          <w:sz w:val="32"/>
          <w:szCs w:val="32"/>
          <w:lang w:val="en-US" w:eastAsia="zh-CN" w:bidi="ar-SA"/>
        </w:rPr>
        <w:t>（</w:t>
      </w:r>
      <w:r>
        <w:rPr>
          <w:rFonts w:hint="eastAsia" w:eastAsia="仿宋" w:cs="Times New Roman"/>
          <w:kern w:val="0"/>
          <w:sz w:val="32"/>
          <w:szCs w:val="32"/>
          <w:lang w:val="en-US" w:eastAsia="zh-CN" w:bidi="ar-SA"/>
        </w:rPr>
        <w:t>3</w:t>
      </w:r>
      <w:r>
        <w:rPr>
          <w:rFonts w:hint="default" w:ascii="Times New Roman" w:hAnsi="Times New Roman" w:eastAsia="仿宋" w:cs="Times New Roman"/>
          <w:kern w:val="0"/>
          <w:sz w:val="32"/>
          <w:szCs w:val="32"/>
          <w:lang w:val="en-US" w:eastAsia="zh-CN" w:bidi="ar-SA"/>
        </w:rPr>
        <w:t>）应急响应</w:t>
      </w:r>
      <w:r>
        <w:rPr>
          <w:rFonts w:hint="eastAsia" w:eastAsia="仿宋" w:cs="Times New Roman"/>
          <w:kern w:val="0"/>
          <w:sz w:val="32"/>
          <w:szCs w:val="32"/>
          <w:lang w:val="en-US" w:eastAsia="zh-CN" w:bidi="ar-SA"/>
        </w:rPr>
        <w:t>方案</w:t>
      </w:r>
      <w:r>
        <w:rPr>
          <w:rFonts w:hint="default" w:eastAsia="仿宋"/>
          <w:kern w:val="0"/>
          <w:sz w:val="32"/>
          <w:szCs w:val="32"/>
          <w:highlight w:val="none"/>
        </w:rPr>
        <w:t>（满分</w:t>
      </w:r>
      <w:r>
        <w:rPr>
          <w:rFonts w:hint="eastAsia" w:eastAsia="仿宋"/>
          <w:kern w:val="0"/>
          <w:sz w:val="32"/>
          <w:szCs w:val="32"/>
          <w:highlight w:val="none"/>
          <w:lang w:val="en-US" w:eastAsia="zh-CN"/>
        </w:rPr>
        <w:t>15</w:t>
      </w:r>
      <w:r>
        <w:rPr>
          <w:rFonts w:hint="default" w:eastAsia="仿宋"/>
          <w:kern w:val="0"/>
          <w:sz w:val="32"/>
          <w:szCs w:val="32"/>
          <w:highlight w:val="none"/>
        </w:rPr>
        <w:t>分）</w:t>
      </w:r>
    </w:p>
    <w:p w14:paraId="775E4C26">
      <w:pPr>
        <w:keepNext w:val="0"/>
        <w:keepLines w:val="0"/>
        <w:pageBreakBefore w:val="0"/>
        <w:widowControl/>
        <w:numPr>
          <w:ilvl w:val="0"/>
          <w:numId w:val="0"/>
        </w:numPr>
        <w:kinsoku/>
        <w:wordWrap/>
        <w:overflowPunct/>
        <w:topLinePunct w:val="0"/>
        <w:autoSpaceDE/>
        <w:autoSpaceDN/>
        <w:bidi w:val="0"/>
        <w:adjustRightInd/>
        <w:snapToGrid/>
        <w:spacing w:line="300" w:lineRule="auto"/>
        <w:ind w:left="0" w:leftChars="0" w:firstLine="640" w:firstLineChars="200"/>
        <w:textAlignment w:val="auto"/>
        <w:rPr>
          <w:rFonts w:hint="default" w:ascii="Times New Roman" w:hAnsi="Times New Roman" w:eastAsia="仿宋" w:cs="Times New Roman"/>
          <w:spacing w:val="0"/>
          <w:kern w:val="0"/>
          <w:sz w:val="32"/>
          <w:szCs w:val="32"/>
          <w:highlight w:val="none"/>
          <w:lang w:eastAsia="zh-CN"/>
        </w:rPr>
      </w:pPr>
      <w:r>
        <w:rPr>
          <w:rFonts w:hint="default" w:ascii="Times New Roman" w:hAnsi="Times New Roman" w:eastAsia="仿宋" w:cs="Times New Roman"/>
          <w:spacing w:val="0"/>
          <w:kern w:val="0"/>
          <w:sz w:val="32"/>
          <w:szCs w:val="32"/>
          <w:highlight w:val="none"/>
          <w:lang w:eastAsia="zh-CN"/>
        </w:rPr>
        <w:t>一档（</w:t>
      </w:r>
      <w:r>
        <w:rPr>
          <w:rFonts w:hint="eastAsia" w:eastAsia="仿宋" w:cs="Times New Roman"/>
          <w:spacing w:val="0"/>
          <w:kern w:val="0"/>
          <w:sz w:val="32"/>
          <w:szCs w:val="32"/>
          <w:highlight w:val="none"/>
          <w:lang w:val="en-US" w:eastAsia="zh-CN"/>
        </w:rPr>
        <w:t>5</w:t>
      </w:r>
      <w:r>
        <w:rPr>
          <w:rFonts w:hint="default" w:ascii="Times New Roman" w:hAnsi="Times New Roman" w:eastAsia="仿宋" w:cs="Times New Roman"/>
          <w:spacing w:val="0"/>
          <w:kern w:val="0"/>
          <w:sz w:val="32"/>
          <w:szCs w:val="32"/>
          <w:highlight w:val="none"/>
          <w:lang w:val="en-US" w:eastAsia="zh-CN"/>
        </w:rPr>
        <w:t>分</w:t>
      </w:r>
      <w:r>
        <w:rPr>
          <w:rFonts w:hint="default" w:ascii="Times New Roman" w:hAnsi="Times New Roman" w:eastAsia="仿宋" w:cs="Times New Roman"/>
          <w:spacing w:val="0"/>
          <w:kern w:val="0"/>
          <w:sz w:val="32"/>
          <w:szCs w:val="32"/>
          <w:highlight w:val="none"/>
          <w:lang w:eastAsia="zh-CN"/>
        </w:rPr>
        <w:t>）：系统故障及时排除的对策简单，对运行服务保障应急预案及实施过程可能遇到的问题及其应对措施的阐述不明确或相对简单，服务响应速度基本满足要求</w:t>
      </w:r>
      <w:r>
        <w:rPr>
          <w:rFonts w:hint="eastAsia" w:eastAsia="仿宋"/>
          <w:kern w:val="0"/>
          <w:sz w:val="32"/>
          <w:szCs w:val="32"/>
          <w:highlight w:val="none"/>
        </w:rPr>
        <w:t>。</w:t>
      </w:r>
    </w:p>
    <w:p w14:paraId="7D5F38C9">
      <w:pPr>
        <w:keepNext w:val="0"/>
        <w:keepLines w:val="0"/>
        <w:pageBreakBefore w:val="0"/>
        <w:widowControl/>
        <w:numPr>
          <w:ilvl w:val="0"/>
          <w:numId w:val="0"/>
        </w:numPr>
        <w:kinsoku/>
        <w:wordWrap/>
        <w:overflowPunct/>
        <w:topLinePunct w:val="0"/>
        <w:autoSpaceDE/>
        <w:autoSpaceDN/>
        <w:bidi w:val="0"/>
        <w:adjustRightInd/>
        <w:snapToGrid/>
        <w:spacing w:line="300" w:lineRule="auto"/>
        <w:ind w:firstLine="640" w:firstLineChars="200"/>
        <w:textAlignment w:val="auto"/>
        <w:rPr>
          <w:rFonts w:hint="eastAsia" w:eastAsia="仿宋"/>
          <w:kern w:val="0"/>
          <w:sz w:val="32"/>
          <w:szCs w:val="32"/>
          <w:highlight w:val="none"/>
        </w:rPr>
      </w:pPr>
      <w:r>
        <w:rPr>
          <w:rFonts w:hint="default" w:ascii="Times New Roman" w:hAnsi="Times New Roman" w:eastAsia="仿宋" w:cs="Times New Roman"/>
          <w:kern w:val="0"/>
          <w:sz w:val="32"/>
          <w:szCs w:val="32"/>
          <w:highlight w:val="none"/>
          <w:lang w:eastAsia="zh-CN"/>
        </w:rPr>
        <w:t>二档（</w:t>
      </w:r>
      <w:r>
        <w:rPr>
          <w:rFonts w:hint="eastAsia" w:eastAsia="仿宋" w:cs="Times New Roman"/>
          <w:kern w:val="0"/>
          <w:sz w:val="32"/>
          <w:szCs w:val="32"/>
          <w:highlight w:val="none"/>
          <w:lang w:val="en-US" w:eastAsia="zh-CN"/>
        </w:rPr>
        <w:t>10</w:t>
      </w:r>
      <w:r>
        <w:rPr>
          <w:rFonts w:hint="default" w:ascii="Times New Roman" w:hAnsi="Times New Roman" w:eastAsia="仿宋" w:cs="Times New Roman"/>
          <w:kern w:val="0"/>
          <w:sz w:val="32"/>
          <w:szCs w:val="32"/>
          <w:highlight w:val="none"/>
          <w:lang w:val="en-US" w:eastAsia="zh-CN"/>
        </w:rPr>
        <w:t>分</w:t>
      </w:r>
      <w:r>
        <w:rPr>
          <w:rFonts w:hint="default" w:ascii="Times New Roman" w:hAnsi="Times New Roman" w:eastAsia="仿宋" w:cs="Times New Roman"/>
          <w:kern w:val="0"/>
          <w:sz w:val="32"/>
          <w:szCs w:val="32"/>
          <w:highlight w:val="none"/>
          <w:lang w:eastAsia="zh-CN"/>
        </w:rPr>
        <w:t>）：系统故障及时排除的对策较详细，能提供有运行服务保障应急预案，并且实施过程可能遇到的问题及其应对措施较合理，服务响应速度满足要求</w:t>
      </w:r>
      <w:r>
        <w:rPr>
          <w:rFonts w:hint="eastAsia" w:eastAsia="仿宋"/>
          <w:kern w:val="0"/>
          <w:sz w:val="32"/>
          <w:szCs w:val="32"/>
          <w:highlight w:val="none"/>
        </w:rPr>
        <w:t>。</w:t>
      </w:r>
    </w:p>
    <w:p w14:paraId="5ED84EE0">
      <w:pPr>
        <w:keepNext w:val="0"/>
        <w:keepLines w:val="0"/>
        <w:pageBreakBefore w:val="0"/>
        <w:widowControl/>
        <w:numPr>
          <w:ilvl w:val="0"/>
          <w:numId w:val="0"/>
        </w:numPr>
        <w:kinsoku/>
        <w:wordWrap/>
        <w:overflowPunct/>
        <w:topLinePunct w:val="0"/>
        <w:autoSpaceDE/>
        <w:autoSpaceDN/>
        <w:bidi w:val="0"/>
        <w:adjustRightInd/>
        <w:snapToGrid/>
        <w:spacing w:line="300" w:lineRule="auto"/>
        <w:ind w:firstLine="640" w:firstLineChars="200"/>
        <w:textAlignment w:val="auto"/>
        <w:rPr>
          <w:rFonts w:hint="eastAsia" w:eastAsia="仿宋" w:cs="Times New Roman"/>
          <w:spacing w:val="0"/>
          <w:kern w:val="0"/>
          <w:sz w:val="32"/>
          <w:szCs w:val="32"/>
          <w:highlight w:val="none"/>
          <w:lang w:eastAsia="zh-CN"/>
        </w:rPr>
      </w:pPr>
      <w:r>
        <w:rPr>
          <w:rFonts w:hint="default" w:ascii="Times New Roman" w:hAnsi="Times New Roman" w:eastAsia="仿宋" w:cs="Times New Roman"/>
          <w:spacing w:val="0"/>
          <w:kern w:val="0"/>
          <w:sz w:val="32"/>
          <w:szCs w:val="32"/>
          <w:highlight w:val="none"/>
          <w:lang w:eastAsia="zh-CN"/>
        </w:rPr>
        <w:t>三档（</w:t>
      </w:r>
      <w:r>
        <w:rPr>
          <w:rFonts w:hint="eastAsia" w:eastAsia="仿宋" w:cs="Times New Roman"/>
          <w:spacing w:val="0"/>
          <w:kern w:val="0"/>
          <w:sz w:val="32"/>
          <w:szCs w:val="32"/>
          <w:highlight w:val="none"/>
          <w:lang w:val="en-US" w:eastAsia="zh-CN"/>
        </w:rPr>
        <w:t>15</w:t>
      </w:r>
      <w:r>
        <w:rPr>
          <w:rFonts w:hint="default" w:ascii="Times New Roman" w:hAnsi="Times New Roman" w:eastAsia="仿宋" w:cs="Times New Roman"/>
          <w:spacing w:val="0"/>
          <w:kern w:val="0"/>
          <w:sz w:val="32"/>
          <w:szCs w:val="32"/>
          <w:highlight w:val="none"/>
          <w:lang w:val="en-US" w:eastAsia="zh-CN"/>
        </w:rPr>
        <w:t>分</w:t>
      </w:r>
      <w:r>
        <w:rPr>
          <w:rFonts w:hint="default" w:ascii="Times New Roman" w:hAnsi="Times New Roman" w:eastAsia="仿宋" w:cs="Times New Roman"/>
          <w:spacing w:val="0"/>
          <w:kern w:val="0"/>
          <w:sz w:val="32"/>
          <w:szCs w:val="32"/>
          <w:highlight w:val="none"/>
          <w:lang w:eastAsia="zh-CN"/>
        </w:rPr>
        <w:t>）：系统故障及时排除的对策具体可行，能提供有针对性的运行服务保障应急预案，</w:t>
      </w:r>
      <w:r>
        <w:rPr>
          <w:rFonts w:hint="eastAsia" w:eastAsia="仿宋" w:cs="Times New Roman"/>
          <w:spacing w:val="0"/>
          <w:kern w:val="0"/>
          <w:sz w:val="32"/>
          <w:szCs w:val="32"/>
          <w:highlight w:val="none"/>
          <w:lang w:val="en-US" w:eastAsia="zh-CN"/>
        </w:rPr>
        <w:t>包括重要节假日应急，</w:t>
      </w:r>
      <w:r>
        <w:rPr>
          <w:rFonts w:hint="default" w:ascii="Times New Roman" w:hAnsi="Times New Roman" w:eastAsia="仿宋" w:cs="Times New Roman"/>
          <w:spacing w:val="0"/>
          <w:kern w:val="0"/>
          <w:sz w:val="32"/>
          <w:szCs w:val="32"/>
          <w:highlight w:val="none"/>
          <w:lang w:eastAsia="zh-CN"/>
        </w:rPr>
        <w:t>并且实施过程可能遇到的问题及其应对措施合理，服务响应速度优于采购文件要求。避免故障问题再次发生有合理化建议和措施</w:t>
      </w:r>
      <w:r>
        <w:rPr>
          <w:rFonts w:hint="eastAsia" w:eastAsia="仿宋" w:cs="Times New Roman"/>
          <w:spacing w:val="0"/>
          <w:kern w:val="0"/>
          <w:sz w:val="32"/>
          <w:szCs w:val="32"/>
          <w:highlight w:val="none"/>
          <w:lang w:eastAsia="zh-CN"/>
        </w:rPr>
        <w:t>。</w:t>
      </w:r>
    </w:p>
    <w:p w14:paraId="71DB80CE">
      <w:pPr>
        <w:keepNext w:val="0"/>
        <w:keepLines w:val="0"/>
        <w:pageBreakBefore w:val="0"/>
        <w:widowControl/>
        <w:numPr>
          <w:ilvl w:val="0"/>
          <w:numId w:val="0"/>
        </w:numPr>
        <w:kinsoku/>
        <w:wordWrap/>
        <w:overflowPunct/>
        <w:topLinePunct w:val="0"/>
        <w:autoSpaceDE/>
        <w:autoSpaceDN/>
        <w:bidi w:val="0"/>
        <w:adjustRightInd/>
        <w:snapToGrid/>
        <w:spacing w:line="300" w:lineRule="auto"/>
        <w:ind w:leftChars="200"/>
        <w:textAlignment w:val="auto"/>
        <w:rPr>
          <w:rFonts w:hint="default" w:eastAsia="仿宋"/>
          <w:kern w:val="0"/>
          <w:sz w:val="32"/>
          <w:szCs w:val="32"/>
          <w:highlight w:val="none"/>
        </w:rPr>
      </w:pPr>
      <w:r>
        <w:rPr>
          <w:rFonts w:hint="default" w:ascii="Times New Roman" w:hAnsi="Times New Roman" w:eastAsia="仿宋" w:cs="Times New Roman"/>
          <w:kern w:val="0"/>
          <w:sz w:val="32"/>
          <w:szCs w:val="32"/>
          <w:lang w:val="en-US" w:eastAsia="zh-CN" w:bidi="ar-SA"/>
        </w:rPr>
        <w:t>（</w:t>
      </w:r>
      <w:r>
        <w:rPr>
          <w:rFonts w:hint="eastAsia" w:eastAsia="仿宋" w:cs="Times New Roman"/>
          <w:kern w:val="0"/>
          <w:sz w:val="32"/>
          <w:szCs w:val="32"/>
          <w:lang w:val="en-US" w:eastAsia="zh-CN" w:bidi="ar-SA"/>
        </w:rPr>
        <w:t>4</w:t>
      </w:r>
      <w:r>
        <w:rPr>
          <w:rFonts w:hint="default" w:ascii="Times New Roman" w:hAnsi="Times New Roman" w:eastAsia="仿宋" w:cs="Times New Roman"/>
          <w:kern w:val="0"/>
          <w:sz w:val="32"/>
          <w:szCs w:val="32"/>
          <w:lang w:val="en-US" w:eastAsia="zh-CN" w:bidi="ar-SA"/>
        </w:rPr>
        <w:t>）</w:t>
      </w:r>
      <w:r>
        <w:rPr>
          <w:rFonts w:hint="default" w:eastAsia="仿宋"/>
          <w:kern w:val="0"/>
          <w:sz w:val="32"/>
          <w:szCs w:val="32"/>
          <w:highlight w:val="none"/>
        </w:rPr>
        <w:t>运维团队（满分</w:t>
      </w:r>
      <w:r>
        <w:rPr>
          <w:rFonts w:hint="eastAsia" w:eastAsia="仿宋"/>
          <w:kern w:val="0"/>
          <w:sz w:val="32"/>
          <w:szCs w:val="32"/>
          <w:highlight w:val="none"/>
          <w:lang w:val="en-US" w:eastAsia="zh-CN"/>
        </w:rPr>
        <w:t>10</w:t>
      </w:r>
      <w:r>
        <w:rPr>
          <w:rFonts w:hint="default" w:eastAsia="仿宋"/>
          <w:kern w:val="0"/>
          <w:sz w:val="32"/>
          <w:szCs w:val="32"/>
          <w:highlight w:val="none"/>
        </w:rPr>
        <w:t>分）：</w:t>
      </w:r>
    </w:p>
    <w:p w14:paraId="37B04305">
      <w:pPr>
        <w:keepNext w:val="0"/>
        <w:keepLines w:val="0"/>
        <w:pageBreakBefore w:val="0"/>
        <w:widowControl/>
        <w:numPr>
          <w:ilvl w:val="0"/>
          <w:numId w:val="0"/>
        </w:numPr>
        <w:kinsoku/>
        <w:wordWrap/>
        <w:overflowPunct/>
        <w:topLinePunct w:val="0"/>
        <w:autoSpaceDE/>
        <w:autoSpaceDN/>
        <w:bidi w:val="0"/>
        <w:adjustRightInd/>
        <w:snapToGrid/>
        <w:spacing w:line="300" w:lineRule="auto"/>
        <w:ind w:left="0" w:leftChars="0" w:firstLine="640" w:firstLineChars="200"/>
        <w:textAlignment w:val="auto"/>
        <w:rPr>
          <w:rFonts w:hint="eastAsia" w:eastAsia="仿宋"/>
          <w:kern w:val="0"/>
          <w:sz w:val="32"/>
          <w:szCs w:val="32"/>
          <w:highlight w:val="none"/>
          <w:lang w:val="en-US" w:eastAsia="zh-CN"/>
        </w:rPr>
      </w:pPr>
      <w:r>
        <w:rPr>
          <w:rFonts w:hint="eastAsia" w:eastAsia="仿宋"/>
          <w:kern w:val="0"/>
          <w:sz w:val="32"/>
          <w:szCs w:val="32"/>
          <w:highlight w:val="none"/>
          <w:lang w:val="en-US" w:eastAsia="zh-CN"/>
        </w:rPr>
        <w:t>投标人具有信息技术服务资质认证证书。6分</w:t>
      </w:r>
    </w:p>
    <w:p w14:paraId="69DC85BB">
      <w:pPr>
        <w:keepNext w:val="0"/>
        <w:keepLines w:val="0"/>
        <w:pageBreakBefore w:val="0"/>
        <w:widowControl/>
        <w:numPr>
          <w:ilvl w:val="0"/>
          <w:numId w:val="0"/>
        </w:numPr>
        <w:kinsoku/>
        <w:wordWrap/>
        <w:overflowPunct/>
        <w:topLinePunct w:val="0"/>
        <w:autoSpaceDE/>
        <w:autoSpaceDN/>
        <w:bidi w:val="0"/>
        <w:adjustRightInd/>
        <w:snapToGrid/>
        <w:spacing w:line="300" w:lineRule="auto"/>
        <w:ind w:left="0" w:leftChars="0" w:firstLine="640" w:firstLineChars="200"/>
        <w:textAlignment w:val="auto"/>
        <w:rPr>
          <w:rFonts w:hint="eastAsia" w:eastAsia="仿宋"/>
          <w:kern w:val="0"/>
          <w:sz w:val="32"/>
          <w:szCs w:val="32"/>
          <w:highlight w:val="none"/>
          <w:lang w:val="en-US" w:eastAsia="zh-CN"/>
        </w:rPr>
      </w:pPr>
      <w:r>
        <w:rPr>
          <w:rFonts w:hint="eastAsia" w:eastAsia="仿宋"/>
          <w:kern w:val="0"/>
          <w:sz w:val="32"/>
          <w:szCs w:val="32"/>
          <w:highlight w:val="none"/>
          <w:lang w:val="en-US" w:eastAsia="zh-CN"/>
        </w:rPr>
        <w:t>注：提供有效证书复印件，否则不予认可。</w:t>
      </w:r>
    </w:p>
    <w:p w14:paraId="23AB07AF">
      <w:pPr>
        <w:keepNext w:val="0"/>
        <w:keepLines w:val="0"/>
        <w:pageBreakBefore w:val="0"/>
        <w:widowControl/>
        <w:numPr>
          <w:ilvl w:val="0"/>
          <w:numId w:val="0"/>
        </w:numPr>
        <w:kinsoku/>
        <w:wordWrap/>
        <w:overflowPunct/>
        <w:topLinePunct w:val="0"/>
        <w:autoSpaceDE/>
        <w:autoSpaceDN/>
        <w:bidi w:val="0"/>
        <w:adjustRightInd/>
        <w:snapToGrid/>
        <w:spacing w:line="300" w:lineRule="auto"/>
        <w:ind w:left="0" w:leftChars="0" w:firstLine="640" w:firstLineChars="200"/>
        <w:textAlignment w:val="auto"/>
        <w:rPr>
          <w:rFonts w:hint="default" w:eastAsia="仿宋"/>
          <w:kern w:val="0"/>
          <w:sz w:val="32"/>
          <w:szCs w:val="32"/>
          <w:highlight w:val="none"/>
          <w:lang w:val="en-US" w:eastAsia="zh-CN"/>
        </w:rPr>
      </w:pPr>
      <w:r>
        <w:rPr>
          <w:rFonts w:hint="eastAsia" w:eastAsia="仿宋"/>
          <w:kern w:val="0"/>
          <w:sz w:val="32"/>
          <w:szCs w:val="32"/>
          <w:highlight w:val="none"/>
          <w:lang w:val="en-US" w:eastAsia="zh-CN"/>
        </w:rPr>
        <w:t>投标人运维团队具有资质信息安全人员保障证书每有1人得2分，满分4分。</w:t>
      </w:r>
    </w:p>
    <w:p w14:paraId="7EB155B7">
      <w:pPr>
        <w:keepNext w:val="0"/>
        <w:keepLines w:val="0"/>
        <w:pageBreakBefore w:val="0"/>
        <w:widowControl/>
        <w:numPr>
          <w:ilvl w:val="0"/>
          <w:numId w:val="0"/>
        </w:numPr>
        <w:kinsoku/>
        <w:wordWrap/>
        <w:overflowPunct/>
        <w:topLinePunct w:val="0"/>
        <w:autoSpaceDE/>
        <w:autoSpaceDN/>
        <w:bidi w:val="0"/>
        <w:adjustRightInd/>
        <w:snapToGrid/>
        <w:spacing w:line="300" w:lineRule="auto"/>
        <w:ind w:firstLine="640" w:firstLineChars="200"/>
        <w:textAlignment w:val="auto"/>
        <w:rPr>
          <w:rFonts w:hint="eastAsia" w:eastAsia="仿宋"/>
          <w:kern w:val="0"/>
          <w:sz w:val="32"/>
          <w:szCs w:val="32"/>
          <w:highlight w:val="none"/>
        </w:rPr>
      </w:pPr>
      <w:r>
        <w:rPr>
          <w:rFonts w:hint="eastAsia" w:eastAsia="仿宋"/>
          <w:kern w:val="0"/>
          <w:sz w:val="32"/>
          <w:szCs w:val="32"/>
          <w:highlight w:val="none"/>
          <w:lang w:val="en-US" w:eastAsia="zh-CN"/>
        </w:rPr>
        <w:t>注：提供人员简历，并提供上述人员均为投标人单位正式员工（包括但不限于劳动（或劳务）合同或开标前近六个月内任意月份的社保证明）的证明，否则不得分。</w:t>
      </w:r>
    </w:p>
    <w:p w14:paraId="134C46E8">
      <w:pPr>
        <w:keepNext w:val="0"/>
        <w:keepLines w:val="0"/>
        <w:pageBreakBefore w:val="0"/>
        <w:widowControl/>
        <w:numPr>
          <w:ilvl w:val="0"/>
          <w:numId w:val="0"/>
        </w:numPr>
        <w:kinsoku/>
        <w:wordWrap/>
        <w:overflowPunct/>
        <w:topLinePunct w:val="0"/>
        <w:autoSpaceDE/>
        <w:autoSpaceDN/>
        <w:bidi w:val="0"/>
        <w:adjustRightInd/>
        <w:snapToGrid/>
        <w:spacing w:line="300" w:lineRule="auto"/>
        <w:ind w:left="0" w:leftChars="0" w:firstLine="640" w:firstLineChars="200"/>
        <w:textAlignment w:val="auto"/>
        <w:rPr>
          <w:rFonts w:hint="default" w:eastAsia="仿宋"/>
          <w:lang w:val="en-US" w:eastAsia="zh-CN"/>
        </w:rPr>
      </w:pPr>
      <w:r>
        <w:rPr>
          <w:rFonts w:hint="default" w:ascii="Times New Roman" w:hAnsi="Times New Roman" w:eastAsia="仿宋" w:cs="Times New Roman"/>
          <w:kern w:val="0"/>
          <w:sz w:val="32"/>
          <w:szCs w:val="32"/>
          <w:lang w:val="en-US" w:eastAsia="zh-CN" w:bidi="ar-SA"/>
        </w:rPr>
        <w:t>（</w:t>
      </w:r>
      <w:r>
        <w:rPr>
          <w:rFonts w:hint="eastAsia" w:eastAsia="仿宋" w:cs="Times New Roman"/>
          <w:kern w:val="0"/>
          <w:sz w:val="32"/>
          <w:szCs w:val="32"/>
          <w:lang w:val="en-US" w:eastAsia="zh-CN" w:bidi="ar-SA"/>
        </w:rPr>
        <w:t>5</w:t>
      </w:r>
      <w:r>
        <w:rPr>
          <w:rFonts w:hint="default" w:ascii="Times New Roman" w:hAnsi="Times New Roman" w:eastAsia="仿宋" w:cs="Times New Roman"/>
          <w:kern w:val="0"/>
          <w:sz w:val="32"/>
          <w:szCs w:val="32"/>
          <w:lang w:val="en-US" w:eastAsia="zh-CN" w:bidi="ar-SA"/>
        </w:rPr>
        <w:t>）</w:t>
      </w:r>
      <w:r>
        <w:rPr>
          <w:rFonts w:hint="default" w:eastAsia="仿宋"/>
          <w:kern w:val="0"/>
          <w:sz w:val="32"/>
          <w:szCs w:val="32"/>
          <w:highlight w:val="none"/>
        </w:rPr>
        <w:t>供应商业绩（满分</w:t>
      </w:r>
      <w:r>
        <w:rPr>
          <w:rFonts w:hint="eastAsia" w:eastAsia="仿宋"/>
          <w:kern w:val="0"/>
          <w:sz w:val="32"/>
          <w:szCs w:val="32"/>
          <w:highlight w:val="none"/>
          <w:lang w:val="en-US" w:eastAsia="zh-CN"/>
        </w:rPr>
        <w:t>5</w:t>
      </w:r>
      <w:r>
        <w:rPr>
          <w:rFonts w:hint="default" w:eastAsia="仿宋"/>
          <w:kern w:val="0"/>
          <w:sz w:val="32"/>
          <w:szCs w:val="32"/>
          <w:highlight w:val="none"/>
        </w:rPr>
        <w:t>分）：</w:t>
      </w:r>
      <w:r>
        <w:rPr>
          <w:rFonts w:hint="eastAsia" w:eastAsia="仿宋"/>
          <w:kern w:val="0"/>
          <w:sz w:val="32"/>
          <w:szCs w:val="32"/>
          <w:highlight w:val="none"/>
          <w:lang w:val="en-US" w:eastAsia="zh-CN"/>
        </w:rPr>
        <w:t>2023年至响应截止时间，投标人有类似本项目的设施设备运行维护项目的</w:t>
      </w:r>
      <w:r>
        <w:rPr>
          <w:rFonts w:hint="eastAsia" w:eastAsia="仿宋"/>
          <w:kern w:val="0"/>
          <w:sz w:val="32"/>
          <w:szCs w:val="32"/>
          <w:highlight w:val="none"/>
          <w:lang w:eastAsia="zh-CN"/>
        </w:rPr>
        <w:t>，</w:t>
      </w:r>
      <w:r>
        <w:rPr>
          <w:rFonts w:hint="eastAsia" w:eastAsia="仿宋"/>
          <w:kern w:val="0"/>
          <w:sz w:val="32"/>
          <w:szCs w:val="32"/>
          <w:highlight w:val="none"/>
          <w:lang w:val="en-US" w:eastAsia="zh-CN"/>
        </w:rPr>
        <w:t>每项得1分，最高为5分</w:t>
      </w:r>
      <w:r>
        <w:rPr>
          <w:rFonts w:hint="default" w:eastAsia="仿宋"/>
          <w:kern w:val="0"/>
          <w:sz w:val="32"/>
          <w:szCs w:val="32"/>
          <w:highlight w:val="none"/>
        </w:rPr>
        <w:t>。注：项目以合同复印件并加盖供应商公章为准，未提供证明材料的不得分。</w:t>
      </w:r>
      <w:bookmarkStart w:id="0" w:name="_GoBack"/>
      <w:bookmarkEnd w:id="0"/>
    </w:p>
    <w:p w14:paraId="56DA1042">
      <w:pPr>
        <w:keepNext w:val="0"/>
        <w:keepLines w:val="0"/>
        <w:pageBreakBefore w:val="0"/>
        <w:widowControl/>
        <w:numPr>
          <w:ilvl w:val="0"/>
          <w:numId w:val="0"/>
        </w:numPr>
        <w:kinsoku/>
        <w:wordWrap/>
        <w:overflowPunct/>
        <w:topLinePunct w:val="0"/>
        <w:autoSpaceDE/>
        <w:autoSpaceDN/>
        <w:bidi w:val="0"/>
        <w:adjustRightInd/>
        <w:snapToGrid/>
        <w:spacing w:line="300" w:lineRule="auto"/>
        <w:ind w:firstLine="641" w:firstLineChars="200"/>
        <w:textAlignment w:val="auto"/>
        <w:rPr>
          <w:rFonts w:hint="eastAsia" w:ascii="Times New Roman" w:hAnsi="Times New Roman" w:eastAsia="宋体" w:cs="Times New Roman"/>
          <w:b/>
          <w:sz w:val="32"/>
          <w:szCs w:val="32"/>
          <w:highlight w:val="none"/>
          <w:lang w:eastAsia="zh-CN"/>
        </w:rPr>
      </w:pPr>
      <w:r>
        <w:rPr>
          <w:rFonts w:hint="default" w:ascii="Times New Roman" w:hAnsi="Times New Roman" w:eastAsia="宋体" w:cs="Times New Roman"/>
          <w:b/>
          <w:sz w:val="32"/>
          <w:szCs w:val="32"/>
          <w:highlight w:val="none"/>
          <w:lang w:eastAsia="zh-CN"/>
        </w:rPr>
        <w:t>（三）</w:t>
      </w:r>
      <w:r>
        <w:rPr>
          <w:rFonts w:hint="default" w:ascii="Times New Roman" w:hAnsi="Times New Roman" w:eastAsia="宋体" w:cs="Times New Roman"/>
          <w:b/>
          <w:sz w:val="32"/>
          <w:szCs w:val="32"/>
          <w:highlight w:val="none"/>
        </w:rPr>
        <w:t>商务分</w:t>
      </w:r>
      <w:r>
        <w:rPr>
          <w:rFonts w:hint="eastAsia" w:eastAsia="宋体" w:cs="Times New Roman"/>
          <w:b/>
          <w:sz w:val="32"/>
          <w:szCs w:val="32"/>
          <w:highlight w:val="none"/>
          <w:lang w:eastAsia="zh-CN"/>
        </w:rPr>
        <w:t>（</w:t>
      </w:r>
      <w:r>
        <w:rPr>
          <w:rFonts w:hint="eastAsia" w:eastAsia="宋体" w:cs="Times New Roman"/>
          <w:b/>
          <w:sz w:val="32"/>
          <w:szCs w:val="32"/>
          <w:highlight w:val="none"/>
          <w:lang w:val="en-US" w:eastAsia="zh-CN"/>
        </w:rPr>
        <w:t>满分8</w:t>
      </w:r>
      <w:r>
        <w:rPr>
          <w:rFonts w:hint="default" w:ascii="Times New Roman" w:hAnsi="Times New Roman" w:eastAsia="宋体" w:cs="Times New Roman"/>
          <w:b/>
          <w:sz w:val="32"/>
          <w:szCs w:val="32"/>
          <w:highlight w:val="none"/>
        </w:rPr>
        <w:t>分</w:t>
      </w:r>
      <w:r>
        <w:rPr>
          <w:rFonts w:hint="eastAsia" w:eastAsia="宋体" w:cs="Times New Roman"/>
          <w:b/>
          <w:sz w:val="32"/>
          <w:szCs w:val="32"/>
          <w:highlight w:val="none"/>
          <w:lang w:eastAsia="zh-CN"/>
        </w:rPr>
        <w:t>）</w:t>
      </w:r>
    </w:p>
    <w:p w14:paraId="1A31D854">
      <w:pPr>
        <w:keepNext w:val="0"/>
        <w:keepLines w:val="0"/>
        <w:pageBreakBefore w:val="0"/>
        <w:widowControl/>
        <w:numPr>
          <w:ilvl w:val="-1"/>
          <w:numId w:val="0"/>
        </w:numPr>
        <w:kinsoku/>
        <w:wordWrap/>
        <w:overflowPunct/>
        <w:topLinePunct w:val="0"/>
        <w:autoSpaceDE/>
        <w:autoSpaceDN/>
        <w:bidi w:val="0"/>
        <w:adjustRightInd/>
        <w:snapToGrid/>
        <w:spacing w:line="300" w:lineRule="auto"/>
        <w:ind w:firstLine="640" w:firstLineChars="200"/>
        <w:textAlignment w:val="auto"/>
        <w:rPr>
          <w:rFonts w:hint="default" w:eastAsia="仿宋" w:cs="Times New Roman"/>
          <w:b w:val="0"/>
          <w:kern w:val="0"/>
          <w:sz w:val="32"/>
          <w:szCs w:val="32"/>
          <w:highlight w:val="none"/>
          <w:lang w:val="en-US" w:eastAsia="zh-CN"/>
        </w:rPr>
      </w:pPr>
      <w:r>
        <w:rPr>
          <w:rFonts w:hint="default" w:eastAsia="仿宋" w:cs="Times New Roman"/>
          <w:b w:val="0"/>
          <w:kern w:val="0"/>
          <w:sz w:val="32"/>
          <w:szCs w:val="32"/>
          <w:highlight w:val="none"/>
          <w:lang w:val="en-US" w:eastAsia="zh-CN"/>
        </w:rPr>
        <w:t>售后服务（</w:t>
      </w:r>
      <w:r>
        <w:rPr>
          <w:rFonts w:hint="eastAsia" w:eastAsia="仿宋" w:cs="Times New Roman"/>
          <w:b w:val="0"/>
          <w:kern w:val="0"/>
          <w:sz w:val="32"/>
          <w:szCs w:val="32"/>
          <w:highlight w:val="none"/>
          <w:lang w:val="en-US" w:eastAsia="zh-CN"/>
        </w:rPr>
        <w:t>满分5</w:t>
      </w:r>
      <w:r>
        <w:rPr>
          <w:rFonts w:hint="default" w:eastAsia="仿宋" w:cs="Times New Roman"/>
          <w:b w:val="0"/>
          <w:kern w:val="0"/>
          <w:sz w:val="32"/>
          <w:szCs w:val="32"/>
          <w:highlight w:val="none"/>
          <w:lang w:val="en-US" w:eastAsia="zh-CN"/>
        </w:rPr>
        <w:t>分）：对完成本项目服务承诺，合理化建议，提供有针对性的服务承诺和质量保障措施。完全满足者得满分，对不达标者逐项减分。</w:t>
      </w:r>
    </w:p>
    <w:p w14:paraId="4D2BEF38">
      <w:pPr>
        <w:keepNext w:val="0"/>
        <w:keepLines w:val="0"/>
        <w:pageBreakBefore w:val="0"/>
        <w:widowControl/>
        <w:numPr>
          <w:ilvl w:val="-1"/>
          <w:numId w:val="0"/>
        </w:numPr>
        <w:kinsoku/>
        <w:wordWrap/>
        <w:overflowPunct/>
        <w:topLinePunct w:val="0"/>
        <w:autoSpaceDE/>
        <w:autoSpaceDN/>
        <w:bidi w:val="0"/>
        <w:adjustRightInd/>
        <w:snapToGrid/>
        <w:spacing w:line="300" w:lineRule="auto"/>
        <w:ind w:firstLine="640" w:firstLineChars="200"/>
        <w:textAlignment w:val="auto"/>
        <w:rPr>
          <w:rFonts w:hint="default" w:eastAsia="仿宋" w:cs="Times New Roman"/>
          <w:b w:val="0"/>
          <w:kern w:val="0"/>
          <w:sz w:val="32"/>
          <w:szCs w:val="32"/>
          <w:highlight w:val="none"/>
          <w:lang w:val="en-US" w:eastAsia="zh-CN"/>
        </w:rPr>
      </w:pPr>
      <w:r>
        <w:rPr>
          <w:rFonts w:hint="default" w:eastAsia="仿宋" w:cs="Times New Roman"/>
          <w:b w:val="0"/>
          <w:kern w:val="0"/>
          <w:sz w:val="32"/>
          <w:szCs w:val="32"/>
          <w:highlight w:val="none"/>
          <w:lang w:val="en-US" w:eastAsia="zh-CN"/>
        </w:rPr>
        <w:t>一档（</w:t>
      </w:r>
      <w:r>
        <w:rPr>
          <w:rFonts w:hint="eastAsia" w:eastAsia="仿宋" w:cs="Times New Roman"/>
          <w:b w:val="0"/>
          <w:kern w:val="0"/>
          <w:sz w:val="32"/>
          <w:szCs w:val="32"/>
          <w:highlight w:val="none"/>
          <w:lang w:val="en-US" w:eastAsia="zh-CN"/>
        </w:rPr>
        <w:t>1</w:t>
      </w:r>
      <w:r>
        <w:rPr>
          <w:rFonts w:hint="default" w:eastAsia="仿宋" w:cs="Times New Roman"/>
          <w:b w:val="0"/>
          <w:kern w:val="0"/>
          <w:sz w:val="32"/>
          <w:szCs w:val="32"/>
          <w:highlight w:val="none"/>
          <w:lang w:val="en-US" w:eastAsia="zh-CN"/>
        </w:rPr>
        <w:t>分）：有承诺进行售后服务，无具体质量保障措施</w:t>
      </w:r>
      <w:r>
        <w:rPr>
          <w:rFonts w:hint="eastAsia" w:eastAsia="仿宋" w:cs="Times New Roman"/>
          <w:b w:val="0"/>
          <w:kern w:val="0"/>
          <w:sz w:val="32"/>
          <w:szCs w:val="32"/>
          <w:highlight w:val="none"/>
          <w:lang w:val="en-US" w:eastAsia="zh-CN"/>
        </w:rPr>
        <w:t>。</w:t>
      </w:r>
    </w:p>
    <w:p w14:paraId="33087842">
      <w:pPr>
        <w:keepNext w:val="0"/>
        <w:keepLines w:val="0"/>
        <w:pageBreakBefore w:val="0"/>
        <w:widowControl/>
        <w:numPr>
          <w:ilvl w:val="-1"/>
          <w:numId w:val="0"/>
        </w:numPr>
        <w:kinsoku/>
        <w:wordWrap/>
        <w:overflowPunct/>
        <w:topLinePunct w:val="0"/>
        <w:autoSpaceDE/>
        <w:autoSpaceDN/>
        <w:bidi w:val="0"/>
        <w:adjustRightInd/>
        <w:snapToGrid/>
        <w:spacing w:line="300" w:lineRule="auto"/>
        <w:ind w:firstLine="640" w:firstLineChars="200"/>
        <w:textAlignment w:val="auto"/>
        <w:rPr>
          <w:rFonts w:hint="default" w:eastAsia="仿宋" w:cs="Times New Roman"/>
          <w:b w:val="0"/>
          <w:kern w:val="0"/>
          <w:sz w:val="32"/>
          <w:szCs w:val="32"/>
          <w:highlight w:val="none"/>
          <w:lang w:val="en-US" w:eastAsia="zh-CN"/>
        </w:rPr>
      </w:pPr>
      <w:r>
        <w:rPr>
          <w:rFonts w:hint="default" w:eastAsia="仿宋" w:cs="Times New Roman"/>
          <w:b w:val="0"/>
          <w:kern w:val="0"/>
          <w:sz w:val="32"/>
          <w:szCs w:val="32"/>
          <w:highlight w:val="none"/>
          <w:lang w:val="en-US" w:eastAsia="zh-CN"/>
        </w:rPr>
        <w:t>二档（</w:t>
      </w:r>
      <w:r>
        <w:rPr>
          <w:rFonts w:hint="eastAsia" w:eastAsia="仿宋" w:cs="Times New Roman"/>
          <w:b w:val="0"/>
          <w:kern w:val="0"/>
          <w:sz w:val="32"/>
          <w:szCs w:val="32"/>
          <w:highlight w:val="none"/>
          <w:lang w:val="en-US" w:eastAsia="zh-CN"/>
        </w:rPr>
        <w:t>3</w:t>
      </w:r>
      <w:r>
        <w:rPr>
          <w:rFonts w:hint="default" w:eastAsia="仿宋" w:cs="Times New Roman"/>
          <w:b w:val="0"/>
          <w:kern w:val="0"/>
          <w:sz w:val="32"/>
          <w:szCs w:val="32"/>
          <w:highlight w:val="none"/>
          <w:lang w:val="en-US" w:eastAsia="zh-CN"/>
        </w:rPr>
        <w:t>分）：有承诺进行售后服务，有质量保障措施，但比较简单</w:t>
      </w:r>
      <w:r>
        <w:rPr>
          <w:rFonts w:hint="eastAsia" w:eastAsia="仿宋" w:cs="Times New Roman"/>
          <w:b w:val="0"/>
          <w:kern w:val="0"/>
          <w:sz w:val="32"/>
          <w:szCs w:val="32"/>
          <w:highlight w:val="none"/>
          <w:lang w:val="en-US" w:eastAsia="zh-CN"/>
        </w:rPr>
        <w:t>。</w:t>
      </w:r>
    </w:p>
    <w:p w14:paraId="32F007F0">
      <w:pPr>
        <w:keepNext w:val="0"/>
        <w:keepLines w:val="0"/>
        <w:pageBreakBefore w:val="0"/>
        <w:widowControl/>
        <w:numPr>
          <w:ilvl w:val="-1"/>
          <w:numId w:val="0"/>
        </w:numPr>
        <w:kinsoku/>
        <w:wordWrap/>
        <w:overflowPunct/>
        <w:topLinePunct w:val="0"/>
        <w:autoSpaceDE/>
        <w:autoSpaceDN/>
        <w:bidi w:val="0"/>
        <w:adjustRightInd/>
        <w:snapToGrid/>
        <w:spacing w:line="300" w:lineRule="auto"/>
        <w:ind w:firstLine="640" w:firstLineChars="200"/>
        <w:textAlignment w:val="auto"/>
        <w:rPr>
          <w:rFonts w:hint="default" w:eastAsia="仿宋" w:cs="Times New Roman"/>
          <w:b w:val="0"/>
          <w:kern w:val="0"/>
          <w:sz w:val="32"/>
          <w:szCs w:val="32"/>
          <w:highlight w:val="none"/>
          <w:lang w:val="en-US" w:eastAsia="zh-CN"/>
        </w:rPr>
      </w:pPr>
      <w:r>
        <w:rPr>
          <w:rFonts w:hint="default" w:eastAsia="仿宋" w:cs="Times New Roman"/>
          <w:b w:val="0"/>
          <w:kern w:val="0"/>
          <w:sz w:val="32"/>
          <w:szCs w:val="32"/>
          <w:highlight w:val="none"/>
          <w:lang w:val="en-US" w:eastAsia="zh-CN"/>
        </w:rPr>
        <w:t>三档（</w:t>
      </w:r>
      <w:r>
        <w:rPr>
          <w:rFonts w:hint="eastAsia" w:eastAsia="仿宋" w:cs="Times New Roman"/>
          <w:b w:val="0"/>
          <w:kern w:val="0"/>
          <w:sz w:val="32"/>
          <w:szCs w:val="32"/>
          <w:highlight w:val="none"/>
          <w:lang w:val="en-US" w:eastAsia="zh-CN"/>
        </w:rPr>
        <w:t>5</w:t>
      </w:r>
      <w:r>
        <w:rPr>
          <w:rFonts w:hint="default" w:eastAsia="仿宋" w:cs="Times New Roman"/>
          <w:b w:val="0"/>
          <w:kern w:val="0"/>
          <w:sz w:val="32"/>
          <w:szCs w:val="32"/>
          <w:highlight w:val="none"/>
          <w:lang w:val="en-US" w:eastAsia="zh-CN"/>
        </w:rPr>
        <w:t>分）：有承诺进行售后服务，质量保障措施完善可操作性较强。</w:t>
      </w:r>
    </w:p>
    <w:p w14:paraId="1CD5A84F">
      <w:pPr>
        <w:keepNext w:val="0"/>
        <w:keepLines w:val="0"/>
        <w:pageBreakBefore w:val="0"/>
        <w:widowControl/>
        <w:numPr>
          <w:ilvl w:val="0"/>
          <w:numId w:val="0"/>
        </w:numPr>
        <w:kinsoku/>
        <w:wordWrap/>
        <w:overflowPunct/>
        <w:topLinePunct w:val="0"/>
        <w:autoSpaceDE/>
        <w:autoSpaceDN/>
        <w:bidi w:val="0"/>
        <w:adjustRightInd/>
        <w:snapToGrid/>
        <w:spacing w:line="300" w:lineRule="auto"/>
        <w:ind w:firstLine="641" w:firstLineChars="200"/>
        <w:textAlignment w:val="auto"/>
        <w:rPr>
          <w:rFonts w:hint="eastAsia" w:ascii="Times New Roman" w:hAnsi="Times New Roman" w:eastAsia="宋体" w:cs="Times New Roman"/>
          <w:b/>
          <w:sz w:val="32"/>
          <w:szCs w:val="32"/>
          <w:highlight w:val="none"/>
          <w:lang w:eastAsia="zh-CN"/>
        </w:rPr>
      </w:pPr>
      <w:r>
        <w:rPr>
          <w:rFonts w:hint="default" w:ascii="Times New Roman" w:hAnsi="Times New Roman" w:eastAsia="宋体" w:cs="Times New Roman"/>
          <w:b/>
          <w:sz w:val="32"/>
          <w:szCs w:val="32"/>
          <w:highlight w:val="none"/>
          <w:lang w:eastAsia="zh-CN"/>
        </w:rPr>
        <w:t>（</w:t>
      </w:r>
      <w:r>
        <w:rPr>
          <w:rFonts w:hint="eastAsia" w:eastAsia="宋体" w:cs="Times New Roman"/>
          <w:b/>
          <w:sz w:val="32"/>
          <w:szCs w:val="32"/>
          <w:highlight w:val="none"/>
          <w:lang w:val="en-US" w:eastAsia="zh-CN"/>
        </w:rPr>
        <w:t>四</w:t>
      </w:r>
      <w:r>
        <w:rPr>
          <w:rFonts w:hint="default" w:ascii="Times New Roman" w:hAnsi="Times New Roman" w:eastAsia="宋体" w:cs="Times New Roman"/>
          <w:b/>
          <w:sz w:val="32"/>
          <w:szCs w:val="32"/>
          <w:highlight w:val="none"/>
          <w:lang w:eastAsia="zh-CN"/>
        </w:rPr>
        <w:t>）</w:t>
      </w:r>
      <w:r>
        <w:rPr>
          <w:rFonts w:hint="default" w:ascii="Times New Roman" w:hAnsi="Times New Roman" w:eastAsia="宋体" w:cs="Times New Roman"/>
          <w:b/>
          <w:sz w:val="32"/>
          <w:szCs w:val="32"/>
          <w:highlight w:val="none"/>
        </w:rPr>
        <w:t>政策功能分</w:t>
      </w:r>
      <w:r>
        <w:rPr>
          <w:rFonts w:hint="eastAsia" w:eastAsia="宋体" w:cs="Times New Roman"/>
          <w:b/>
          <w:sz w:val="32"/>
          <w:szCs w:val="32"/>
          <w:highlight w:val="none"/>
          <w:lang w:eastAsia="zh-CN"/>
        </w:rPr>
        <w:t>（</w:t>
      </w:r>
      <w:r>
        <w:rPr>
          <w:rFonts w:hint="eastAsia" w:ascii="Times New Roman" w:hAnsi="Times New Roman" w:eastAsia="宋体" w:cs="Times New Roman"/>
          <w:b/>
          <w:sz w:val="32"/>
          <w:szCs w:val="32"/>
          <w:highlight w:val="none"/>
          <w:lang w:val="en-US" w:eastAsia="zh-CN"/>
        </w:rPr>
        <w:t>2</w:t>
      </w:r>
      <w:r>
        <w:rPr>
          <w:rFonts w:hint="default" w:ascii="Times New Roman" w:hAnsi="Times New Roman" w:eastAsia="宋体" w:cs="Times New Roman"/>
          <w:b/>
          <w:sz w:val="32"/>
          <w:szCs w:val="32"/>
          <w:highlight w:val="none"/>
        </w:rPr>
        <w:t>分</w:t>
      </w:r>
      <w:r>
        <w:rPr>
          <w:rFonts w:hint="eastAsia" w:eastAsia="宋体" w:cs="Times New Roman"/>
          <w:b/>
          <w:sz w:val="32"/>
          <w:szCs w:val="32"/>
          <w:highlight w:val="none"/>
          <w:lang w:eastAsia="zh-CN"/>
        </w:rPr>
        <w:t>）</w:t>
      </w:r>
    </w:p>
    <w:p w14:paraId="3FC4186F">
      <w:pPr>
        <w:keepNext w:val="0"/>
        <w:keepLines w:val="0"/>
        <w:pageBreakBefore w:val="0"/>
        <w:widowControl/>
        <w:numPr>
          <w:ilvl w:val="0"/>
          <w:numId w:val="0"/>
        </w:numPr>
        <w:kinsoku/>
        <w:wordWrap/>
        <w:overflowPunct/>
        <w:topLinePunct w:val="0"/>
        <w:autoSpaceDE/>
        <w:autoSpaceDN/>
        <w:bidi w:val="0"/>
        <w:adjustRightInd/>
        <w:snapToGrid/>
        <w:spacing w:line="300" w:lineRule="auto"/>
        <w:ind w:firstLine="640" w:firstLineChars="200"/>
        <w:textAlignment w:val="auto"/>
        <w:rPr>
          <w:rFonts w:hint="default" w:ascii="Times New Roman" w:hAnsi="Times New Roman" w:eastAsia="仿宋" w:cs="Times New Roman"/>
          <w:color w:val="auto"/>
          <w:spacing w:val="0"/>
          <w:kern w:val="0"/>
          <w:sz w:val="32"/>
          <w:szCs w:val="32"/>
          <w:highlight w:val="none"/>
        </w:rPr>
      </w:pPr>
      <w:r>
        <w:rPr>
          <w:rFonts w:hint="eastAsia" w:eastAsia="仿宋" w:cs="Times New Roman"/>
          <w:spacing w:val="0"/>
          <w:kern w:val="0"/>
          <w:sz w:val="32"/>
          <w:szCs w:val="32"/>
          <w:highlight w:val="none"/>
          <w:lang w:val="en-US" w:eastAsia="zh-CN"/>
        </w:rPr>
        <w:t>供应商若属于国务院批准的中小企业划分标准确定的中型、小型、微型企业，并提供《中小企业声明函》，则该项得2分</w:t>
      </w:r>
      <w:r>
        <w:rPr>
          <w:rFonts w:hint="default" w:ascii="Times New Roman" w:hAnsi="Times New Roman" w:eastAsia="仿宋" w:cs="Times New Roman"/>
          <w:spacing w:val="0"/>
          <w:kern w:val="0"/>
          <w:sz w:val="32"/>
          <w:szCs w:val="32"/>
          <w:highlight w:val="none"/>
          <w:lang w:eastAsia="zh-CN"/>
        </w:rPr>
        <w:t>。</w:t>
      </w:r>
    </w:p>
    <w:p w14:paraId="0A2E2A85">
      <w:pPr>
        <w:keepNext w:val="0"/>
        <w:keepLines w:val="0"/>
        <w:pageBreakBefore w:val="0"/>
        <w:widowControl/>
        <w:numPr>
          <w:ilvl w:val="0"/>
          <w:numId w:val="0"/>
        </w:numPr>
        <w:kinsoku/>
        <w:wordWrap/>
        <w:overflowPunct/>
        <w:topLinePunct w:val="0"/>
        <w:bidi w:val="0"/>
        <w:spacing w:line="540" w:lineRule="exact"/>
        <w:ind w:firstLine="640" w:firstLineChars="200"/>
        <w:rPr>
          <w:rFonts w:hint="default" w:ascii="Times New Roman" w:hAnsi="Times New Roman" w:eastAsia="宋体" w:cs="Times New Roman"/>
          <w:color w:val="auto"/>
          <w:sz w:val="21"/>
          <w:szCs w:val="20"/>
          <w:highlight w:val="none"/>
        </w:rPr>
      </w:pPr>
      <w:r>
        <w:rPr>
          <w:rFonts w:hint="default" w:ascii="Times New Roman" w:hAnsi="Times New Roman" w:eastAsia="仿宋" w:cs="Times New Roman"/>
          <w:color w:val="auto"/>
          <w:spacing w:val="0"/>
          <w:kern w:val="0"/>
          <w:sz w:val="32"/>
          <w:szCs w:val="32"/>
          <w:highlight w:val="none"/>
        </w:rPr>
        <w:t>总分值=</w:t>
      </w:r>
      <w:r>
        <w:rPr>
          <w:rFonts w:hint="eastAsia" w:ascii="仿宋" w:hAnsi="仿宋" w:eastAsia="仿宋" w:cs="仿宋"/>
          <w:b w:val="0"/>
          <w:bCs w:val="0"/>
          <w:color w:val="auto"/>
          <w:spacing w:val="-6"/>
          <w:sz w:val="32"/>
          <w:szCs w:val="32"/>
          <w:highlight w:val="none"/>
        </w:rPr>
        <w:t>（一）+（二）+（三）+（四）</w:t>
      </w:r>
    </w:p>
    <w:p w14:paraId="6439CE89">
      <w:pPr>
        <w:keepNext w:val="0"/>
        <w:keepLines w:val="0"/>
        <w:pageBreakBefore w:val="0"/>
        <w:widowControl/>
        <w:kinsoku/>
        <w:wordWrap/>
        <w:overflowPunct/>
        <w:topLinePunct w:val="0"/>
        <w:bidi w:val="0"/>
        <w:spacing w:line="540" w:lineRule="exact"/>
        <w:ind w:firstLine="647" w:firstLineChars="202"/>
        <w:rPr>
          <w:rFonts w:hint="default" w:ascii="Times New Roman" w:hAnsi="Times New Roman" w:eastAsia="宋体" w:cs="Times New Roman"/>
          <w:b/>
          <w:color w:val="auto"/>
          <w:sz w:val="32"/>
          <w:szCs w:val="32"/>
          <w:highlight w:val="none"/>
        </w:rPr>
      </w:pPr>
      <w:r>
        <w:rPr>
          <w:rFonts w:hint="default" w:ascii="Times New Roman" w:hAnsi="Times New Roman" w:eastAsia="宋体" w:cs="Times New Roman"/>
          <w:b/>
          <w:color w:val="auto"/>
          <w:sz w:val="32"/>
          <w:szCs w:val="32"/>
          <w:highlight w:val="none"/>
        </w:rPr>
        <w:t>三、评审结果</w:t>
      </w:r>
    </w:p>
    <w:p w14:paraId="5B3BACA3">
      <w:pPr>
        <w:keepNext w:val="0"/>
        <w:keepLines w:val="0"/>
        <w:pageBreakBefore w:val="0"/>
        <w:widowControl/>
        <w:kinsoku/>
        <w:wordWrap/>
        <w:overflowPunct/>
        <w:topLinePunct w:val="0"/>
        <w:bidi w:val="0"/>
        <w:spacing w:line="540" w:lineRule="exact"/>
        <w:ind w:firstLine="640" w:firstLineChars="200"/>
        <w:rPr>
          <w:rFonts w:eastAsia="仿宋"/>
          <w:color w:val="auto"/>
          <w:kern w:val="0"/>
          <w:sz w:val="32"/>
          <w:szCs w:val="32"/>
          <w:highlight w:val="none"/>
        </w:rPr>
      </w:pPr>
      <w:r>
        <w:rPr>
          <w:rFonts w:hint="default" w:ascii="Times New Roman" w:hAnsi="Times New Roman" w:eastAsia="仿宋" w:cs="Times New Roman"/>
          <w:color w:val="auto"/>
          <w:kern w:val="0"/>
          <w:sz w:val="32"/>
          <w:szCs w:val="32"/>
          <w:highlight w:val="none"/>
        </w:rPr>
        <w:t>根据供应商提交的材料进行综合评分，按照得分由高到低顺序得出成交供应商名单，评审得分最高者为成交供应商。评审得分相同的，按报价由低到高排序，评审得分相同且报价也相同的，按技术指标优劣排序。排序第一的供应商为成交供应商。如成交供应商因不可抗力提出不能履行合同，顺位选择第二排名的供应商，以此类推。</w:t>
      </w:r>
    </w:p>
    <w:p w14:paraId="1469DA34"/>
    <w:sectPr>
      <w:pgSz w:w="11906" w:h="16838"/>
      <w:pgMar w:top="1440" w:right="1361" w:bottom="1440" w:left="1417" w:header="1134" w:footer="1304" w:gutter="0"/>
      <w:pgNumType w:fmt="numberInDash"/>
      <w:cols w:space="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503050405090304"/>
    <w:charset w:val="01"/>
    <w:family w:val="auto"/>
    <w:pitch w:val="default"/>
    <w:sig w:usb0="E0000AFF" w:usb1="00007843" w:usb2="00000001" w:usb3="00000000" w:csb0="400001BF" w:csb1="DFF70000"/>
    <w:embedRegular r:id="rId1" w:fontKey="{E9B1AB7D-E020-D32D-F2FE-4068C8651596}"/>
  </w:font>
  <w:font w:name="宋体">
    <w:altName w:val="汉仪书宋二KW"/>
    <w:panose1 w:val="02010600030101010101"/>
    <w:charset w:val="80"/>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800002BF" w:usb1="38CF7CFA" w:usb2="00000016" w:usb3="00000000" w:csb0="00040001" w:csb1="00000000"/>
  </w:font>
  <w:font w:name="Courier New">
    <w:panose1 w:val="02070409020205090404"/>
    <w:charset w:val="01"/>
    <w:family w:val="modern"/>
    <w:pitch w:val="default"/>
    <w:sig w:usb0="E0000AFF" w:usb1="40007843" w:usb2="00000001" w:usb3="00000000" w:csb0="400001BF" w:csb1="DFF7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新宋体">
    <w:altName w:val="方正书宋_GBK"/>
    <w:panose1 w:val="02010609030101010101"/>
    <w:charset w:val="86"/>
    <w:family w:val="modern"/>
    <w:pitch w:val="default"/>
    <w:sig w:usb0="00000000" w:usb1="00000000" w:usb2="00000006" w:usb3="00000000" w:csb0="00040001" w:csb1="00000000"/>
  </w:font>
  <w:font w:name="方正小标宋_GBK">
    <w:panose1 w:val="03000509000000000000"/>
    <w:charset w:val="86"/>
    <w:family w:val="script"/>
    <w:pitch w:val="default"/>
    <w:sig w:usb0="00000001" w:usb1="080E0000" w:usb2="00000000" w:usb3="00000000" w:csb0="00040000" w:csb1="00000000"/>
    <w:embedRegular r:id="rId2" w:fontKey="{2889CD2A-DF4B-DF12-F2FE-4068D7304CCC}"/>
  </w:font>
  <w:font w:name="仿宋">
    <w:altName w:val="方正仿宋_GBK"/>
    <w:panose1 w:val="02010609060101010101"/>
    <w:charset w:val="86"/>
    <w:family w:val="modern"/>
    <w:pitch w:val="default"/>
    <w:sig w:usb0="00000000" w:usb1="00000000" w:usb2="00000016" w:usb3="00000000" w:csb0="00040001" w:csb1="00000000"/>
  </w:font>
  <w:font w:name="汉仪书宋二KW">
    <w:panose1 w:val="00020600040101010101"/>
    <w:charset w:val="86"/>
    <w:family w:val="auto"/>
    <w:pitch w:val="default"/>
    <w:sig w:usb0="A00002BF" w:usb1="18EF7CFA" w:usb2="00000016" w:usb3="00000000" w:csb0="00040000" w:csb1="00000000"/>
  </w:font>
  <w:font w:name="汉仪中黑KW">
    <w:panose1 w:val="00020600040101010101"/>
    <w:charset w:val="86"/>
    <w:family w:val="auto"/>
    <w:pitch w:val="default"/>
    <w:sig w:usb0="A00002BF" w:usb1="18EF7CFA" w:usb2="00000016" w:usb3="00000000" w:csb0="00040000" w:csb1="00000000"/>
  </w:font>
  <w:font w:name="方正仿宋_GBK">
    <w:panose1 w:val="03000509000000000000"/>
    <w:charset w:val="86"/>
    <w:family w:val="auto"/>
    <w:pitch w:val="default"/>
    <w:sig w:usb0="00000001" w:usb1="080E0000" w:usb2="00000000" w:usb3="00000000" w:csb0="00040000" w:csb1="00000000"/>
  </w:font>
  <w:font w:name="方正书宋_GBK">
    <w:panose1 w:val="02000000000000000000"/>
    <w:charset w:val="86"/>
    <w:family w:val="auto"/>
    <w:pitch w:val="default"/>
    <w:sig w:usb0="A00002BF" w:usb1="38CF7CFA" w:usb2="00082016" w:usb3="00000000" w:csb0="00040001" w:csb1="00000000"/>
  </w:font>
  <w:font w:name="Helvetica Neue">
    <w:panose1 w:val="02000503000000020004"/>
    <w:charset w:val="00"/>
    <w:family w:val="auto"/>
    <w:pitch w:val="default"/>
    <w:sig w:usb0="E50002FF" w:usb1="500079DB" w:usb2="00000010" w:usb3="00000000" w:csb0="00000000" w:csb1="00000000"/>
  </w:font>
  <w:font w:name="Kingsoft Sign">
    <w:panose1 w:val="05050102010706020507"/>
    <w:charset w:val="00"/>
    <w:family w:val="auto"/>
    <w:pitch w:val="default"/>
    <w:sig w:usb0="00000000" w:usb1="1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77E0F47"/>
    <w:multiLevelType w:val="singleLevel"/>
    <w:tmpl w:val="377E0F47"/>
    <w:lvl w:ilvl="0" w:tentative="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210"/>
  <w:embedTrueTypeFonts/>
  <w:saveSubsetFonts/>
  <w:bordersDoNotSurroundHeader w:val="0"/>
  <w:bordersDoNotSurroundFooter w:val="0"/>
  <w:documentProtection w:edit="trackedChanges"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FCA1D05"/>
    <w:rsid w:val="1FCA1D05"/>
    <w:rsid w:val="2FDA2B8D"/>
    <w:rsid w:val="54AB5467"/>
    <w:rsid w:val="5FBE03C8"/>
    <w:rsid w:val="68BB405E"/>
    <w:rsid w:val="69BF6EB2"/>
    <w:rsid w:val="C5BD4A5F"/>
    <w:rsid w:val="FAFE6F71"/>
    <w:rsid w:val="FD5A8AAD"/>
    <w:rsid w:val="FECDA1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新宋体" w:cs="Times New Roman"/>
      <w:kern w:val="2"/>
      <w:sz w:val="28"/>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customStyle="1" w:styleId="2">
    <w:name w:val="正文-公1"/>
    <w:basedOn w:val="1"/>
    <w:qFormat/>
    <w:uiPriority w:val="0"/>
    <w:rPr>
      <w:rFonts w:ascii="Calibri" w:hAnsi="Calibri" w:eastAsia="宋体" w:cs="Times New Roman"/>
      <w:szCs w:val="24"/>
    </w:rPr>
  </w:style>
  <w:style w:type="paragraph" w:styleId="3">
    <w:name w:val="annotation text"/>
    <w:basedOn w:val="1"/>
    <w:qFormat/>
    <w:uiPriority w:val="0"/>
    <w:pPr>
      <w:jc w:val="left"/>
    </w:pPr>
  </w:style>
  <w:style w:type="paragraph" w:customStyle="1" w:styleId="6">
    <w:name w:val="列出段落1"/>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2205</Words>
  <Characters>2249</Characters>
  <Lines>0</Lines>
  <Paragraphs>0</Paragraphs>
  <TotalTime>12</TotalTime>
  <ScaleCrop>false</ScaleCrop>
  <LinksUpToDate>false</LinksUpToDate>
  <CharactersWithSpaces>2253</CharactersWithSpaces>
  <Application>WPS Office_7.5.1.8994_F1E327BC-269C-435d-A152-05C5408002CA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2025-03-25T00:04:00Z</dcterms:created>
  <dc:creator>周子伦</dc:creator>
  <cp:lastModifiedBy>风谷迷离</cp:lastModifiedBy>
  <dcterms:modified xsi:type="dcterms:W3CDTF">2025-06-05T10:20:34Z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2052-7.5.1.8994</vt:lpwstr>
  </property>
  <property fmtid="{D5CDD505-2E9C-101B-9397-08002B2CF9AE}" pid="3" name="ICV">
    <vt:lpwstr>903A54FADFC7A209153AFE67DA86E38E_43</vt:lpwstr>
  </property>
  <property fmtid="{D5CDD505-2E9C-101B-9397-08002B2CF9AE}" pid="4" name="KSOTemplateDocerSaveRecord">
    <vt:lpwstr>eyJoZGlkIjoiNTgwNzAxYTg5ZDlmNmI2Mzg4YjRkZTNkY2Q2ZTI2YjYiLCJ1c2VySWQiOiI0MTIxNzY0MTQifQ==</vt:lpwstr>
  </property>
</Properties>
</file>