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03DC33">
      <w:pPr>
        <w:spacing w:line="400" w:lineRule="exact"/>
        <w:outlineLvl w:val="1"/>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1</w:t>
      </w:r>
    </w:p>
    <w:p w14:paraId="6057B31E">
      <w:pPr>
        <w:spacing w:line="600" w:lineRule="exact"/>
        <w:jc w:val="center"/>
        <w:rPr>
          <w:rFonts w:ascii="方正小标宋_GBK" w:hAnsi="仿宋" w:eastAsia="方正小标宋_GBK" w:cs="仿宋"/>
          <w:color w:val="000000"/>
          <w:sz w:val="44"/>
          <w:szCs w:val="44"/>
        </w:rPr>
      </w:pPr>
      <w:r>
        <w:rPr>
          <w:rFonts w:hint="eastAsia" w:ascii="方正小标宋_GBK" w:hAnsi="仿宋" w:eastAsia="方正小标宋_GBK" w:cs="仿宋"/>
          <w:color w:val="000000"/>
          <w:sz w:val="44"/>
          <w:szCs w:val="44"/>
        </w:rPr>
        <w:t>广西壮族自治区环境保护科学研究院</w:t>
      </w:r>
    </w:p>
    <w:p w14:paraId="1A3CF641">
      <w:pPr>
        <w:spacing w:line="600" w:lineRule="exact"/>
        <w:jc w:val="center"/>
        <w:rPr>
          <w:rFonts w:hint="eastAsia" w:ascii="Times New Roman" w:hAnsi="Times New Roman" w:eastAsia="方正小标宋_GBK"/>
          <w:sz w:val="44"/>
          <w:szCs w:val="44"/>
          <w:u w:val="single"/>
          <w:lang w:eastAsia="zh-CN"/>
        </w:rPr>
      </w:pPr>
      <w:r>
        <w:rPr>
          <w:rFonts w:hint="eastAsia" w:ascii="Times New Roman" w:hAnsi="Times New Roman" w:eastAsia="方正小标宋_GBK"/>
          <w:sz w:val="44"/>
          <w:szCs w:val="44"/>
          <w:u w:val="single"/>
          <w:lang w:eastAsia="zh-CN"/>
        </w:rPr>
        <w:t>网络机房设备维护及安全设备续保</w:t>
      </w:r>
    </w:p>
    <w:p w14:paraId="03B1EDDD">
      <w:pPr>
        <w:spacing w:line="600" w:lineRule="exact"/>
        <w:jc w:val="center"/>
        <w:rPr>
          <w:rFonts w:ascii="方正小标宋_GBK" w:hAnsi="仿宋" w:eastAsia="方正小标宋_GBK" w:cs="仿宋"/>
          <w:sz w:val="44"/>
          <w:szCs w:val="44"/>
        </w:rPr>
      </w:pPr>
      <w:r>
        <w:rPr>
          <w:rFonts w:hint="eastAsia" w:ascii="方正小标宋_GBK" w:hAnsi="方正小标宋_GBK" w:eastAsia="方正小标宋_GBK" w:cs="方正小标宋_GBK"/>
          <w:sz w:val="44"/>
          <w:szCs w:val="44"/>
        </w:rPr>
        <w:t>采购</w:t>
      </w:r>
      <w:r>
        <w:rPr>
          <w:rFonts w:hint="eastAsia" w:ascii="方正小标宋_GBK" w:hAnsi="仿宋" w:eastAsia="方正小标宋_GBK" w:cs="仿宋"/>
          <w:sz w:val="44"/>
          <w:szCs w:val="44"/>
        </w:rPr>
        <w:t>需求响应表</w:t>
      </w:r>
    </w:p>
    <w:p w14:paraId="0413AC37">
      <w:pPr>
        <w:pStyle w:val="3"/>
      </w:pPr>
    </w:p>
    <w:p w14:paraId="35240D48">
      <w:pPr>
        <w:spacing w:line="400" w:lineRule="exact"/>
        <w:ind w:right="600"/>
        <w:jc w:val="right"/>
        <w:rPr>
          <w:rFonts w:eastAsia="仿宋"/>
          <w:color w:val="000000"/>
          <w:sz w:val="30"/>
          <w:szCs w:val="30"/>
        </w:rPr>
      </w:pPr>
      <w:r>
        <w:rPr>
          <w:rFonts w:hint="eastAsia" w:eastAsia="仿宋"/>
          <w:color w:val="000000"/>
          <w:sz w:val="30"/>
          <w:szCs w:val="30"/>
        </w:rPr>
        <w:t>时间：</w:t>
      </w:r>
      <w:r>
        <w:rPr>
          <w:rFonts w:eastAsia="仿宋"/>
          <w:color w:val="000000"/>
          <w:sz w:val="30"/>
          <w:szCs w:val="30"/>
        </w:rPr>
        <w:t xml:space="preserve">   </w:t>
      </w:r>
      <w:r>
        <w:rPr>
          <w:rFonts w:hint="eastAsia" w:eastAsia="仿宋"/>
          <w:color w:val="000000"/>
          <w:sz w:val="30"/>
          <w:szCs w:val="30"/>
        </w:rPr>
        <w:t>年</w:t>
      </w:r>
      <w:r>
        <w:rPr>
          <w:rFonts w:eastAsia="仿宋"/>
          <w:color w:val="000000"/>
          <w:sz w:val="30"/>
          <w:szCs w:val="30"/>
        </w:rPr>
        <w:t xml:space="preserve">   </w:t>
      </w:r>
      <w:r>
        <w:rPr>
          <w:rFonts w:hint="eastAsia" w:eastAsia="仿宋"/>
          <w:color w:val="000000"/>
          <w:sz w:val="30"/>
          <w:szCs w:val="30"/>
        </w:rPr>
        <w:t>月</w:t>
      </w:r>
      <w:r>
        <w:rPr>
          <w:rFonts w:eastAsia="仿宋"/>
          <w:color w:val="000000"/>
          <w:sz w:val="30"/>
          <w:szCs w:val="30"/>
        </w:rPr>
        <w:t xml:space="preserve">   </w:t>
      </w:r>
      <w:r>
        <w:rPr>
          <w:rFonts w:hint="eastAsia" w:eastAsia="仿宋"/>
          <w:color w:val="000000"/>
          <w:sz w:val="30"/>
          <w:szCs w:val="30"/>
        </w:rPr>
        <w:t>日</w:t>
      </w:r>
    </w:p>
    <w:tbl>
      <w:tblPr>
        <w:tblStyle w:val="4"/>
        <w:tblW w:w="15282" w:type="dxa"/>
        <w:tblInd w:w="-57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1705"/>
        <w:gridCol w:w="6752"/>
        <w:gridCol w:w="945"/>
        <w:gridCol w:w="1365"/>
        <w:gridCol w:w="2236"/>
        <w:gridCol w:w="1418"/>
      </w:tblGrid>
      <w:tr w14:paraId="32F2F9EA">
        <w:tc>
          <w:tcPr>
            <w:tcW w:w="9318" w:type="dxa"/>
            <w:gridSpan w:val="3"/>
          </w:tcPr>
          <w:p w14:paraId="5063CA12">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服务要求</w:t>
            </w:r>
          </w:p>
        </w:tc>
        <w:tc>
          <w:tcPr>
            <w:tcW w:w="4546" w:type="dxa"/>
            <w:gridSpan w:val="3"/>
          </w:tcPr>
          <w:p w14:paraId="5FDCD80E">
            <w:pPr>
              <w:snapToGrid w:val="0"/>
              <w:spacing w:line="400" w:lineRule="exact"/>
              <w:jc w:val="center"/>
              <w:rPr>
                <w:rFonts w:hint="eastAsia" w:ascii="黑体" w:hAnsi="黑体" w:eastAsia="黑体"/>
                <w:color w:val="000000"/>
                <w:sz w:val="28"/>
                <w:szCs w:val="28"/>
                <w:lang w:eastAsia="zh-CN"/>
              </w:rPr>
            </w:pPr>
            <w:r>
              <w:rPr>
                <w:rFonts w:hint="eastAsia" w:ascii="黑体" w:hAnsi="黑体" w:eastAsia="黑体"/>
                <w:color w:val="000000"/>
                <w:sz w:val="28"/>
                <w:szCs w:val="28"/>
              </w:rPr>
              <w:t>需求</w:t>
            </w:r>
            <w:r>
              <w:rPr>
                <w:rFonts w:hint="eastAsia" w:ascii="黑体" w:hAnsi="黑体" w:eastAsia="黑体"/>
                <w:color w:val="000000"/>
                <w:sz w:val="28"/>
                <w:szCs w:val="28"/>
                <w:lang w:val="en-US" w:eastAsia="zh-CN"/>
              </w:rPr>
              <w:t>响应</w:t>
            </w:r>
          </w:p>
        </w:tc>
        <w:tc>
          <w:tcPr>
            <w:tcW w:w="1418" w:type="dxa"/>
            <w:vMerge w:val="restart"/>
          </w:tcPr>
          <w:p w14:paraId="7E671AAB">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偏离情况</w:t>
            </w:r>
          </w:p>
        </w:tc>
      </w:tr>
      <w:tr w14:paraId="6D3A613E">
        <w:trPr>
          <w:trHeight w:val="438" w:hRule="atLeast"/>
        </w:trPr>
        <w:tc>
          <w:tcPr>
            <w:tcW w:w="861" w:type="dxa"/>
          </w:tcPr>
          <w:p w14:paraId="42D07C7D">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序号</w:t>
            </w:r>
          </w:p>
        </w:tc>
        <w:tc>
          <w:tcPr>
            <w:tcW w:w="1705" w:type="dxa"/>
          </w:tcPr>
          <w:p w14:paraId="67F51BF9">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项目名称</w:t>
            </w:r>
          </w:p>
        </w:tc>
        <w:tc>
          <w:tcPr>
            <w:tcW w:w="6752" w:type="dxa"/>
          </w:tcPr>
          <w:p w14:paraId="56784BC8">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要求</w:t>
            </w:r>
          </w:p>
        </w:tc>
        <w:tc>
          <w:tcPr>
            <w:tcW w:w="945" w:type="dxa"/>
          </w:tcPr>
          <w:p w14:paraId="43748B5D">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序号</w:t>
            </w:r>
          </w:p>
        </w:tc>
        <w:tc>
          <w:tcPr>
            <w:tcW w:w="1365" w:type="dxa"/>
          </w:tcPr>
          <w:p w14:paraId="19BCCD24">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项目名称</w:t>
            </w:r>
          </w:p>
        </w:tc>
        <w:tc>
          <w:tcPr>
            <w:tcW w:w="2236" w:type="dxa"/>
          </w:tcPr>
          <w:p w14:paraId="082D1108">
            <w:pPr>
              <w:snapToGrid w:val="0"/>
              <w:spacing w:line="400" w:lineRule="exact"/>
              <w:jc w:val="center"/>
              <w:rPr>
                <w:rFonts w:ascii="黑体" w:hAnsi="黑体" w:eastAsia="黑体"/>
                <w:color w:val="000000"/>
                <w:sz w:val="28"/>
                <w:szCs w:val="28"/>
              </w:rPr>
            </w:pPr>
            <w:r>
              <w:rPr>
                <w:rFonts w:hint="eastAsia" w:ascii="黑体" w:hAnsi="黑体" w:eastAsia="黑体"/>
                <w:color w:val="000000"/>
                <w:sz w:val="28"/>
                <w:szCs w:val="28"/>
              </w:rPr>
              <w:t>要求</w:t>
            </w:r>
          </w:p>
        </w:tc>
        <w:tc>
          <w:tcPr>
            <w:tcW w:w="1418" w:type="dxa"/>
            <w:vMerge w:val="continue"/>
          </w:tcPr>
          <w:p w14:paraId="343C5498">
            <w:pPr>
              <w:snapToGrid w:val="0"/>
              <w:spacing w:line="400" w:lineRule="exact"/>
              <w:jc w:val="center"/>
              <w:rPr>
                <w:rFonts w:ascii="黑体" w:hAnsi="黑体" w:eastAsia="黑体"/>
                <w:color w:val="000000"/>
                <w:sz w:val="28"/>
                <w:szCs w:val="28"/>
              </w:rPr>
            </w:pPr>
          </w:p>
        </w:tc>
      </w:tr>
      <w:tr w14:paraId="32E3D7AC">
        <w:trPr>
          <w:trHeight w:val="1139" w:hRule="atLeast"/>
        </w:trPr>
        <w:tc>
          <w:tcPr>
            <w:tcW w:w="861" w:type="dxa"/>
          </w:tcPr>
          <w:p w14:paraId="7FE7E715">
            <w:pPr>
              <w:widowControl w:val="0"/>
              <w:spacing w:line="400" w:lineRule="exact"/>
              <w:jc w:val="center"/>
              <w:outlineLvl w:val="1"/>
              <w:rPr>
                <w:rFonts w:ascii="Times New Roman" w:hAnsi="Times New Roman" w:eastAsia="方正黑体_GBK"/>
                <w:color w:val="000000"/>
                <w:sz w:val="32"/>
                <w:szCs w:val="32"/>
              </w:rPr>
            </w:pPr>
          </w:p>
          <w:p w14:paraId="712C9152">
            <w:pPr>
              <w:widowControl w:val="0"/>
              <w:spacing w:line="400" w:lineRule="exact"/>
              <w:jc w:val="center"/>
              <w:outlineLvl w:val="1"/>
              <w:rPr>
                <w:rFonts w:ascii="Times New Roman" w:hAnsi="Times New Roman" w:eastAsia="方正黑体_GBK"/>
                <w:color w:val="000000"/>
                <w:sz w:val="32"/>
                <w:szCs w:val="32"/>
              </w:rPr>
            </w:pPr>
            <w:bookmarkStart w:id="0" w:name="_Toc21945"/>
            <w:r>
              <w:rPr>
                <w:rFonts w:ascii="Times New Roman" w:hAnsi="Times New Roman" w:eastAsia="方正黑体_GBK"/>
                <w:color w:val="000000"/>
                <w:sz w:val="32"/>
                <w:szCs w:val="32"/>
              </w:rPr>
              <w:t>1</w:t>
            </w:r>
            <w:bookmarkEnd w:id="0"/>
          </w:p>
        </w:tc>
        <w:tc>
          <w:tcPr>
            <w:tcW w:w="1705" w:type="dxa"/>
          </w:tcPr>
          <w:p w14:paraId="137CC182">
            <w:pPr>
              <w:widowControl w:val="0"/>
              <w:spacing w:line="400" w:lineRule="exact"/>
              <w:jc w:val="center"/>
              <w:outlineLvl w:val="1"/>
              <w:rPr>
                <w:rFonts w:hint="eastAsia" w:ascii="Times New Roman" w:hAnsi="Times New Roman" w:eastAsia="方正黑体_GBK"/>
                <w:color w:val="000000"/>
                <w:sz w:val="24"/>
                <w:szCs w:val="24"/>
                <w:lang w:eastAsia="zh-CN"/>
              </w:rPr>
            </w:pPr>
            <w:r>
              <w:rPr>
                <w:rFonts w:hint="eastAsia" w:ascii="Times New Roman" w:hAnsi="Times New Roman" w:cs="Times New Roman" w:eastAsiaTheme="minorEastAsia"/>
                <w:color w:val="auto"/>
                <w:kern w:val="0"/>
                <w:sz w:val="21"/>
                <w:szCs w:val="21"/>
                <w:highlight w:val="none"/>
                <w:lang w:val="en-US" w:eastAsia="zh-CN" w:bidi="ar-SA"/>
              </w:rPr>
              <w:t>广西壮族自治区环境保护科学研究院网络机房设备维护及安全设备续保采购项目</w:t>
            </w:r>
          </w:p>
        </w:tc>
        <w:tc>
          <w:tcPr>
            <w:tcW w:w="6752" w:type="dxa"/>
          </w:tcPr>
          <w:p w14:paraId="177C05D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lang w:val="en-US" w:eastAsia="zh-CN"/>
              </w:rPr>
              <w:t>一、服务要求：</w:t>
            </w:r>
            <w:r>
              <w:rPr>
                <w:rFonts w:hint="eastAsia" w:ascii="Times New Roman" w:hAnsi="Times New Roman" w:eastAsiaTheme="minorEastAsia"/>
                <w:color w:val="auto"/>
                <w:sz w:val="21"/>
                <w:szCs w:val="21"/>
                <w:highlight w:val="none"/>
              </w:rPr>
              <w:t>参照网络安全等级2.0标准对广西壮族自治区环境保护科学研究院现有网络及安全设备进行安全维护，保持网络机房内设备正常运行，定期对机房及相关设备进行巡检，在系统及设备发生故障时能及时上门处理。提供月度及年度运维报告（详见附件1）；机房安全设备续保（延长2台明御安全网关、明御WEB应用防火墙、明御主机安全及管理系统、AiLPHA大数据智能安全平台、明御APT攻击预警平台等安全设备的维保期至2026年。延续时长1年）。起止日期：合同签订之日起1年。</w:t>
            </w:r>
          </w:p>
          <w:p w14:paraId="202FF4A7">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1、网络维护服务：（1）机房内所有网络设备以及线路保障。内容包括:日常维护、网络设备参数配置调整、事件处理、分析报告、性能监控、维修维保。 (2)内部网络以及接入互联网设备等汇聚层以及接入层设备维护，内容包括:日常维护、网络设备参数配置调整、事件处理、分析报告、性能监控、维修维保等。 (3)对涉及网络相关系统的新建、扩容、升级等要求提供专业的技术建议、设计、指导以及实施等。</w:t>
            </w:r>
          </w:p>
          <w:p w14:paraId="7259F91E">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2、信息安全设备维护服务:（1）对防火墙等安全设备硬件维保;对防火墙等安全设备系统进行升级，安全策略配置调整。</w:t>
            </w:r>
          </w:p>
          <w:p w14:paraId="7E730543">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3、服务器及存储维护服务：每月对服务器和存储设备维修和巡检服务:服务内容包括维护、布线、报警、消防、场地监控、视频监控系统等维护。主要内容有日常维护、事件处理、分析报告、性能监控、维修维保。</w:t>
            </w:r>
          </w:p>
          <w:p w14:paraId="5535C885">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4、机房维护服务：对3台精密空调维护和设备包修，2套UPS机组、3台除湿机、电池组；机房布线、报警、消防、场地监控、视频监控系统等维护。主要内容有日常维护、事件处理、分析报告、性能监控、维修维保。</w:t>
            </w:r>
          </w:p>
          <w:p w14:paraId="51B1DE4F">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5、信息安全服务：对（机房内合同约定的）服务器系统、网络交换机、路由器以及安全系统的安全加固。</w:t>
            </w:r>
          </w:p>
          <w:p w14:paraId="6A24E258">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6、建立广西壮族自治区环境保护科学研究院网络机房及相关设备清单，包括但不限于：设备信息、操作系统信息、软件基础平台信息、网络策略开通情况、杀毒软件安装更新情况、系统备份情况信息等。当清单发生较大变动时，应及时将变动信息告知。</w:t>
            </w:r>
          </w:p>
          <w:p w14:paraId="713F437E">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7、每周对网络机房及相关设备、操作系统、软件基础平台运行情况进行例行检查并定期更新特征库，保障安全正常运行。并对相关数据开展定期备份。</w:t>
            </w:r>
          </w:p>
          <w:p w14:paraId="3C3C8EA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8、每月对机房内系统及设备进行一次安全漏洞检查。使用漏洞扫描工具对信息系统的服务器、操作系统、数据库、中间件、防火墙、软件基础平台等进行全面安全检查，形成漏扫报告并以运维报告的形式定期提交至我方。</w:t>
            </w:r>
          </w:p>
          <w:p w14:paraId="75CAE8A3">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9、密切关注国内外信息安全漏洞库、信息安全厂商、IT交流社区以及软件项目托管平台等组织机构发布的网络安全漏洞，对发现的涉及所运维软硬件的安全漏洞，立即进行排查确认，于1个工作日内将漏洞信息（内容包括但不限于漏洞名称、漏洞编号、风险等级、涉及主机IP及端口号、漏洞描述、修复建议等）通过电话、邮件、微信等方式通知甲方，并在5个工作日内对漏洞进行修复，形成漏洞修复报告并提交甲方及广西壮族自治区生态环境信息中心。</w:t>
            </w:r>
          </w:p>
          <w:p w14:paraId="498BFE21">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10、配合甲方开展等保测评或第三方安全测试的整改工作。制定网络安全事件应急预案，在发生网络安全事件时,应当第一时间采取紧急处理措施,包括断网、关机、隔离病毒等措施，防止安全事件扩大。</w:t>
            </w:r>
          </w:p>
          <w:p w14:paraId="64264BBC">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11、提供技术支撑。配备专门的运维服务团队为甲方提供专业，及时的服务。提供5*8小时的故障即时诊断、7*24小时电话服务或远程技术支持服务。甲方出现系统故障，应当在1小时内做出响应安排及有效处理，4小时内做出故障诊断报告，解决问题后应出具书面总结报告反馈给甲方备份留存。</w:t>
            </w:r>
          </w:p>
          <w:p w14:paraId="6CB4531D">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12、负责保障重要活动节假日期间网络机房及相关设备的可靠运行，全面提高应对突发情况的综合管理水平和应急处置能力，最大限度地保证重大节假日期间系统稳定安全运行和可靠畅通。</w:t>
            </w:r>
          </w:p>
          <w:p w14:paraId="6486033D">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13、每月10日前提交一份上月的月度运维报告，必须包含漏洞扫描报告，巡检报告，运维问题报告等内容；2026年1月20日前提交一份2025年度运维总结报告，必须包含漏洞扫描报告，巡检报告，运维问题报告等内容。</w:t>
            </w:r>
          </w:p>
          <w:p w14:paraId="1B0FE1CF">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14、负责运维的团队要求具备丰富的网络安全运维工作经验，能够高效沟通和协调，与甲方共同解决问题。</w:t>
            </w:r>
          </w:p>
          <w:p w14:paraId="323B774B">
            <w:pPr>
              <w:pStyle w:val="2"/>
              <w:ind w:firstLine="420" w:firstLineChars="200"/>
              <w:rPr>
                <w:rFonts w:hint="eastAsia" w:ascii="Times New Roman" w:hAnsi="Times New Roman" w:eastAsiaTheme="minorEastAsia"/>
                <w:color w:val="auto"/>
                <w:sz w:val="21"/>
                <w:szCs w:val="21"/>
                <w:highlight w:val="none"/>
              </w:rPr>
            </w:pPr>
            <w:r>
              <w:rPr>
                <w:rFonts w:hint="eastAsia" w:ascii="Times New Roman" w:hAnsi="Times New Roman" w:eastAsiaTheme="minorEastAsia"/>
                <w:color w:val="auto"/>
                <w:sz w:val="21"/>
                <w:szCs w:val="21"/>
                <w:highlight w:val="none"/>
              </w:rPr>
              <w:t>15、制定应急保障方案，及时发现存在的风险隐患，及时主动采取措施整改。</w:t>
            </w:r>
          </w:p>
          <w:p w14:paraId="5384CD5B">
            <w:pPr>
              <w:widowControl w:val="0"/>
              <w:spacing w:line="300" w:lineRule="exact"/>
              <w:ind w:firstLine="420" w:firstLineChars="200"/>
              <w:jc w:val="left"/>
              <w:outlineLvl w:val="1"/>
              <w:rPr>
                <w:rFonts w:ascii="Times New Roman" w:hAnsi="Times New Roman" w:eastAsia="方正黑体_GBK"/>
                <w:color w:val="000000"/>
                <w:sz w:val="24"/>
                <w:szCs w:val="24"/>
              </w:rPr>
            </w:pPr>
            <w:r>
              <w:rPr>
                <w:rFonts w:hint="eastAsia" w:ascii="Times New Roman" w:hAnsi="Times New Roman" w:eastAsiaTheme="minorEastAsia"/>
                <w:color w:val="auto"/>
                <w:sz w:val="21"/>
                <w:szCs w:val="21"/>
                <w:highlight w:val="none"/>
                <w:lang w:val="en-US" w:eastAsia="zh-CN"/>
              </w:rPr>
              <w:t>二</w:t>
            </w:r>
            <w:r>
              <w:rPr>
                <w:rFonts w:ascii="Times New Roman" w:hAnsi="Times New Roman" w:eastAsiaTheme="minorEastAsia"/>
                <w:color w:val="auto"/>
                <w:sz w:val="21"/>
                <w:szCs w:val="21"/>
                <w:highlight w:val="none"/>
              </w:rPr>
              <w:t>、时间要求：</w:t>
            </w:r>
            <w:r>
              <w:rPr>
                <w:rFonts w:hint="eastAsia" w:ascii="Times New Roman" w:hAnsi="Times New Roman" w:eastAsiaTheme="minorEastAsia"/>
                <w:color w:val="auto"/>
                <w:sz w:val="21"/>
                <w:szCs w:val="21"/>
                <w:highlight w:val="none"/>
                <w:lang w:val="en-US" w:eastAsia="zh-CN"/>
              </w:rPr>
              <w:t>服务期一年</w:t>
            </w:r>
            <w:r>
              <w:rPr>
                <w:rFonts w:ascii="Times New Roman" w:hAnsi="Times New Roman" w:eastAsiaTheme="minorEastAsia"/>
                <w:color w:val="auto"/>
                <w:sz w:val="21"/>
                <w:szCs w:val="21"/>
                <w:highlight w:val="none"/>
              </w:rPr>
              <w:t>。</w:t>
            </w:r>
            <w:r>
              <w:rPr>
                <w:rFonts w:hint="eastAsia" w:ascii="Times New Roman" w:hAnsi="Times New Roman" w:eastAsia="仿宋"/>
                <w:sz w:val="24"/>
                <w:szCs w:val="24"/>
              </w:rPr>
              <w:t>。</w:t>
            </w:r>
            <w:r>
              <w:rPr>
                <w:rFonts w:hint="eastAsia" w:ascii="仿宋" w:hAnsi="仿宋" w:eastAsia="仿宋" w:cs="仿宋"/>
                <w:sz w:val="24"/>
                <w:szCs w:val="24"/>
                <w:highlight w:val="none"/>
              </w:rPr>
              <w:t xml:space="preserve"> </w:t>
            </w:r>
            <w:r>
              <w:rPr>
                <w:rFonts w:hint="eastAsia" w:ascii="仿宋" w:hAnsi="仿宋" w:eastAsia="仿宋" w:cs="仿宋"/>
                <w:sz w:val="24"/>
                <w:szCs w:val="24"/>
              </w:rPr>
              <w:t xml:space="preserve">  </w:t>
            </w:r>
          </w:p>
        </w:tc>
        <w:tc>
          <w:tcPr>
            <w:tcW w:w="945" w:type="dxa"/>
          </w:tcPr>
          <w:p w14:paraId="03280FCB">
            <w:pPr>
              <w:widowControl w:val="0"/>
              <w:spacing w:line="400" w:lineRule="exact"/>
              <w:jc w:val="center"/>
              <w:outlineLvl w:val="1"/>
              <w:rPr>
                <w:rFonts w:ascii="Times New Roman" w:hAnsi="Times New Roman" w:eastAsia="方正黑体_GBK"/>
                <w:color w:val="000000"/>
                <w:sz w:val="32"/>
                <w:szCs w:val="32"/>
              </w:rPr>
            </w:pPr>
          </w:p>
        </w:tc>
        <w:tc>
          <w:tcPr>
            <w:tcW w:w="1365" w:type="dxa"/>
          </w:tcPr>
          <w:p w14:paraId="68480041">
            <w:pPr>
              <w:widowControl w:val="0"/>
              <w:spacing w:line="400" w:lineRule="exact"/>
              <w:jc w:val="center"/>
              <w:outlineLvl w:val="1"/>
              <w:rPr>
                <w:rFonts w:ascii="Times New Roman" w:hAnsi="Times New Roman" w:eastAsia="方正黑体_GBK"/>
                <w:color w:val="000000"/>
                <w:sz w:val="32"/>
                <w:szCs w:val="32"/>
              </w:rPr>
            </w:pPr>
          </w:p>
        </w:tc>
        <w:tc>
          <w:tcPr>
            <w:tcW w:w="2236" w:type="dxa"/>
          </w:tcPr>
          <w:p w14:paraId="2A34BC12">
            <w:pPr>
              <w:widowControl w:val="0"/>
              <w:spacing w:line="400" w:lineRule="exact"/>
              <w:jc w:val="center"/>
              <w:outlineLvl w:val="1"/>
              <w:rPr>
                <w:rFonts w:ascii="Times New Roman" w:hAnsi="Times New Roman" w:eastAsia="方正黑体_GBK"/>
                <w:color w:val="000000"/>
                <w:sz w:val="32"/>
                <w:szCs w:val="32"/>
              </w:rPr>
            </w:pPr>
          </w:p>
        </w:tc>
        <w:tc>
          <w:tcPr>
            <w:tcW w:w="1418" w:type="dxa"/>
          </w:tcPr>
          <w:p w14:paraId="13A3840C">
            <w:pPr>
              <w:widowControl w:val="0"/>
              <w:spacing w:line="400" w:lineRule="exact"/>
              <w:jc w:val="center"/>
              <w:outlineLvl w:val="1"/>
              <w:rPr>
                <w:rFonts w:ascii="Times New Roman" w:hAnsi="Times New Roman" w:eastAsia="方正黑体_GBK"/>
                <w:color w:val="000000"/>
                <w:sz w:val="32"/>
                <w:szCs w:val="32"/>
              </w:rPr>
            </w:pPr>
          </w:p>
        </w:tc>
      </w:tr>
      <w:tr w14:paraId="00F606C9">
        <w:trPr>
          <w:trHeight w:val="1139" w:hRule="atLeast"/>
        </w:trPr>
        <w:tc>
          <w:tcPr>
            <w:tcW w:w="861" w:type="dxa"/>
          </w:tcPr>
          <w:p w14:paraId="107E1C7C">
            <w:pPr>
              <w:widowControl w:val="0"/>
              <w:spacing w:line="400" w:lineRule="exact"/>
              <w:jc w:val="center"/>
              <w:outlineLvl w:val="1"/>
              <w:rPr>
                <w:rFonts w:ascii="Times New Roman" w:hAnsi="Times New Roman" w:eastAsia="方正黑体_GBK"/>
                <w:color w:val="000000"/>
                <w:sz w:val="32"/>
                <w:szCs w:val="32"/>
              </w:rPr>
            </w:pPr>
            <w:bookmarkStart w:id="1" w:name="_Toc5015"/>
          </w:p>
        </w:tc>
        <w:tc>
          <w:tcPr>
            <w:tcW w:w="1705" w:type="dxa"/>
          </w:tcPr>
          <w:p w14:paraId="6CDC8368">
            <w:pPr>
              <w:widowControl w:val="0"/>
              <w:spacing w:line="400" w:lineRule="exact"/>
              <w:jc w:val="center"/>
              <w:outlineLvl w:val="1"/>
              <w:rPr>
                <w:rFonts w:hint="eastAsia" w:ascii="Times New Roman" w:hAnsi="Times New Roman" w:cs="Times New Roman" w:eastAsiaTheme="minorEastAsia"/>
                <w:color w:val="auto"/>
                <w:kern w:val="0"/>
                <w:sz w:val="21"/>
                <w:szCs w:val="21"/>
                <w:highlight w:val="none"/>
                <w:lang w:val="en-US" w:eastAsia="zh-CN" w:bidi="ar-SA"/>
              </w:rPr>
            </w:pPr>
          </w:p>
        </w:tc>
        <w:tc>
          <w:tcPr>
            <w:tcW w:w="6752" w:type="dxa"/>
          </w:tcPr>
          <w:p w14:paraId="49AC2600">
            <w:pPr>
              <w:widowControl w:val="0"/>
              <w:spacing w:line="300" w:lineRule="exact"/>
              <w:ind w:firstLine="420" w:firstLineChars="200"/>
              <w:jc w:val="left"/>
              <w:outlineLvl w:val="1"/>
              <w:rPr>
                <w:rFonts w:hint="default"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三、网络安全设备及软件应用技术服务要求：</w:t>
            </w:r>
          </w:p>
          <w:p w14:paraId="752DFF28">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1、明御安全网关（安恒DAS-NGFW1900）提供产品硬件故障更换服务和软件升级维护服务（系统升级、特征库升级）一年期服务授权。</w:t>
            </w:r>
          </w:p>
          <w:p w14:paraId="33A13574">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2、明御安全网关（安恒DAS-NGFW890）提供产品硬件故障更换服务和软件升级维护服务（系统升级、特征库升级）一年期服务授权。</w:t>
            </w:r>
          </w:p>
          <w:p w14:paraId="58083940">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3、明御WEB应用防火墙（安恒WAF-800AG</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bookmarkStart w:id="3" w:name="_GoBack"/>
            <w:bookmarkEnd w:id="3"/>
          </w:p>
          <w:p w14:paraId="23D1802F">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4、明御主机安全及管理系统（安恒DAS-EDR-CENTER、DAS-EDR-SERVER、DAS-EDR-PC）管理系统1套、均需提供产品软件升级维护服务（系统升级、特征库升级）一年期服务授权</w:t>
            </w:r>
          </w:p>
          <w:p w14:paraId="22C0226D">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5、AiLPHA大数据智能安全平台</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安恒DAS-ABL-A680</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p>
          <w:p w14:paraId="7196D227">
            <w:pPr>
              <w:widowControl w:val="0"/>
              <w:spacing w:line="300" w:lineRule="exact"/>
              <w:ind w:firstLine="420" w:firstLineChars="200"/>
              <w:jc w:val="left"/>
              <w:outlineLvl w:val="1"/>
              <w:rPr>
                <w:rFonts w:hint="eastAsia" w:ascii="Times New Roman" w:hAnsi="Times New Roman" w:eastAsiaTheme="minorEastAsia"/>
                <w:color w:val="auto"/>
                <w:sz w:val="21"/>
                <w:szCs w:val="21"/>
                <w:highlight w:val="none"/>
                <w:lang w:val="en-US" w:eastAsia="zh-CN"/>
              </w:rPr>
            </w:pPr>
            <w:r>
              <w:rPr>
                <w:rFonts w:hint="eastAsia" w:ascii="Times New Roman" w:hAnsi="Times New Roman" w:eastAsiaTheme="minorEastAsia"/>
                <w:color w:val="auto"/>
                <w:sz w:val="21"/>
                <w:szCs w:val="21"/>
                <w:highlight w:val="none"/>
                <w:lang w:val="en-US" w:eastAsia="zh-CN"/>
              </w:rPr>
              <w:t>6、明御APT攻击预警平台</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安恒DAS-APT-200</w:t>
            </w:r>
            <w:r>
              <w:rPr>
                <w:rFonts w:hint="eastAsia" w:ascii="Times New Roman" w:hAnsi="Times New Roman" w:eastAsiaTheme="minorEastAsia"/>
                <w:color w:val="auto"/>
                <w:sz w:val="21"/>
                <w:szCs w:val="21"/>
                <w:highlight w:val="none"/>
                <w:lang w:val="en-US" w:eastAsia="zh-CN"/>
              </w:rPr>
              <w:tab/>
            </w:r>
            <w:r>
              <w:rPr>
                <w:rFonts w:hint="eastAsia" w:ascii="Times New Roman" w:hAnsi="Times New Roman" w:eastAsiaTheme="minorEastAsia"/>
                <w:color w:val="auto"/>
                <w:sz w:val="21"/>
                <w:szCs w:val="21"/>
                <w:highlight w:val="none"/>
                <w:lang w:val="en-US" w:eastAsia="zh-CN"/>
              </w:rPr>
              <w:t>提供产品硬件故障更换服务和软件升级维护服务（系统升级、特征库升级）一年期服务授权。</w:t>
            </w:r>
          </w:p>
          <w:p w14:paraId="5634D9B1">
            <w:pPr>
              <w:widowControl w:val="0"/>
              <w:spacing w:line="300" w:lineRule="exact"/>
              <w:ind w:firstLine="420" w:firstLineChars="200"/>
              <w:jc w:val="left"/>
              <w:outlineLvl w:val="1"/>
              <w:rPr>
                <w:rFonts w:hint="default"/>
                <w:lang w:val="en-US" w:eastAsia="zh-CN"/>
              </w:rPr>
            </w:pPr>
            <w:r>
              <w:rPr>
                <w:rFonts w:hint="eastAsia" w:ascii="Times New Roman" w:hAnsi="Times New Roman" w:eastAsiaTheme="minorEastAsia"/>
                <w:color w:val="auto"/>
                <w:sz w:val="21"/>
                <w:szCs w:val="21"/>
                <w:highlight w:val="none"/>
                <w:lang w:val="en-US" w:eastAsia="zh-CN"/>
              </w:rPr>
              <w:t>7、以上均需提供加盖原厂公章的针对本项目的升级服务授权承诺函。</w:t>
            </w:r>
          </w:p>
        </w:tc>
        <w:tc>
          <w:tcPr>
            <w:tcW w:w="945" w:type="dxa"/>
          </w:tcPr>
          <w:p w14:paraId="4F6613E1">
            <w:pPr>
              <w:widowControl w:val="0"/>
              <w:spacing w:line="400" w:lineRule="exact"/>
              <w:jc w:val="center"/>
              <w:outlineLvl w:val="1"/>
              <w:rPr>
                <w:rFonts w:ascii="Times New Roman" w:hAnsi="Times New Roman" w:eastAsia="方正黑体_GBK"/>
                <w:color w:val="000000"/>
                <w:sz w:val="32"/>
                <w:szCs w:val="32"/>
              </w:rPr>
            </w:pPr>
          </w:p>
        </w:tc>
        <w:tc>
          <w:tcPr>
            <w:tcW w:w="1365" w:type="dxa"/>
          </w:tcPr>
          <w:p w14:paraId="0354C99D">
            <w:pPr>
              <w:widowControl w:val="0"/>
              <w:spacing w:line="400" w:lineRule="exact"/>
              <w:jc w:val="center"/>
              <w:outlineLvl w:val="1"/>
              <w:rPr>
                <w:rFonts w:ascii="Times New Roman" w:hAnsi="Times New Roman" w:eastAsia="方正黑体_GBK"/>
                <w:color w:val="000000"/>
                <w:sz w:val="32"/>
                <w:szCs w:val="32"/>
              </w:rPr>
            </w:pPr>
          </w:p>
        </w:tc>
        <w:tc>
          <w:tcPr>
            <w:tcW w:w="2236" w:type="dxa"/>
          </w:tcPr>
          <w:p w14:paraId="1F8FFAA2">
            <w:pPr>
              <w:widowControl w:val="0"/>
              <w:spacing w:line="400" w:lineRule="exact"/>
              <w:jc w:val="center"/>
              <w:outlineLvl w:val="1"/>
              <w:rPr>
                <w:rFonts w:ascii="Times New Roman" w:hAnsi="Times New Roman" w:eastAsia="方正黑体_GBK"/>
                <w:color w:val="000000"/>
                <w:sz w:val="32"/>
                <w:szCs w:val="32"/>
              </w:rPr>
            </w:pPr>
          </w:p>
        </w:tc>
        <w:tc>
          <w:tcPr>
            <w:tcW w:w="1418" w:type="dxa"/>
          </w:tcPr>
          <w:p w14:paraId="20562A15">
            <w:pPr>
              <w:widowControl w:val="0"/>
              <w:spacing w:line="400" w:lineRule="exact"/>
              <w:jc w:val="center"/>
              <w:outlineLvl w:val="1"/>
              <w:rPr>
                <w:rFonts w:ascii="Times New Roman" w:hAnsi="Times New Roman" w:eastAsia="方正黑体_GBK"/>
                <w:color w:val="000000"/>
                <w:sz w:val="32"/>
                <w:szCs w:val="32"/>
              </w:rPr>
            </w:pPr>
          </w:p>
        </w:tc>
      </w:tr>
    </w:tbl>
    <w:p w14:paraId="4F6FDBCD">
      <w:pPr>
        <w:spacing w:line="400" w:lineRule="exact"/>
        <w:jc w:val="left"/>
        <w:outlineLvl w:val="1"/>
        <w:rPr>
          <w:rFonts w:ascii="Times New Roman" w:hAnsi="Times New Roman" w:eastAsia="方正仿宋_GBK"/>
          <w:color w:val="000000"/>
          <w:sz w:val="28"/>
          <w:szCs w:val="28"/>
        </w:rPr>
      </w:pPr>
      <w:r>
        <w:rPr>
          <w:rFonts w:hint="eastAsia" w:ascii="Times New Roman" w:hAnsi="Times New Roman" w:eastAsia="方正仿宋_GBK"/>
          <w:color w:val="000000"/>
          <w:sz w:val="28"/>
          <w:szCs w:val="28"/>
        </w:rPr>
        <w:t>报价单位（盖章）：</w:t>
      </w:r>
      <w:r>
        <w:rPr>
          <w:rFonts w:ascii="Times New Roman" w:hAnsi="Times New Roman" w:eastAsia="方正仿宋_GBK"/>
          <w:color w:val="000000"/>
          <w:sz w:val="28"/>
          <w:szCs w:val="28"/>
          <w:u w:val="single"/>
        </w:rPr>
        <w:t xml:space="preserve">                               </w:t>
      </w:r>
      <w:r>
        <w:rPr>
          <w:rFonts w:ascii="Times New Roman" w:hAnsi="Times New Roman" w:eastAsia="方正仿宋_GBK"/>
          <w:color w:val="000000"/>
          <w:sz w:val="28"/>
          <w:szCs w:val="28"/>
        </w:rPr>
        <w:t xml:space="preserve">      </w:t>
      </w:r>
      <w:r>
        <w:rPr>
          <w:rFonts w:hint="eastAsia" w:ascii="Times New Roman" w:hAnsi="Times New Roman" w:eastAsia="方正仿宋_GBK"/>
          <w:color w:val="000000"/>
          <w:sz w:val="28"/>
          <w:szCs w:val="28"/>
        </w:rPr>
        <w:t>单位地址：</w:t>
      </w:r>
      <w:r>
        <w:rPr>
          <w:rFonts w:ascii="Times New Roman" w:hAnsi="Times New Roman" w:eastAsia="方正仿宋_GBK"/>
          <w:color w:val="000000"/>
          <w:sz w:val="28"/>
          <w:szCs w:val="28"/>
          <w:u w:val="single"/>
        </w:rPr>
        <w:t xml:space="preserve">                               </w:t>
      </w:r>
      <w:r>
        <w:rPr>
          <w:rFonts w:ascii="Times New Roman" w:hAnsi="Times New Roman" w:eastAsia="方正仿宋_GBK"/>
          <w:color w:val="000000"/>
          <w:sz w:val="28"/>
          <w:szCs w:val="28"/>
        </w:rPr>
        <w:t xml:space="preserve">   </w:t>
      </w:r>
    </w:p>
    <w:p w14:paraId="638B24C3">
      <w:pPr>
        <w:spacing w:line="400" w:lineRule="exact"/>
        <w:jc w:val="left"/>
        <w:outlineLvl w:val="1"/>
        <w:rPr>
          <w:rFonts w:ascii="Times New Roman" w:hAnsi="Times New Roman" w:eastAsia="方正仿宋_GBK"/>
          <w:color w:val="000000"/>
          <w:sz w:val="28"/>
          <w:szCs w:val="28"/>
        </w:rPr>
      </w:pPr>
      <w:r>
        <w:rPr>
          <w:rFonts w:hint="eastAsia" w:ascii="Times New Roman" w:hAnsi="Times New Roman" w:eastAsia="方正仿宋_GBK"/>
          <w:color w:val="000000"/>
          <w:sz w:val="28"/>
          <w:szCs w:val="28"/>
        </w:rPr>
        <w:t>联系人（签字）：</w:t>
      </w:r>
      <w:r>
        <w:rPr>
          <w:rFonts w:ascii="Times New Roman" w:hAnsi="Times New Roman" w:eastAsia="方正仿宋_GBK"/>
          <w:color w:val="000000"/>
          <w:sz w:val="28"/>
          <w:szCs w:val="28"/>
          <w:u w:val="single"/>
        </w:rPr>
        <w:t xml:space="preserve">                   </w:t>
      </w:r>
      <w:r>
        <w:rPr>
          <w:rFonts w:ascii="Times New Roman" w:hAnsi="Times New Roman" w:eastAsia="方正仿宋_GBK"/>
          <w:color w:val="000000"/>
          <w:sz w:val="28"/>
          <w:szCs w:val="28"/>
        </w:rPr>
        <w:t xml:space="preserve">     </w:t>
      </w:r>
      <w:r>
        <w:rPr>
          <w:rFonts w:hint="eastAsia" w:ascii="Times New Roman" w:hAnsi="Times New Roman" w:eastAsia="方正仿宋_GBK"/>
          <w:color w:val="000000"/>
          <w:sz w:val="28"/>
          <w:szCs w:val="28"/>
        </w:rPr>
        <w:t>联系方式：</w:t>
      </w:r>
      <w:r>
        <w:rPr>
          <w:rFonts w:ascii="Times New Roman" w:hAnsi="Times New Roman" w:eastAsia="方正仿宋_GBK"/>
          <w:color w:val="000000"/>
          <w:sz w:val="28"/>
          <w:szCs w:val="28"/>
          <w:u w:val="single"/>
        </w:rPr>
        <w:t xml:space="preserve">                   </w:t>
      </w:r>
      <w:r>
        <w:rPr>
          <w:rFonts w:ascii="Times New Roman" w:hAnsi="Times New Roman" w:eastAsia="方正仿宋_GBK"/>
          <w:color w:val="000000"/>
          <w:sz w:val="28"/>
          <w:szCs w:val="28"/>
        </w:rPr>
        <w:t xml:space="preserve">   </w:t>
      </w:r>
      <w:r>
        <w:rPr>
          <w:rFonts w:hint="eastAsia" w:ascii="Times New Roman" w:hAnsi="Times New Roman" w:eastAsia="方正仿宋_GBK"/>
          <w:color w:val="000000"/>
          <w:sz w:val="28"/>
          <w:szCs w:val="28"/>
        </w:rPr>
        <w:t>报价日期：</w:t>
      </w:r>
      <w:bookmarkEnd w:id="1"/>
      <w:r>
        <w:rPr>
          <w:rFonts w:ascii="Times New Roman" w:hAnsi="Times New Roman" w:eastAsia="方正仿宋_GBK"/>
          <w:color w:val="000000"/>
          <w:sz w:val="28"/>
          <w:szCs w:val="28"/>
          <w:u w:val="single"/>
        </w:rPr>
        <w:t xml:space="preserve">                   </w:t>
      </w:r>
    </w:p>
    <w:p w14:paraId="179C313E">
      <w:pPr>
        <w:spacing w:line="400" w:lineRule="exact"/>
        <w:ind w:left="-359" w:leftChars="-171"/>
        <w:jc w:val="left"/>
        <w:outlineLvl w:val="1"/>
      </w:pPr>
      <w:r>
        <w:rPr>
          <w:rFonts w:ascii="Times New Roman" w:hAnsi="Times New Roman" w:eastAsia="方正仿宋_GBK"/>
          <w:color w:val="000000"/>
          <w:sz w:val="28"/>
          <w:szCs w:val="28"/>
        </w:rPr>
        <w:t xml:space="preserve"> </w:t>
      </w:r>
      <w:bookmarkStart w:id="2" w:name="_Toc31049"/>
      <w:r>
        <w:rPr>
          <w:rFonts w:hint="eastAsia" w:ascii="Times New Roman" w:hAnsi="Times New Roman" w:eastAsia="方正仿宋_GBK"/>
          <w:color w:val="000000"/>
          <w:sz w:val="24"/>
        </w:rPr>
        <w:t>注：报价单位应根据询价函和服务需求响应表的要求逐条响应并在“偏离情况”栏注明“正偏离”、“负偏离”或“无偏离”，特别对有具体参数要求的指标，报价单位必须提供所供服务的具体参数</w:t>
      </w:r>
      <w:bookmarkEnd w:id="2"/>
      <w:r>
        <w:rPr>
          <w:rFonts w:hint="eastAsia" w:ascii="Times New Roman" w:hAnsi="Times New Roman" w:eastAsia="方正仿宋_GBK"/>
          <w:color w:val="000000"/>
          <w:sz w:val="24"/>
          <w:lang w:eastAsia="zh-CN"/>
        </w:rPr>
        <w:t>。</w:t>
      </w:r>
    </w:p>
    <w:sectPr>
      <w:pgSz w:w="16838" w:h="11906" w:orient="landscape"/>
      <w:pgMar w:top="850" w:right="1440" w:bottom="85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503050405090304"/>
    <w:charset w:val="86"/>
    <w:family w:val="roman"/>
    <w:pitch w:val="default"/>
    <w:sig w:usb0="E0000AFF" w:usb1="00007843" w:usb2="00000001" w:usb3="00000000" w:csb0="400001BF" w:csb1="DFF7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90204"/>
    <w:charset w:val="01"/>
    <w:family w:val="swiss"/>
    <w:pitch w:val="default"/>
    <w:sig w:usb0="E0000AFF" w:usb1="00007843" w:usb2="00000001" w:usb3="00000000" w:csb0="400001BF" w:csb1="DFF70000"/>
  </w:font>
  <w:font w:name="黑体">
    <w:altName w:val="汉仪中黑KW"/>
    <w:panose1 w:val="02010609060101010101"/>
    <w:charset w:val="86"/>
    <w:family w:val="auto"/>
    <w:pitch w:val="default"/>
    <w:sig w:usb0="800002BF" w:usb1="38CF7CFA" w:usb2="00000016" w:usb3="00000000" w:csb0="00040001" w:csb1="00000000"/>
  </w:font>
  <w:font w:name="Courier New">
    <w:panose1 w:val="02070409020205090404"/>
    <w:charset w:val="01"/>
    <w:family w:val="modern"/>
    <w:pitch w:val="default"/>
    <w:sig w:usb0="E0000AFF" w:usb1="40007843" w:usb2="00000001" w:usb3="00000000" w:csb0="400001BF" w:csb1="DFF7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方正小标宋_GBK">
    <w:panose1 w:val="03000509000000000000"/>
    <w:charset w:val="86"/>
    <w:family w:val="script"/>
    <w:pitch w:val="default"/>
    <w:sig w:usb0="00000001" w:usb1="080E0000" w:usb2="00000000" w:usb3="00000000" w:csb0="00040000" w:csb1="00000000"/>
  </w:font>
  <w:font w:name="仿宋">
    <w:altName w:val="方正仿宋_GBK"/>
    <w:panose1 w:val="02010609060101010101"/>
    <w:charset w:val="86"/>
    <w:family w:val="modern"/>
    <w:pitch w:val="default"/>
    <w:sig w:usb0="00000000" w:usb1="00000000" w:usb2="00000016" w:usb3="00000000" w:csb0="00040001" w:csb1="00000000"/>
  </w:font>
  <w:font w:name="方正黑体_GBK">
    <w:altName w:val="汉仪中黑KW"/>
    <w:panose1 w:val="03000509000000000000"/>
    <w:charset w:val="86"/>
    <w:family w:val="script"/>
    <w:pitch w:val="default"/>
    <w:sig w:usb0="00000000" w:usb1="00000000" w:usb2="00000000" w:usb3="00000000" w:csb0="00000000" w:csb1="00000000"/>
  </w:font>
  <w:font w:name="方正仿宋_GBK">
    <w:panose1 w:val="03000509000000000000"/>
    <w:charset w:val="86"/>
    <w:family w:val="script"/>
    <w:pitch w:val="default"/>
    <w:sig w:usb0="00000001" w:usb1="080E0000" w:usb2="00000000" w:usb3="00000000" w:csb0="00040000" w:csb1="00000000"/>
  </w:font>
  <w:font w:name="汉仪书宋二KW">
    <w:panose1 w:val="00020600040101010101"/>
    <w:charset w:val="86"/>
    <w:family w:val="auto"/>
    <w:pitch w:val="default"/>
    <w:sig w:usb0="A00002BF" w:usb1="18EF7CFA" w:usb2="00000016" w:usb3="00000000" w:csb0="00040000" w:csb1="00000000"/>
  </w:font>
  <w:font w:name="汉仪中黑KW">
    <w:panose1 w:val="00020600040101010101"/>
    <w:charset w:val="86"/>
    <w:family w:val="auto"/>
    <w:pitch w:val="default"/>
    <w:sig w:usb0="A00002BF" w:usb1="18EF7CFA" w:usb2="00000016" w:usb3="00000000" w:csb0="00040000" w:csb1="00000000"/>
  </w:font>
  <w:font w:name="Helvetica Neue">
    <w:panose1 w:val="02000503000000020004"/>
    <w:charset w:val="00"/>
    <w:family w:val="auto"/>
    <w:pitch w:val="default"/>
    <w:sig w:usb0="E50002FF" w:usb1="500079DB" w:usb2="00000010" w:usb3="00000000" w:csb0="00000000" w:csb1="00000000"/>
  </w:font>
  <w:font w:name="Kingsoft Sign">
    <w:panose1 w:val="05050102010706020507"/>
    <w:charset w:val="00"/>
    <w:family w:val="auto"/>
    <w:pitch w:val="default"/>
    <w:sig w:usb0="00000000" w:usb1="10000000" w:usb2="00000000" w:usb3="00000000" w:csb0="00000001" w:csb1="00000000"/>
  </w:font>
  <w:font w:name="PingFang SC">
    <w:panose1 w:val="020B0400000000000000"/>
    <w:charset w:val="86"/>
    <w:family w:val="auto"/>
    <w:pitch w:val="default"/>
    <w:sig w:usb0="A00002FF" w:usb1="7ACFFDFB" w:usb2="00000017" w:usb3="00000000" w:csb0="00040001" w:csb1="00000000"/>
  </w:font>
  <w:font w:name="Tahoma">
    <w:panose1 w:val="020B0604030504040204"/>
    <w:charset w:val="00"/>
    <w:family w:val="auto"/>
    <w:pitch w:val="default"/>
    <w:sig w:usb0="E1002A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FFC921B"/>
    <w:rsid w:val="2EFFFE15"/>
    <w:rsid w:val="36E57AB1"/>
    <w:rsid w:val="3FFC921B"/>
    <w:rsid w:val="54E3205B"/>
    <w:rsid w:val="7FECFD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customStyle="1" w:styleId="2">
    <w:name w:val="Default"/>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styleId="3">
    <w:name w:val="toc 1"/>
    <w:basedOn w:val="1"/>
    <w:next w:val="1"/>
    <w:unhideWhenUsed/>
    <w:qFormat/>
    <w:uiPriority w:val="39"/>
    <w:pPr>
      <w:widowControl w:val="0"/>
    </w:pPr>
    <w:rPr>
      <w:rFonts w:ascii="Times New Roman" w:hAnsi="Times New Roman"/>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6</TotalTime>
  <ScaleCrop>false</ScaleCrop>
  <LinksUpToDate>false</LinksUpToDate>
  <CharactersWithSpaces>0</CharactersWithSpaces>
  <Application>WPS Office_7.2.2.8955_F1E327BC-269C-435d-A152-05C5408002CA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2024-03-23T03:16:00Z</dcterms:created>
  <dc:creator>♑超人♑</dc:creator>
  <cp:lastModifiedBy>hcc</cp:lastModifiedBy>
  <dcterms:modified xsi:type="dcterms:W3CDTF">2025-04-15T20:18:45Z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2052-7.2.2.8955</vt:lpwstr>
  </property>
  <property fmtid="{D5CDD505-2E9C-101B-9397-08002B2CF9AE}" pid="3" name="ICV">
    <vt:lpwstr>E45013FB2B534C865D4DFE67B8EC3850_43</vt:lpwstr>
  </property>
</Properties>
</file>