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76179F">
      <w:pPr>
        <w:spacing w:afterLines="50" w:line="600" w:lineRule="exact"/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</w:p>
    <w:p w14:paraId="4201532A">
      <w:pPr>
        <w:snapToGrid w:val="0"/>
        <w:spacing w:afterLines="50"/>
        <w:jc w:val="center"/>
        <w:rPr>
          <w:rFonts w:hint="eastAsia" w:ascii="方正小标宋简体" w:eastAsia="方正小标宋简体"/>
          <w:sz w:val="32"/>
          <w:szCs w:val="32"/>
        </w:rPr>
      </w:pPr>
      <w:r>
        <w:rPr>
          <w:rFonts w:hint="eastAsia" w:ascii="方正小标宋简体" w:eastAsia="方正小标宋简体"/>
          <w:sz w:val="32"/>
          <w:szCs w:val="32"/>
        </w:rPr>
        <w:t>广西壮族自治区来宾生态环境监测中心</w:t>
      </w:r>
    </w:p>
    <w:p w14:paraId="12235DCD">
      <w:pPr>
        <w:snapToGrid w:val="0"/>
        <w:spacing w:afterLines="50"/>
        <w:jc w:val="center"/>
        <w:rPr>
          <w:rFonts w:hint="eastAsia" w:ascii="方正小标宋简体" w:eastAsia="方正小标宋简体"/>
          <w:sz w:val="32"/>
          <w:szCs w:val="32"/>
        </w:rPr>
      </w:pPr>
      <w:r>
        <w:rPr>
          <w:rFonts w:hint="eastAsia" w:ascii="方正小标宋简体" w:eastAsia="方正小标宋简体"/>
          <w:sz w:val="32"/>
          <w:szCs w:val="32"/>
        </w:rPr>
        <w:t>202</w:t>
      </w:r>
      <w:r>
        <w:rPr>
          <w:rFonts w:hint="eastAsia" w:ascii="方正小标宋简体" w:eastAsia="方正小标宋简体"/>
          <w:sz w:val="32"/>
          <w:szCs w:val="32"/>
          <w:lang w:val="en-US" w:eastAsia="zh-CN"/>
        </w:rPr>
        <w:t>5</w:t>
      </w:r>
      <w:r>
        <w:rPr>
          <w:rFonts w:hint="eastAsia" w:ascii="方正小标宋简体" w:eastAsia="方正小标宋简体"/>
          <w:sz w:val="32"/>
          <w:szCs w:val="32"/>
        </w:rPr>
        <w:t>-202</w:t>
      </w:r>
      <w:r>
        <w:rPr>
          <w:rFonts w:hint="eastAsia" w:ascii="方正小标宋简体" w:eastAsia="方正小标宋简体"/>
          <w:sz w:val="32"/>
          <w:szCs w:val="32"/>
          <w:lang w:val="en-US" w:eastAsia="zh-CN"/>
        </w:rPr>
        <w:t>6</w:t>
      </w:r>
      <w:r>
        <w:rPr>
          <w:rFonts w:hint="eastAsia" w:ascii="方正小标宋简体" w:eastAsia="方正小标宋简体"/>
          <w:sz w:val="32"/>
          <w:szCs w:val="32"/>
        </w:rPr>
        <w:t>年度法律顾问委托服务采购需求</w:t>
      </w:r>
    </w:p>
    <w:tbl>
      <w:tblPr>
        <w:tblStyle w:val="2"/>
        <w:tblW w:w="100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851"/>
        <w:gridCol w:w="8505"/>
      </w:tblGrid>
      <w:tr w14:paraId="5FB3FC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261E3C">
            <w:r>
              <w:rPr>
                <w:rFonts w:hint="eastAsia" w:ascii="宋体" w:hAnsi="宋体"/>
                <w:b/>
                <w:bCs/>
              </w:rPr>
              <w:t>一、项目要求</w:t>
            </w:r>
          </w:p>
        </w:tc>
      </w:tr>
      <w:tr w14:paraId="24EE92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8B95AE">
            <w:pPr>
              <w:jc w:val="center"/>
            </w:pPr>
            <w:r>
              <w:rPr>
                <w:rFonts w:hint="eastAsia" w:ascii="宋体" w:hAnsi="宋体"/>
                <w:b/>
              </w:rPr>
              <w:t>名称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8CB712">
            <w:pPr>
              <w:jc w:val="center"/>
            </w:pPr>
            <w:r>
              <w:rPr>
                <w:rFonts w:hint="eastAsia" w:ascii="宋体" w:hAnsi="宋体"/>
                <w:b/>
              </w:rPr>
              <w:t>数量</w:t>
            </w:r>
          </w:p>
        </w:tc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8FFD6E">
            <w:pPr>
              <w:jc w:val="center"/>
            </w:pPr>
            <w:r>
              <w:rPr>
                <w:rFonts w:hint="eastAsia" w:ascii="宋体" w:hAnsi="宋体"/>
              </w:rPr>
              <w:t>需求内容</w:t>
            </w:r>
          </w:p>
        </w:tc>
      </w:tr>
      <w:tr w14:paraId="18C69F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017027">
            <w:pPr>
              <w:spacing w:line="360" w:lineRule="exact"/>
            </w:pPr>
            <w:r>
              <w:rPr>
                <w:rFonts w:hint="eastAsia" w:ascii="仿宋_GB2312" w:hAnsi="宋体" w:eastAsia="仿宋_GB2312"/>
              </w:rPr>
              <w:t>法律顾问委托服务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82C8AF">
            <w:pPr>
              <w:spacing w:line="360" w:lineRule="auto"/>
              <w:jc w:val="center"/>
            </w:pPr>
            <w:r>
              <w:rPr>
                <w:rFonts w:hint="eastAsia" w:cs="Calibri"/>
              </w:rPr>
              <w:t>1</w:t>
            </w:r>
            <w:r>
              <w:rPr>
                <w:rFonts w:hint="eastAsia" w:ascii="宋体" w:hAnsi="宋体"/>
              </w:rPr>
              <w:t>年</w:t>
            </w:r>
          </w:p>
        </w:tc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B3C1EE">
            <w:pPr>
              <w:spacing w:line="360" w:lineRule="exact"/>
              <w:ind w:firstLine="422"/>
              <w:rPr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一、项目概况</w:t>
            </w:r>
            <w:r>
              <w:rPr>
                <w:rFonts w:hint="eastAsia"/>
                <w:b/>
                <w:bCs/>
              </w:rPr>
              <w:t xml:space="preserve"> </w:t>
            </w:r>
          </w:p>
          <w:p w14:paraId="614A59E8">
            <w:pPr>
              <w:spacing w:line="360" w:lineRule="exact"/>
              <w:ind w:firstLine="422"/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广西壮族自治区来宾生态环境监测中心202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/>
              </w:rPr>
              <w:t>-202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6</w:t>
            </w:r>
            <w:r>
              <w:rPr>
                <w:rFonts w:hint="eastAsia" w:ascii="仿宋_GB2312" w:hAnsi="宋体" w:eastAsia="仿宋_GB2312"/>
              </w:rPr>
              <w:t>年度法律顾问委托服务</w:t>
            </w:r>
          </w:p>
          <w:p w14:paraId="404E9CA6">
            <w:pPr>
              <w:spacing w:line="360" w:lineRule="exact"/>
              <w:ind w:firstLine="422"/>
              <w:rPr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二、项目内容</w:t>
            </w:r>
            <w:r>
              <w:rPr>
                <w:rFonts w:hint="eastAsia"/>
                <w:b/>
                <w:bCs/>
              </w:rPr>
              <w:t xml:space="preserve"> </w:t>
            </w:r>
          </w:p>
          <w:p w14:paraId="3ECD7AC8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1.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就甲方反映的日常业务所涉有关法律问题，提供法律意见或咨询服务。</w:t>
            </w:r>
          </w:p>
          <w:p w14:paraId="0E5F5809">
            <w:pPr>
              <w:spacing w:line="360" w:lineRule="exact"/>
              <w:ind w:firstLine="422"/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2.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应甲方的要求，审查日常业务工作所涉合同及其他有关法律文书，并在三个工作日内反馈书面意见。</w:t>
            </w:r>
          </w:p>
          <w:p w14:paraId="0A1B10A7">
            <w:pPr>
              <w:spacing w:line="360" w:lineRule="exact"/>
              <w:ind w:firstLine="422"/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lang w:val="en-US" w:eastAsia="zh-CN"/>
              </w:rPr>
              <w:t>3.</w:t>
            </w:r>
            <w:r>
              <w:rPr>
                <w:rFonts w:hint="eastAsia" w:ascii="仿宋_GB2312" w:hAnsi="宋体" w:eastAsia="仿宋_GB2312"/>
              </w:rPr>
              <w:t>应邀参与甲方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有关业务的法律风险评估，</w:t>
            </w:r>
            <w:r>
              <w:rPr>
                <w:rFonts w:hint="eastAsia" w:ascii="仿宋_GB2312" w:hAnsi="宋体" w:eastAsia="仿宋_GB2312"/>
              </w:rPr>
              <w:t>并在三个工作日内反馈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书面意见</w:t>
            </w:r>
            <w:r>
              <w:rPr>
                <w:rFonts w:hint="eastAsia" w:ascii="仿宋_GB2312" w:hAnsi="宋体" w:eastAsia="仿宋_GB2312"/>
              </w:rPr>
              <w:t>。</w:t>
            </w:r>
          </w:p>
          <w:p w14:paraId="72420680">
            <w:pPr>
              <w:spacing w:line="360" w:lineRule="exact"/>
              <w:ind w:firstLine="422"/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lang w:val="en-US" w:eastAsia="zh-CN"/>
              </w:rPr>
              <w:t>4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应邀参与甲方有关会议、合同谈判。</w:t>
            </w:r>
          </w:p>
          <w:p w14:paraId="2324DBD3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对甲方职工进行法律知识培训和辅导，每年两次。</w:t>
            </w:r>
          </w:p>
          <w:p w14:paraId="3FEA1246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lang w:val="en-US" w:eastAsia="zh-CN"/>
              </w:rPr>
              <w:t>6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应甲方的要求，协助审查甲方内部的规章制度。</w:t>
            </w:r>
          </w:p>
          <w:p w14:paraId="69A4CD97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lang w:val="en-US" w:eastAsia="zh-CN"/>
              </w:rPr>
              <w:t>7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协助甲方处理业务工作中的纠纷、争议。</w:t>
            </w:r>
          </w:p>
          <w:p w14:paraId="411216C2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lang w:val="en-US" w:eastAsia="zh-CN"/>
              </w:rPr>
              <w:t>8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应甲方的要求，对重大项目提前介入法律服务。</w:t>
            </w:r>
          </w:p>
          <w:p w14:paraId="25AEE067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lang w:val="en-US" w:eastAsia="zh-CN"/>
              </w:rPr>
              <w:t>9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应甲方的要求，代为办理重大事项公证、见证。</w:t>
            </w:r>
          </w:p>
          <w:p w14:paraId="61BF6CDA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lang w:val="en-US" w:eastAsia="zh-CN"/>
              </w:rPr>
              <w:t>10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应甲方要求，向第三方发出律师函。</w:t>
            </w:r>
          </w:p>
          <w:p w14:paraId="3E6B17F8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1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接受甲方的委托，调查合作单位的资信和经营状况。</w:t>
            </w:r>
          </w:p>
          <w:p w14:paraId="0011B513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1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接受甲方委托，担任诉讼、调解、仲裁、行政复议或其他非诉讼法律事务的代理人。</w:t>
            </w:r>
          </w:p>
          <w:p w14:paraId="79913770">
            <w:pPr>
              <w:spacing w:line="360" w:lineRule="exact"/>
              <w:ind w:firstLine="420"/>
              <w:rPr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三、工作要求</w:t>
            </w:r>
          </w:p>
          <w:p w14:paraId="31547F8B">
            <w:pPr>
              <w:spacing w:line="360" w:lineRule="exact"/>
              <w:ind w:firstLine="420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1. 主要工作地点在来宾市区，在来宾市区内有固定办公场所，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辖区内如有紧急情况需要在1个小时之内响应并到现场参与，</w:t>
            </w:r>
            <w:r>
              <w:rPr>
                <w:rFonts w:hint="eastAsia" w:ascii="仿宋_GB2312" w:hAnsi="宋体" w:eastAsia="仿宋_GB2312"/>
              </w:rPr>
              <w:t>辖区外的现场服务商议参与。</w:t>
            </w:r>
          </w:p>
          <w:p w14:paraId="3C95DB8C">
            <w:pPr>
              <w:spacing w:line="360" w:lineRule="exact"/>
              <w:ind w:firstLine="420"/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2.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机构执业律师人数≥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6</w:t>
            </w:r>
            <w:r>
              <w:rPr>
                <w:rFonts w:hint="eastAsia" w:ascii="仿宋_GB2312" w:hAnsi="宋体" w:eastAsia="仿宋_GB2312"/>
              </w:rPr>
              <w:t>人。</w:t>
            </w:r>
          </w:p>
          <w:p w14:paraId="1CCFA826">
            <w:pPr>
              <w:spacing w:line="360" w:lineRule="exact"/>
              <w:ind w:firstLine="420"/>
            </w:pPr>
            <w:r>
              <w:rPr>
                <w:rFonts w:hint="eastAsia" w:ascii="仿宋_GB2312" w:hAnsi="宋体" w:eastAsia="仿宋_GB2312"/>
              </w:rPr>
              <w:t>3</w:t>
            </w:r>
            <w:r>
              <w:rPr>
                <w:rFonts w:ascii="仿宋_GB2312" w:hAnsi="宋体" w:eastAsia="仿宋_GB2312"/>
              </w:rPr>
              <w:t xml:space="preserve">. </w:t>
            </w:r>
            <w:r>
              <w:rPr>
                <w:rFonts w:hint="eastAsia" w:ascii="仿宋_GB2312" w:hAnsi="宋体" w:eastAsia="仿宋_GB2312"/>
              </w:rPr>
              <w:t>至少提供两名联系人，一人作为常用联系人，一人作为辅助联系人，在常用联系人请假、出差等期间继续由辅助联系人为甲方服务。</w:t>
            </w:r>
          </w:p>
        </w:tc>
      </w:tr>
      <w:tr w14:paraId="1DFA6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062A4C">
            <w:pPr>
              <w:pStyle w:val="4"/>
              <w:numPr>
                <w:ilvl w:val="0"/>
                <w:numId w:val="1"/>
              </w:numPr>
              <w:spacing w:line="360" w:lineRule="auto"/>
              <w:ind w:firstLineChars="0"/>
              <w:rPr>
                <w:b/>
              </w:rPr>
            </w:pPr>
            <w:r>
              <w:rPr>
                <w:rFonts w:hint="eastAsia" w:ascii="宋体" w:hAnsi="宋体"/>
                <w:b/>
                <w:bCs/>
              </w:rPr>
              <w:t>商务要求</w:t>
            </w:r>
          </w:p>
        </w:tc>
      </w:tr>
      <w:tr w14:paraId="0C6274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581C2F">
            <w:pPr>
              <w:ind w:firstLine="422" w:firstLineChars="200"/>
              <w:rPr>
                <w:b/>
              </w:rPr>
            </w:pPr>
            <w:r>
              <w:rPr>
                <w:rFonts w:hint="eastAsia" w:cs="Calibri"/>
                <w:b/>
              </w:rPr>
              <w:t>1</w:t>
            </w:r>
            <w:r>
              <w:rPr>
                <w:b/>
              </w:rPr>
              <w:t xml:space="preserve">. </w:t>
            </w:r>
            <w:r>
              <w:rPr>
                <w:rFonts w:hint="eastAsia" w:ascii="宋体" w:hAnsi="宋体"/>
                <w:b/>
              </w:rPr>
              <w:t>报价要求</w:t>
            </w:r>
          </w:p>
          <w:p w14:paraId="53BB8714">
            <w:pPr>
              <w:ind w:firstLine="420" w:firstLineChars="200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本项目实行总承包报价，不得</w:t>
            </w:r>
            <w:r>
              <w:rPr>
                <w:rFonts w:hint="eastAsia" w:ascii="仿宋_GB2312" w:hAnsi="宋体" w:eastAsia="仿宋_GB2312"/>
                <w:highlight w:val="none"/>
              </w:rPr>
              <w:t>超过3万元，超过3万元属于无效报</w:t>
            </w:r>
            <w:r>
              <w:rPr>
                <w:rFonts w:hint="eastAsia" w:ascii="仿宋_GB2312" w:hAnsi="宋体" w:eastAsia="仿宋_GB2312"/>
              </w:rPr>
              <w:t>价。报价为采购人指定服务范围内的全部价格，包括：（1）人工、差旅、材料、设备等服务价格；（2）必要的保险费用和各项税金；（</w:t>
            </w:r>
            <w:r>
              <w:rPr>
                <w:rFonts w:ascii="仿宋_GB2312" w:hAnsi="宋体" w:eastAsia="仿宋_GB2312"/>
              </w:rPr>
              <w:t>3</w:t>
            </w:r>
            <w:r>
              <w:rPr>
                <w:rFonts w:hint="eastAsia" w:ascii="仿宋_GB2312" w:hAnsi="宋体" w:eastAsia="仿宋_GB2312"/>
              </w:rPr>
              <w:t>）与本项目有关的其他一切费用，采购人不再支付成交价格以外的任何费用。</w:t>
            </w:r>
          </w:p>
          <w:p w14:paraId="51915281">
            <w:pPr>
              <w:ind w:firstLine="422" w:firstLineChars="200"/>
              <w:rPr>
                <w:b/>
              </w:rPr>
            </w:pPr>
            <w:r>
              <w:rPr>
                <w:rFonts w:hint="eastAsia" w:cs="Calibri"/>
                <w:b/>
              </w:rPr>
              <w:t>2.</w:t>
            </w:r>
            <w:r>
              <w:rPr>
                <w:b/>
              </w:rPr>
              <w:t xml:space="preserve"> </w:t>
            </w:r>
            <w:r>
              <w:rPr>
                <w:rFonts w:hint="eastAsia" w:ascii="宋体" w:hAnsi="宋体"/>
                <w:b/>
              </w:rPr>
              <w:t>项目服务时间及服务地点</w:t>
            </w:r>
          </w:p>
          <w:p w14:paraId="2F3BDFEF">
            <w:pPr>
              <w:ind w:firstLine="420" w:firstLineChars="200"/>
              <w:rPr>
                <w:rFonts w:ascii="仿宋_GB2312" w:hAnsi="宋体" w:eastAsia="仿宋_GB2312"/>
                <w:highlight w:val="none"/>
              </w:rPr>
            </w:pPr>
            <w:r>
              <w:rPr>
                <w:rFonts w:hint="eastAsia" w:ascii="仿宋_GB2312" w:hAnsi="宋体" w:eastAsia="仿宋_GB2312"/>
              </w:rPr>
              <w:t>（1）服务</w:t>
            </w:r>
            <w:r>
              <w:rPr>
                <w:rFonts w:hint="eastAsia" w:ascii="仿宋_GB2312" w:hAnsi="宋体" w:eastAsia="仿宋_GB2312"/>
                <w:highlight w:val="none"/>
              </w:rPr>
              <w:t>期限：2</w:t>
            </w:r>
            <w:r>
              <w:rPr>
                <w:rFonts w:ascii="仿宋_GB2312" w:hAnsi="宋体" w:eastAsia="仿宋_GB2312"/>
                <w:highlight w:val="none"/>
              </w:rPr>
              <w:t>02</w:t>
            </w:r>
            <w:r>
              <w:rPr>
                <w:rFonts w:hint="eastAsia" w:ascii="仿宋_GB2312" w:hAnsi="宋体" w:eastAsia="仿宋_GB2312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/>
                <w:highlight w:val="none"/>
              </w:rPr>
              <w:t>年</w:t>
            </w:r>
            <w:r>
              <w:rPr>
                <w:rFonts w:hint="eastAsia" w:ascii="仿宋_GB2312" w:hAnsi="宋体" w:eastAsia="仿宋_GB2312"/>
                <w:highlight w:val="none"/>
                <w:lang w:val="en-US" w:eastAsia="zh-CN"/>
              </w:rPr>
              <w:t>6</w:t>
            </w:r>
            <w:r>
              <w:rPr>
                <w:rFonts w:hint="eastAsia" w:ascii="仿宋_GB2312" w:hAnsi="宋体" w:eastAsia="仿宋_GB2312"/>
                <w:highlight w:val="none"/>
              </w:rPr>
              <w:t>月</w:t>
            </w:r>
            <w:bookmarkStart w:id="0" w:name="_GoBack"/>
            <w:r>
              <w:rPr>
                <w:rFonts w:hint="eastAsia" w:ascii="仿宋_GB2312" w:hAnsi="宋体" w:eastAsia="仿宋_GB2312"/>
                <w:highlight w:val="none"/>
                <w:lang w:eastAsia="zh-CN"/>
              </w:rPr>
              <w:t>—</w:t>
            </w:r>
            <w:bookmarkEnd w:id="0"/>
            <w:r>
              <w:rPr>
                <w:rFonts w:ascii="仿宋_GB2312" w:hAnsi="宋体" w:eastAsia="仿宋_GB2312"/>
                <w:highlight w:val="none"/>
              </w:rPr>
              <w:t>202</w:t>
            </w:r>
            <w:r>
              <w:rPr>
                <w:rFonts w:hint="eastAsia" w:ascii="仿宋_GB2312" w:hAnsi="宋体" w:eastAsia="仿宋_GB2312"/>
                <w:highlight w:val="none"/>
                <w:lang w:val="en-US" w:eastAsia="zh-CN"/>
              </w:rPr>
              <w:t>6</w:t>
            </w:r>
            <w:r>
              <w:rPr>
                <w:rFonts w:hint="eastAsia" w:ascii="仿宋_GB2312" w:hAnsi="宋体" w:eastAsia="仿宋_GB2312"/>
                <w:highlight w:val="none"/>
              </w:rPr>
              <w:t>年</w:t>
            </w:r>
            <w:r>
              <w:rPr>
                <w:rFonts w:hint="eastAsia" w:ascii="仿宋_GB2312" w:hAnsi="宋体" w:eastAsia="仿宋_GB2312"/>
                <w:highlight w:val="none"/>
                <w:lang w:val="en-US" w:eastAsia="zh-CN"/>
              </w:rPr>
              <w:t>6</w:t>
            </w:r>
            <w:r>
              <w:rPr>
                <w:rFonts w:hint="eastAsia" w:ascii="仿宋_GB2312" w:hAnsi="宋体" w:eastAsia="仿宋_GB2312"/>
                <w:highlight w:val="none"/>
              </w:rPr>
              <w:t>月。</w:t>
            </w:r>
          </w:p>
          <w:p w14:paraId="65418125">
            <w:pPr>
              <w:ind w:firstLine="420" w:firstLineChars="200"/>
              <w:rPr>
                <w:rFonts w:hint="default" w:ascii="仿宋_GB2312" w:hAnsi="宋体" w:eastAsia="仿宋_GB2312"/>
                <w:lang w:val="en-US" w:eastAsia="zh-CN"/>
              </w:rPr>
            </w:pPr>
            <w:r>
              <w:rPr>
                <w:rFonts w:hint="eastAsia" w:ascii="仿宋_GB2312" w:hAnsi="宋体" w:eastAsia="仿宋_GB2312"/>
              </w:rPr>
              <w:t>（2）服务地点：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广西壮族自治区来宾生态环境监测中心（来宾市兴宾区及市属辖区）。</w:t>
            </w:r>
          </w:p>
          <w:p w14:paraId="22E2A435">
            <w:pPr>
              <w:ind w:firstLine="422" w:firstLineChars="200"/>
              <w:rPr>
                <w:b/>
              </w:rPr>
            </w:pPr>
            <w:r>
              <w:rPr>
                <w:rFonts w:hint="eastAsia" w:cs="Calibri"/>
                <w:b/>
              </w:rPr>
              <w:t>3.</w:t>
            </w:r>
            <w:r>
              <w:rPr>
                <w:b/>
              </w:rPr>
              <w:t xml:space="preserve"> </w:t>
            </w:r>
            <w:r>
              <w:rPr>
                <w:rFonts w:hint="eastAsia" w:ascii="宋体" w:hAnsi="宋体"/>
                <w:b/>
              </w:rPr>
              <w:t>服务交付时间及交付地点</w:t>
            </w:r>
          </w:p>
          <w:p w14:paraId="40447355">
            <w:pPr>
              <w:ind w:firstLine="420" w:firstLineChars="200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（1）交付时间：合同签订后交付。</w:t>
            </w:r>
          </w:p>
          <w:p w14:paraId="40A7147B">
            <w:pPr>
              <w:ind w:firstLine="420" w:firstLineChars="200"/>
              <w:rPr>
                <w:rFonts w:hint="eastAsia" w:ascii="仿宋_GB2312" w:hAnsi="宋体" w:eastAsia="仿宋_GB2312"/>
                <w:lang w:eastAsia="zh-CN"/>
              </w:rPr>
            </w:pPr>
            <w:r>
              <w:rPr>
                <w:rFonts w:hint="eastAsia" w:ascii="仿宋_GB2312" w:hAnsi="宋体" w:eastAsia="仿宋_GB2312"/>
              </w:rPr>
              <w:t>（2）交付地点：广西壮族自治区来宾生态环境监测中心</w:t>
            </w:r>
            <w:r>
              <w:rPr>
                <w:rFonts w:hint="eastAsia" w:ascii="仿宋_GB2312" w:hAnsi="宋体" w:eastAsia="仿宋_GB2312"/>
                <w:lang w:eastAsia="zh-CN"/>
              </w:rPr>
              <w:t>。</w:t>
            </w:r>
          </w:p>
          <w:p w14:paraId="4D82E3B7">
            <w:pPr>
              <w:ind w:firstLine="422" w:firstLineChars="200"/>
              <w:rPr>
                <w:b/>
              </w:rPr>
            </w:pPr>
            <w:r>
              <w:rPr>
                <w:rFonts w:hint="eastAsia" w:cs="Calibri"/>
                <w:b/>
              </w:rPr>
              <w:t>4.</w:t>
            </w:r>
            <w:r>
              <w:rPr>
                <w:b/>
              </w:rPr>
              <w:t xml:space="preserve"> </w:t>
            </w:r>
            <w:r>
              <w:rPr>
                <w:rFonts w:hint="eastAsia" w:ascii="宋体" w:hAnsi="宋体"/>
                <w:b/>
              </w:rPr>
              <w:t>付款条件</w:t>
            </w:r>
          </w:p>
          <w:p w14:paraId="39715257">
            <w:pPr>
              <w:ind w:firstLine="420" w:firstLineChars="200"/>
              <w:rPr>
                <w:rFonts w:hint="eastAsia" w:ascii="仿宋_GB2312" w:hAnsi="宋体" w:eastAsia="仿宋_GB2312"/>
                <w:highlight w:val="none"/>
              </w:rPr>
            </w:pPr>
            <w:r>
              <w:rPr>
                <w:rFonts w:hint="eastAsia" w:ascii="仿宋_GB2312" w:hAnsi="宋体" w:eastAsia="仿宋_GB2312"/>
                <w:highlight w:val="none"/>
              </w:rPr>
              <w:t>（1）合同签订并收到乙方请款函和发票后的10个工作日内，向乙方支付50%的合同款；</w:t>
            </w:r>
          </w:p>
          <w:p w14:paraId="07DFE57D">
            <w:pPr>
              <w:ind w:firstLine="420" w:firstLineChars="200"/>
              <w:rPr>
                <w:rFonts w:hint="eastAsia" w:ascii="仿宋_GB2312" w:hAnsi="宋体" w:eastAsia="仿宋_GB2312"/>
                <w:highlight w:val="none"/>
              </w:rPr>
            </w:pPr>
            <w:r>
              <w:rPr>
                <w:rFonts w:hint="eastAsia" w:ascii="仿宋_GB2312" w:hAnsi="宋体" w:eastAsia="仿宋_GB2312"/>
                <w:highlight w:val="none"/>
              </w:rPr>
              <w:t>（2）2025年12月甲方收到乙方请款函和发票后的10个工作日内，支付20%的合同款。</w:t>
            </w:r>
          </w:p>
          <w:p w14:paraId="007C9C42">
            <w:pPr>
              <w:ind w:firstLine="420" w:firstLineChars="200"/>
              <w:rPr>
                <w:rFonts w:hint="eastAsia" w:ascii="仿宋_GB2312" w:hAnsi="宋体" w:eastAsia="仿宋_GB2312"/>
                <w:highlight w:val="none"/>
              </w:rPr>
            </w:pPr>
            <w:r>
              <w:rPr>
                <w:rFonts w:hint="eastAsia" w:ascii="仿宋_GB2312" w:hAnsi="宋体" w:eastAsia="仿宋_GB2312"/>
                <w:highlight w:val="none"/>
              </w:rPr>
              <w:t>（3）2026年5月甲方收到乙方请款函和发票后的10个工作日内，支付30%的合同款。</w:t>
            </w:r>
          </w:p>
          <w:p w14:paraId="2173990C">
            <w:pPr>
              <w:ind w:firstLine="422" w:firstLineChars="200"/>
              <w:rPr>
                <w:b/>
                <w:bCs/>
              </w:rPr>
            </w:pPr>
            <w:r>
              <w:rPr>
                <w:rFonts w:hint="eastAsia" w:cs="Calibri"/>
                <w:b/>
                <w:bCs/>
              </w:rPr>
              <w:t>5.</w:t>
            </w:r>
            <w:r>
              <w:rPr>
                <w:b/>
                <w:bCs/>
              </w:rPr>
              <w:t xml:space="preserve"> </w:t>
            </w:r>
            <w:r>
              <w:rPr>
                <w:rFonts w:hint="eastAsia" w:ascii="宋体" w:hAnsi="宋体"/>
                <w:b/>
                <w:bCs/>
              </w:rPr>
              <w:t>其他要求</w:t>
            </w:r>
          </w:p>
          <w:p w14:paraId="14F83089">
            <w:pPr>
              <w:ind w:firstLine="420" w:firstLineChars="200"/>
            </w:pPr>
            <w:r>
              <w:rPr>
                <w:rFonts w:hint="eastAsia" w:ascii="仿宋_GB2312" w:hAnsi="宋体" w:eastAsia="仿宋_GB2312"/>
              </w:rPr>
              <w:t>报价资料必须包含营业执照，公司资质、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注册备案证明、</w:t>
            </w:r>
            <w:r>
              <w:rPr>
                <w:rFonts w:hint="eastAsia" w:ascii="仿宋_GB2312" w:hAnsi="宋体" w:eastAsia="仿宋_GB2312"/>
              </w:rPr>
              <w:t>个人资质、报价清单、优秀业绩等。</w:t>
            </w:r>
          </w:p>
        </w:tc>
      </w:tr>
    </w:tbl>
    <w:p w14:paraId="3FC480B3">
      <w:pPr>
        <w:rPr>
          <w:rFonts w:hint="eastAsia"/>
        </w:rPr>
      </w:pPr>
      <w:r>
        <w:t xml:space="preserve"> </w:t>
      </w:r>
    </w:p>
    <w:p w14:paraId="1BDCD839">
      <w:pPr>
        <w:adjustRightInd w:val="0"/>
        <w:snapToGrid w:val="0"/>
        <w:spacing w:line="560" w:lineRule="exact"/>
        <w:ind w:firstLine="5440" w:firstLineChars="17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 w14:paraId="196E13C9">
      <w:pPr>
        <w:adjustRightInd w:val="0"/>
        <w:snapToGrid w:val="0"/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 w14:paraId="2E785D89">
      <w:pPr>
        <w:adjustRightInd w:val="0"/>
        <w:snapToGrid w:val="0"/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 w14:paraId="08337989">
      <w:pPr>
        <w:spacing w:line="580" w:lineRule="exac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 w14:paraId="211F71CA">
      <w:pPr>
        <w:rPr>
          <w:rFonts w:hint="eastAsia"/>
        </w:rPr>
      </w:pPr>
      <w:r>
        <w:t xml:space="preserve"> </w:t>
      </w:r>
    </w:p>
    <w:p w14:paraId="291C8E3C">
      <w:r>
        <w:t xml:space="preserve"> </w:t>
      </w:r>
    </w:p>
    <w:p w14:paraId="335DB02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D0AF560-17D4-4614-812C-5A89BAFE651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6CD093BC-3A25-43AD-8692-0CBD269EAADD}"/>
  </w:font>
  <w:font w:name="方正小标宋简体">
    <w:altName w:val="仿宋_GB2312"/>
    <w:panose1 w:val="02010601030101010101"/>
    <w:charset w:val="86"/>
    <w:family w:val="auto"/>
    <w:pitch w:val="default"/>
    <w:sig w:usb0="00000000" w:usb1="00000000" w:usb2="00000000" w:usb3="00000000" w:csb0="00040000" w:csb1="00000000"/>
    <w:embedRegular r:id="rId3" w:fontKey="{42BAEDFA-6F89-4823-BF9C-2F0F344CA703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5D2FCC91-8EAA-4D91-AEB6-3324EEF4E6A6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192249"/>
    <w:multiLevelType w:val="multilevel"/>
    <w:tmpl w:val="57192249"/>
    <w:lvl w:ilvl="0" w:tentative="0">
      <w:start w:val="2"/>
      <w:numFmt w:val="japaneseCounting"/>
      <w:lvlText w:val="%1、"/>
      <w:lvlJc w:val="left"/>
      <w:pPr>
        <w:ind w:left="450" w:hanging="450"/>
      </w:pPr>
      <w:rPr>
        <w:rFonts w:hint="default" w:ascii="Times New Roman" w:hAnsi="Times New Roman" w:cs="Times New Roman"/>
      </w:rPr>
    </w:lvl>
    <w:lvl w:ilvl="1" w:tentative="0">
      <w:start w:val="1"/>
      <w:numFmt w:val="lowerLetter"/>
      <w:lvlText w:val="%2)"/>
      <w:lvlJc w:val="left"/>
      <w:pPr>
        <w:ind w:left="840" w:hanging="420"/>
      </w:pPr>
      <w:rPr>
        <w:rFonts w:hint="default" w:ascii="Times New Roman" w:hAnsi="Times New Roman" w:cs="Times New Roman"/>
      </w:rPr>
    </w:lvl>
    <w:lvl w:ilvl="2" w:tentative="0">
      <w:start w:val="1"/>
      <w:numFmt w:val="lowerRoman"/>
      <w:lvlText w:val="%3."/>
      <w:lvlJc w:val="right"/>
      <w:pPr>
        <w:ind w:left="1260" w:hanging="420"/>
      </w:pPr>
      <w:rPr>
        <w:rFonts w:hint="default" w:ascii="Times New Roman" w:hAnsi="Times New Roman" w:cs="Times New Roman"/>
      </w:rPr>
    </w:lvl>
    <w:lvl w:ilvl="3" w:tentative="0">
      <w:start w:val="1"/>
      <w:numFmt w:val="decimal"/>
      <w:lvlText w:val="%4."/>
      <w:lvlJc w:val="left"/>
      <w:pPr>
        <w:ind w:left="1680" w:hanging="420"/>
      </w:pPr>
      <w:rPr>
        <w:rFonts w:hint="default" w:ascii="Times New Roman" w:hAnsi="Times New Roman" w:cs="Times New Roman"/>
      </w:rPr>
    </w:lvl>
    <w:lvl w:ilvl="4" w:tentative="0">
      <w:start w:val="1"/>
      <w:numFmt w:val="lowerLetter"/>
      <w:lvlText w:val="%5)"/>
      <w:lvlJc w:val="left"/>
      <w:pPr>
        <w:ind w:left="2100" w:hanging="420"/>
      </w:pPr>
      <w:rPr>
        <w:rFonts w:hint="default" w:ascii="Times New Roman" w:hAnsi="Times New Roman" w:cs="Times New Roman"/>
      </w:rPr>
    </w:lvl>
    <w:lvl w:ilvl="5" w:tentative="0">
      <w:start w:val="1"/>
      <w:numFmt w:val="lowerRoman"/>
      <w:lvlText w:val="%6."/>
      <w:lvlJc w:val="right"/>
      <w:pPr>
        <w:ind w:left="2520" w:hanging="420"/>
      </w:pPr>
      <w:rPr>
        <w:rFonts w:hint="default" w:ascii="Times New Roman" w:hAnsi="Times New Roman" w:cs="Times New Roman"/>
      </w:rPr>
    </w:lvl>
    <w:lvl w:ilvl="6" w:tentative="0">
      <w:start w:val="1"/>
      <w:numFmt w:val="decimal"/>
      <w:lvlText w:val="%7."/>
      <w:lvlJc w:val="left"/>
      <w:pPr>
        <w:ind w:left="2940" w:hanging="420"/>
      </w:pPr>
      <w:rPr>
        <w:rFonts w:hint="default" w:ascii="Times New Roman" w:hAnsi="Times New Roman" w:cs="Times New Roman"/>
      </w:rPr>
    </w:lvl>
    <w:lvl w:ilvl="7" w:tentative="0">
      <w:start w:val="1"/>
      <w:numFmt w:val="lowerLetter"/>
      <w:lvlText w:val="%8)"/>
      <w:lvlJc w:val="left"/>
      <w:pPr>
        <w:ind w:left="3360" w:hanging="420"/>
      </w:pPr>
      <w:rPr>
        <w:rFonts w:hint="default" w:ascii="Times New Roman" w:hAnsi="Times New Roman" w:cs="Times New Roman"/>
      </w:rPr>
    </w:lvl>
    <w:lvl w:ilvl="8" w:tentative="0">
      <w:start w:val="1"/>
      <w:numFmt w:val="lowerRoman"/>
      <w:lvlText w:val="%9."/>
      <w:lvlJc w:val="right"/>
      <w:pPr>
        <w:ind w:left="3780" w:hanging="420"/>
      </w:pPr>
      <w:rPr>
        <w:rFonts w:hint="default" w:ascii="Times New Roman" w:hAnsi="Times New Roman" w:cs="Times New Roman"/>
      </w:r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k4Zjg1MTJiMWYxZjgzZDk0YjUwOTUzYzEwOTgwY2YifQ=="/>
  </w:docVars>
  <w:rsids>
    <w:rsidRoot w:val="005236BD"/>
    <w:rsid w:val="005236BD"/>
    <w:rsid w:val="00BF166F"/>
    <w:rsid w:val="084E7AF6"/>
    <w:rsid w:val="1AE97737"/>
    <w:rsid w:val="1F4D06D2"/>
    <w:rsid w:val="24172D4C"/>
    <w:rsid w:val="25935621"/>
    <w:rsid w:val="2AAB3D33"/>
    <w:rsid w:val="333C1F47"/>
    <w:rsid w:val="52DE2FCF"/>
    <w:rsid w:val="5EEE16F6"/>
    <w:rsid w:val="6E817FDA"/>
    <w:rsid w:val="73C87ABF"/>
    <w:rsid w:val="79F47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_Style 2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975</Words>
  <Characters>1037</Characters>
  <Lines>7</Lines>
  <Paragraphs>2</Paragraphs>
  <TotalTime>129</TotalTime>
  <ScaleCrop>false</ScaleCrop>
  <LinksUpToDate>false</LinksUpToDate>
  <CharactersWithSpaces>1065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2023-02-15T10:13:00Z</dcterms:created>
  <dc:creator>莫菲菲</dc:creator>
  <cp:lastModifiedBy></cp:lastModifiedBy>
  <cp:lastPrinted>2023-02-16T02:58:00Z</cp:lastPrinted>
  <dcterms:modified xsi:type="dcterms:W3CDTF">2025-06-06T02:05:45Z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D36E89721E1F4F7FA37310B466F42E14_13</vt:lpwstr>
  </property>
  <property fmtid="{D5CDD505-2E9C-101B-9397-08002B2CF9AE}" pid="4" name="KSOTemplateDocerSaveRecord">
    <vt:lpwstr>eyJoZGlkIjoiZGNhN2YyZTk1NWZhOTUwODI2Y2E1YWI4OTUxN2E1OGYiLCJ1c2VySWQiOiIzMDI3OTUwMTgifQ==</vt:lpwstr>
  </property>
</Properties>
</file>