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1EE2F5">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color w:val="000000"/>
          <w:sz w:val="32"/>
          <w:szCs w:val="32"/>
          <w:lang w:val="en-US" w:eastAsia="zh-CN"/>
        </w:rPr>
      </w:pPr>
      <w:bookmarkStart w:id="0" w:name="_GoBack"/>
      <w:r>
        <w:rPr>
          <w:rFonts w:hint="eastAsia" w:ascii="方正小标宋简体" w:hAnsi="方正小标宋简体" w:eastAsia="方正小标宋简体" w:cs="方正小标宋简体"/>
          <w:color w:val="000000"/>
          <w:sz w:val="32"/>
          <w:szCs w:val="32"/>
          <w:lang w:val="en-US" w:eastAsia="zh-CN"/>
        </w:rPr>
        <w:t>附件1</w:t>
      </w:r>
    </w:p>
    <w:bookmarkEnd w:id="0"/>
    <w:p w14:paraId="20C20A01">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方正小标宋_GBK" w:cs="方正小标宋_GBK"/>
          <w:color w:val="000000"/>
          <w:sz w:val="44"/>
          <w:szCs w:val="44"/>
          <w:lang w:val="en-US" w:eastAsia="zh-CN"/>
        </w:rPr>
      </w:pPr>
      <w:r>
        <w:rPr>
          <w:rFonts w:hint="default" w:ascii="Times New Roman" w:hAnsi="Times New Roman" w:eastAsia="方正小标宋_GBK" w:cs="方正小标宋_GBK"/>
          <w:color w:val="000000"/>
          <w:sz w:val="44"/>
          <w:szCs w:val="44"/>
          <w:lang w:val="en-US" w:eastAsia="zh-CN"/>
        </w:rPr>
        <w:t>2025年浮船站电池更换采购项目采购需求</w:t>
      </w:r>
    </w:p>
    <w:p w14:paraId="3C098049">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方正小标宋_GBK" w:cs="方正小标宋_GBK"/>
          <w:color w:val="000000"/>
          <w:sz w:val="44"/>
          <w:szCs w:val="44"/>
        </w:rPr>
      </w:pPr>
    </w:p>
    <w:p w14:paraId="11700DC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一、项目名称</w:t>
      </w:r>
    </w:p>
    <w:p w14:paraId="15FD9E9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2025年浮船站电池更换采购项目</w:t>
      </w:r>
    </w:p>
    <w:p w14:paraId="0EACE9E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二、项目背景</w:t>
      </w:r>
    </w:p>
    <w:p w14:paraId="20BA261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贵港市达开水库、六陈水库、平龙水库、武思江</w:t>
      </w:r>
      <w:r>
        <w:rPr>
          <w:rFonts w:hint="default" w:ascii="Times New Roman" w:hAnsi="Times New Roman" w:eastAsia="仿宋" w:cs="Times New Roman"/>
          <w:sz w:val="32"/>
          <w:szCs w:val="32"/>
          <w:lang w:val="en-US" w:eastAsia="zh-CN"/>
        </w:rPr>
        <w:t>水库水质自动监测站为浮船式</w:t>
      </w:r>
      <w:r>
        <w:rPr>
          <w:rFonts w:hint="eastAsia" w:ascii="Times New Roman" w:hAnsi="Times New Roman" w:eastAsia="仿宋" w:cs="Times New Roman"/>
          <w:sz w:val="32"/>
          <w:szCs w:val="32"/>
          <w:lang w:val="en-US" w:eastAsia="zh-CN"/>
        </w:rPr>
        <w:t>水质</w:t>
      </w:r>
      <w:r>
        <w:rPr>
          <w:rFonts w:hint="default" w:ascii="Times New Roman" w:hAnsi="Times New Roman" w:eastAsia="仿宋" w:cs="Times New Roman"/>
          <w:sz w:val="32"/>
          <w:szCs w:val="32"/>
          <w:lang w:val="en-US" w:eastAsia="zh-CN"/>
        </w:rPr>
        <w:t>自动监测站，监测项目有常规五参数：水温、pH、溶解氧、电导率、浊度，氨氮、总磷、总氮、高锰酸盐指数等，其供电方式为太阳能</w:t>
      </w:r>
      <w:r>
        <w:rPr>
          <w:rFonts w:hint="eastAsia" w:ascii="Times New Roman" w:hAnsi="Times New Roman" w:eastAsia="仿宋" w:cs="Times New Roman"/>
          <w:sz w:val="32"/>
          <w:szCs w:val="32"/>
          <w:lang w:val="en-US" w:eastAsia="zh-CN"/>
        </w:rPr>
        <w:t>发电，经蓄电池</w:t>
      </w:r>
      <w:r>
        <w:rPr>
          <w:rFonts w:hint="default" w:ascii="Times New Roman" w:hAnsi="Times New Roman" w:eastAsia="仿宋" w:cs="Times New Roman"/>
          <w:sz w:val="32"/>
          <w:szCs w:val="32"/>
          <w:lang w:val="en-US" w:eastAsia="zh-CN"/>
        </w:rPr>
        <w:t>供电。因原铅酸</w:t>
      </w:r>
      <w:r>
        <w:rPr>
          <w:rFonts w:hint="eastAsia" w:ascii="Times New Roman" w:hAnsi="Times New Roman" w:eastAsia="仿宋" w:cs="Times New Roman"/>
          <w:sz w:val="32"/>
          <w:szCs w:val="32"/>
          <w:lang w:val="en-US" w:eastAsia="zh-CN"/>
        </w:rPr>
        <w:t>蓄</w:t>
      </w:r>
      <w:r>
        <w:rPr>
          <w:rFonts w:hint="default" w:ascii="Times New Roman" w:hAnsi="Times New Roman" w:eastAsia="仿宋" w:cs="Times New Roman"/>
          <w:sz w:val="32"/>
          <w:szCs w:val="32"/>
          <w:lang w:val="en-US" w:eastAsia="zh-CN"/>
        </w:rPr>
        <w:t>电池存储电量下降严重，为确保各自动监测仪器正常运行，</w:t>
      </w:r>
      <w:r>
        <w:rPr>
          <w:rFonts w:hint="eastAsia" w:ascii="Times New Roman" w:hAnsi="Times New Roman" w:eastAsia="仿宋" w:cs="Times New Roman"/>
          <w:sz w:val="32"/>
          <w:szCs w:val="32"/>
          <w:lang w:val="en-US" w:eastAsia="zh-CN"/>
        </w:rPr>
        <w:t>现开展</w:t>
      </w:r>
      <w:r>
        <w:rPr>
          <w:rFonts w:hint="default" w:ascii="Times New Roman" w:hAnsi="Times New Roman" w:eastAsia="仿宋" w:cs="Times New Roman"/>
          <w:sz w:val="32"/>
          <w:szCs w:val="32"/>
        </w:rPr>
        <w:t>2025年浮船站电池更换采购项目</w:t>
      </w:r>
      <w:r>
        <w:rPr>
          <w:rFonts w:hint="default" w:ascii="Times New Roman" w:hAnsi="Times New Roman" w:eastAsia="仿宋" w:cs="Times New Roman"/>
          <w:sz w:val="32"/>
          <w:szCs w:val="32"/>
          <w:lang w:val="en-US" w:eastAsia="zh-CN"/>
        </w:rPr>
        <w:t>。</w:t>
      </w:r>
    </w:p>
    <w:p w14:paraId="78F4346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原电池规格信息：</w:t>
      </w:r>
    </w:p>
    <w:p w14:paraId="1D6A435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lang w:val="en-US" w:eastAsia="zh-CN"/>
        </w:rPr>
      </w:pPr>
      <w:r>
        <w:rPr>
          <w:rFonts w:hint="eastAsia" w:ascii="Times New Roman" w:hAnsi="Times New Roman" w:eastAsia="仿宋" w:cs="Times New Roman"/>
          <w:sz w:val="32"/>
          <w:szCs w:val="32"/>
          <w:lang w:val="en-US" w:eastAsia="zh-CN"/>
        </w:rPr>
        <w:t>（达开水库、六陈水库、平龙水库）力合科技（湖南）股份有限公司浮船式水质自动站，电池规格为</w:t>
      </w:r>
      <w:r>
        <w:rPr>
          <w:rFonts w:hint="default" w:ascii="Times New Roman" w:hAnsi="Times New Roman" w:eastAsia="仿宋" w:cs="Times New Roman"/>
          <w:sz w:val="32"/>
          <w:szCs w:val="32"/>
          <w:lang w:val="en-US" w:eastAsia="zh-CN"/>
        </w:rPr>
        <w:t>2V/800AH/10HR、长</w:t>
      </w:r>
      <w:r>
        <w:rPr>
          <w:rFonts w:hint="eastAsia" w:ascii="Times New Roman" w:hAnsi="Times New Roman" w:eastAsia="仿宋" w:cs="Times New Roman"/>
          <w:sz w:val="32"/>
          <w:szCs w:val="32"/>
          <w:lang w:val="en-US" w:eastAsia="zh-CN"/>
        </w:rPr>
        <w:t>约</w:t>
      </w:r>
      <w:r>
        <w:rPr>
          <w:rFonts w:hint="default" w:ascii="Times New Roman" w:hAnsi="Times New Roman" w:eastAsia="仿宋" w:cs="Times New Roman"/>
          <w:sz w:val="32"/>
          <w:szCs w:val="32"/>
          <w:lang w:val="en-US" w:eastAsia="zh-CN"/>
        </w:rPr>
        <w:t>41cm、宽</w:t>
      </w:r>
      <w:r>
        <w:rPr>
          <w:rFonts w:hint="eastAsia" w:ascii="Times New Roman" w:hAnsi="Times New Roman" w:eastAsia="仿宋" w:cs="Times New Roman"/>
          <w:sz w:val="32"/>
          <w:szCs w:val="32"/>
          <w:lang w:val="en-US" w:eastAsia="zh-CN"/>
        </w:rPr>
        <w:t>约</w:t>
      </w:r>
      <w:r>
        <w:rPr>
          <w:rFonts w:hint="default" w:ascii="Times New Roman" w:hAnsi="Times New Roman" w:eastAsia="仿宋" w:cs="Times New Roman"/>
          <w:sz w:val="32"/>
          <w:szCs w:val="32"/>
          <w:lang w:val="en-US" w:eastAsia="zh-CN"/>
        </w:rPr>
        <w:t>17.5cm、高</w:t>
      </w:r>
      <w:r>
        <w:rPr>
          <w:rFonts w:hint="eastAsia" w:ascii="Times New Roman" w:hAnsi="Times New Roman" w:eastAsia="仿宋" w:cs="Times New Roman"/>
          <w:sz w:val="32"/>
          <w:szCs w:val="32"/>
          <w:lang w:val="en-US" w:eastAsia="zh-CN"/>
        </w:rPr>
        <w:t>约</w:t>
      </w:r>
      <w:r>
        <w:rPr>
          <w:rFonts w:hint="default" w:ascii="Times New Roman" w:hAnsi="Times New Roman" w:eastAsia="仿宋" w:cs="Times New Roman"/>
          <w:color w:val="auto"/>
          <w:sz w:val="32"/>
          <w:szCs w:val="32"/>
          <w:lang w:val="en-US" w:eastAsia="zh-CN"/>
        </w:rPr>
        <w:t>3</w:t>
      </w:r>
      <w:r>
        <w:rPr>
          <w:rFonts w:hint="eastAsia" w:ascii="Times New Roman" w:hAnsi="Times New Roman" w:eastAsia="仿宋" w:cs="Times New Roman"/>
          <w:color w:val="auto"/>
          <w:sz w:val="32"/>
          <w:szCs w:val="32"/>
          <w:lang w:val="en-US" w:eastAsia="zh-CN"/>
        </w:rPr>
        <w:t>3</w:t>
      </w:r>
      <w:r>
        <w:rPr>
          <w:rFonts w:hint="default" w:ascii="Times New Roman" w:hAnsi="Times New Roman" w:eastAsia="仿宋" w:cs="Times New Roman"/>
          <w:color w:val="auto"/>
          <w:sz w:val="32"/>
          <w:szCs w:val="32"/>
          <w:lang w:val="en-US" w:eastAsia="zh-CN"/>
        </w:rPr>
        <w:t>cm。</w:t>
      </w:r>
    </w:p>
    <w:p w14:paraId="79563F3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color w:val="auto"/>
          <w:lang w:val="en-US" w:eastAsia="zh-CN"/>
        </w:rPr>
      </w:pPr>
      <w:r>
        <w:rPr>
          <w:rFonts w:hint="eastAsia" w:ascii="Times New Roman" w:hAnsi="Times New Roman" w:eastAsia="仿宋" w:cs="Times New Roman"/>
          <w:color w:val="auto"/>
          <w:sz w:val="32"/>
          <w:szCs w:val="32"/>
          <w:lang w:val="en-US" w:eastAsia="zh-CN"/>
        </w:rPr>
        <w:t>（武思江水库）聚光科技（杭州）股份有限公司浮船式水质自动监测站，电池规格为1</w:t>
      </w:r>
      <w:r>
        <w:rPr>
          <w:rFonts w:hint="default" w:ascii="Times New Roman" w:hAnsi="Times New Roman" w:eastAsia="仿宋" w:cs="Times New Roman"/>
          <w:color w:val="auto"/>
          <w:sz w:val="32"/>
          <w:szCs w:val="32"/>
          <w:lang w:val="en-US" w:eastAsia="zh-CN"/>
        </w:rPr>
        <w:t>2V/</w:t>
      </w:r>
      <w:r>
        <w:rPr>
          <w:rFonts w:hint="eastAsia" w:ascii="Times New Roman" w:hAnsi="Times New Roman" w:eastAsia="仿宋" w:cs="Times New Roman"/>
          <w:color w:val="auto"/>
          <w:sz w:val="32"/>
          <w:szCs w:val="32"/>
          <w:lang w:val="en-US" w:eastAsia="zh-CN"/>
        </w:rPr>
        <w:t>1</w:t>
      </w:r>
      <w:r>
        <w:rPr>
          <w:rFonts w:hint="default" w:ascii="Times New Roman" w:hAnsi="Times New Roman" w:eastAsia="仿宋" w:cs="Times New Roman"/>
          <w:color w:val="auto"/>
          <w:sz w:val="32"/>
          <w:szCs w:val="32"/>
          <w:lang w:val="en-US" w:eastAsia="zh-CN"/>
        </w:rPr>
        <w:t>00AH/10HR、长</w:t>
      </w:r>
      <w:r>
        <w:rPr>
          <w:rFonts w:hint="eastAsia" w:ascii="Times New Roman" w:hAnsi="Times New Roman" w:eastAsia="仿宋" w:cs="Times New Roman"/>
          <w:color w:val="auto"/>
          <w:sz w:val="32"/>
          <w:szCs w:val="32"/>
          <w:lang w:val="en-US" w:eastAsia="zh-CN"/>
        </w:rPr>
        <w:t>约33</w:t>
      </w:r>
      <w:r>
        <w:rPr>
          <w:rFonts w:hint="default" w:ascii="Times New Roman" w:hAnsi="Times New Roman" w:eastAsia="仿宋" w:cs="Times New Roman"/>
          <w:color w:val="auto"/>
          <w:sz w:val="32"/>
          <w:szCs w:val="32"/>
          <w:lang w:val="en-US" w:eastAsia="zh-CN"/>
        </w:rPr>
        <w:t>cm、宽</w:t>
      </w:r>
      <w:r>
        <w:rPr>
          <w:rFonts w:hint="eastAsia" w:ascii="Times New Roman" w:hAnsi="Times New Roman" w:eastAsia="仿宋" w:cs="Times New Roman"/>
          <w:color w:val="auto"/>
          <w:sz w:val="32"/>
          <w:szCs w:val="32"/>
          <w:lang w:val="en-US" w:eastAsia="zh-CN"/>
        </w:rPr>
        <w:t>约</w:t>
      </w:r>
      <w:r>
        <w:rPr>
          <w:rFonts w:hint="default" w:ascii="Times New Roman" w:hAnsi="Times New Roman" w:eastAsia="仿宋" w:cs="Times New Roman"/>
          <w:color w:val="auto"/>
          <w:sz w:val="32"/>
          <w:szCs w:val="32"/>
          <w:lang w:val="en-US" w:eastAsia="zh-CN"/>
        </w:rPr>
        <w:t>17.</w:t>
      </w:r>
      <w:r>
        <w:rPr>
          <w:rFonts w:hint="eastAsia" w:ascii="Times New Roman" w:hAnsi="Times New Roman" w:eastAsia="仿宋" w:cs="Times New Roman"/>
          <w:color w:val="auto"/>
          <w:sz w:val="32"/>
          <w:szCs w:val="32"/>
          <w:lang w:val="en-US" w:eastAsia="zh-CN"/>
        </w:rPr>
        <w:t>3</w:t>
      </w:r>
      <w:r>
        <w:rPr>
          <w:rFonts w:hint="default" w:ascii="Times New Roman" w:hAnsi="Times New Roman" w:eastAsia="仿宋" w:cs="Times New Roman"/>
          <w:color w:val="auto"/>
          <w:sz w:val="32"/>
          <w:szCs w:val="32"/>
          <w:lang w:val="en-US" w:eastAsia="zh-CN"/>
        </w:rPr>
        <w:t>cm、高</w:t>
      </w:r>
      <w:r>
        <w:rPr>
          <w:rFonts w:hint="eastAsia" w:ascii="Times New Roman" w:hAnsi="Times New Roman" w:eastAsia="仿宋" w:cs="Times New Roman"/>
          <w:color w:val="auto"/>
          <w:sz w:val="32"/>
          <w:szCs w:val="32"/>
          <w:lang w:val="en-US" w:eastAsia="zh-CN"/>
        </w:rPr>
        <w:t>约21.5</w:t>
      </w:r>
      <w:r>
        <w:rPr>
          <w:rFonts w:hint="default" w:ascii="Times New Roman" w:hAnsi="Times New Roman" w:eastAsia="仿宋" w:cs="Times New Roman"/>
          <w:color w:val="auto"/>
          <w:sz w:val="32"/>
          <w:szCs w:val="32"/>
          <w:lang w:val="en-US" w:eastAsia="zh-CN"/>
        </w:rPr>
        <w:t>cm。</w:t>
      </w:r>
    </w:p>
    <w:p w14:paraId="5A8E57C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三、项目概算（万元）</w:t>
      </w:r>
    </w:p>
    <w:p w14:paraId="446C1B4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rPr>
        <w:t>2025年浮船站电池更换采购</w:t>
      </w:r>
      <w:r>
        <w:rPr>
          <w:rFonts w:hint="eastAsia" w:ascii="Times New Roman" w:hAnsi="Times New Roman" w:eastAsia="仿宋" w:cs="Times New Roman"/>
          <w:sz w:val="32"/>
          <w:szCs w:val="32"/>
          <w:lang w:val="en-US" w:eastAsia="zh-CN"/>
        </w:rPr>
        <w:t>项目预算</w:t>
      </w:r>
      <w:r>
        <w:rPr>
          <w:rFonts w:hint="default" w:ascii="Times New Roman" w:hAnsi="Times New Roman" w:eastAsia="仿宋" w:cs="Times New Roman"/>
          <w:sz w:val="32"/>
          <w:szCs w:val="32"/>
        </w:rPr>
        <w:t>：</w:t>
      </w:r>
      <w:r>
        <w:rPr>
          <w:rFonts w:hint="eastAsia" w:ascii="Times New Roman" w:hAnsi="Times New Roman" w:eastAsia="仿宋" w:cs="Times New Roman"/>
          <w:sz w:val="32"/>
          <w:szCs w:val="32"/>
          <w:lang w:val="en-US" w:eastAsia="zh-CN"/>
        </w:rPr>
        <w:t>8.0</w:t>
      </w:r>
      <w:r>
        <w:rPr>
          <w:rFonts w:hint="default" w:ascii="Times New Roman" w:hAnsi="Times New Roman" w:eastAsia="仿宋" w:cs="Times New Roman"/>
          <w:sz w:val="32"/>
          <w:szCs w:val="32"/>
        </w:rPr>
        <w:t>万元。</w:t>
      </w:r>
      <w:r>
        <w:rPr>
          <w:rFonts w:hint="eastAsia" w:ascii="Times New Roman" w:hAnsi="Times New Roman" w:eastAsia="仿宋" w:cs="Times New Roman"/>
          <w:sz w:val="32"/>
          <w:szCs w:val="32"/>
          <w:lang w:val="en-US" w:eastAsia="zh-CN"/>
        </w:rPr>
        <w:t>费用包含电池采购、电池运输（包括由岸上运输到船上费用）、电池安装等项目所产生的所有费用，采购方不再额外支付其他费用。</w:t>
      </w:r>
    </w:p>
    <w:p w14:paraId="7F3AAD8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四、项目需求</w:t>
      </w:r>
    </w:p>
    <w:p w14:paraId="1AE95225">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lang w:val="en-US" w:eastAsia="zh-CN"/>
        </w:rPr>
      </w:pPr>
      <w:r>
        <w:rPr>
          <w:rFonts w:hint="default" w:ascii="Times New Roman" w:hAnsi="Times New Roman" w:eastAsia="仿宋" w:cs="Times New Roman"/>
          <w:sz w:val="32"/>
          <w:szCs w:val="32"/>
        </w:rPr>
        <w:t>（一）</w:t>
      </w:r>
      <w:r>
        <w:rPr>
          <w:rFonts w:hint="default" w:ascii="Times New Roman" w:hAnsi="Times New Roman" w:eastAsia="仿宋" w:cs="Times New Roman"/>
          <w:sz w:val="32"/>
          <w:szCs w:val="32"/>
          <w:lang w:val="en-US" w:eastAsia="zh-CN"/>
        </w:rPr>
        <w:t>采购</w:t>
      </w:r>
      <w:r>
        <w:rPr>
          <w:rFonts w:hint="eastAsia" w:ascii="Times New Roman" w:hAnsi="Times New Roman" w:eastAsia="仿宋" w:cs="Times New Roman"/>
          <w:sz w:val="32"/>
          <w:szCs w:val="32"/>
          <w:lang w:val="en-US" w:eastAsia="zh-CN"/>
        </w:rPr>
        <w:t>36</w:t>
      </w:r>
      <w:r>
        <w:rPr>
          <w:rFonts w:hint="default" w:ascii="Times New Roman" w:hAnsi="Times New Roman" w:eastAsia="仿宋" w:cs="Times New Roman"/>
          <w:sz w:val="32"/>
          <w:szCs w:val="32"/>
          <w:lang w:val="en-US" w:eastAsia="zh-CN"/>
        </w:rPr>
        <w:t>块阀控密闭式铅酸蓄电池（胶体），规格型号：2V/800AH/10HR，长</w:t>
      </w:r>
      <w:r>
        <w:rPr>
          <w:rFonts w:hint="eastAsia" w:ascii="Times New Roman" w:hAnsi="Times New Roman" w:eastAsia="仿宋" w:cs="Times New Roman"/>
          <w:sz w:val="32"/>
          <w:szCs w:val="32"/>
          <w:lang w:val="en-US" w:eastAsia="zh-CN"/>
        </w:rPr>
        <w:t>约</w:t>
      </w:r>
      <w:r>
        <w:rPr>
          <w:rFonts w:hint="default" w:ascii="Times New Roman" w:hAnsi="Times New Roman" w:eastAsia="仿宋" w:cs="Times New Roman"/>
          <w:sz w:val="32"/>
          <w:szCs w:val="32"/>
          <w:lang w:val="en-US" w:eastAsia="zh-CN"/>
        </w:rPr>
        <w:t>4</w:t>
      </w:r>
      <w:r>
        <w:rPr>
          <w:rFonts w:hint="eastAsia" w:ascii="Times New Roman" w:hAnsi="Times New Roman" w:eastAsia="仿宋" w:cs="Times New Roman"/>
          <w:sz w:val="32"/>
          <w:szCs w:val="32"/>
          <w:lang w:val="en-US" w:eastAsia="zh-CN"/>
        </w:rPr>
        <w:t>1</w:t>
      </w:r>
      <w:r>
        <w:rPr>
          <w:rFonts w:hint="default" w:ascii="Times New Roman" w:hAnsi="Times New Roman" w:eastAsia="仿宋" w:cs="Times New Roman"/>
          <w:sz w:val="32"/>
          <w:szCs w:val="32"/>
          <w:lang w:val="en-US" w:eastAsia="zh-CN"/>
        </w:rPr>
        <w:t>cm、宽</w:t>
      </w:r>
      <w:r>
        <w:rPr>
          <w:rFonts w:hint="eastAsia" w:ascii="Times New Roman" w:hAnsi="Times New Roman" w:eastAsia="仿宋" w:cs="Times New Roman"/>
          <w:sz w:val="32"/>
          <w:szCs w:val="32"/>
          <w:lang w:val="en-US" w:eastAsia="zh-CN"/>
        </w:rPr>
        <w:t>约17.5</w:t>
      </w:r>
      <w:r>
        <w:rPr>
          <w:rFonts w:hint="default" w:ascii="Times New Roman" w:hAnsi="Times New Roman" w:eastAsia="仿宋" w:cs="Times New Roman"/>
          <w:sz w:val="32"/>
          <w:szCs w:val="32"/>
          <w:lang w:val="en-US" w:eastAsia="zh-CN"/>
        </w:rPr>
        <w:t>cm、高</w:t>
      </w:r>
      <w:r>
        <w:rPr>
          <w:rFonts w:hint="eastAsia" w:ascii="Times New Roman" w:hAnsi="Times New Roman" w:eastAsia="仿宋" w:cs="Times New Roman"/>
          <w:sz w:val="32"/>
          <w:szCs w:val="32"/>
          <w:lang w:val="en-US" w:eastAsia="zh-CN"/>
        </w:rPr>
        <w:t>约33</w:t>
      </w:r>
      <w:r>
        <w:rPr>
          <w:rFonts w:hint="default" w:ascii="Times New Roman" w:hAnsi="Times New Roman" w:eastAsia="仿宋" w:cs="Times New Roman"/>
          <w:sz w:val="32"/>
          <w:szCs w:val="32"/>
          <w:lang w:val="en-US" w:eastAsia="zh-CN"/>
        </w:rPr>
        <w:t>cm</w:t>
      </w:r>
      <w:r>
        <w:rPr>
          <w:rFonts w:hint="eastAsia" w:ascii="Times New Roman" w:hAnsi="Times New Roman" w:eastAsia="仿宋" w:cs="Times New Roman"/>
          <w:sz w:val="32"/>
          <w:szCs w:val="32"/>
          <w:lang w:val="en-US" w:eastAsia="zh-CN"/>
        </w:rPr>
        <w:t>。详见下表：</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88"/>
        <w:gridCol w:w="2088"/>
        <w:gridCol w:w="2172"/>
        <w:gridCol w:w="2172"/>
      </w:tblGrid>
      <w:tr w14:paraId="5DCFD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88" w:type="dxa"/>
            <w:vAlign w:val="center"/>
          </w:tcPr>
          <w:p w14:paraId="423C58E4">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品牌：耐普</w:t>
            </w:r>
          </w:p>
        </w:tc>
        <w:tc>
          <w:tcPr>
            <w:tcW w:w="2088" w:type="dxa"/>
            <w:vAlign w:val="center"/>
          </w:tcPr>
          <w:p w14:paraId="6ED1AEA8">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用法</w:t>
            </w:r>
          </w:p>
        </w:tc>
        <w:tc>
          <w:tcPr>
            <w:tcW w:w="2172" w:type="dxa"/>
            <w:vAlign w:val="center"/>
          </w:tcPr>
          <w:p w14:paraId="43987D4F">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浮充使用</w:t>
            </w:r>
          </w:p>
        </w:tc>
        <w:tc>
          <w:tcPr>
            <w:tcW w:w="2172" w:type="dxa"/>
            <w:vAlign w:val="center"/>
          </w:tcPr>
          <w:p w14:paraId="3E3C2305">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循环使用</w:t>
            </w:r>
          </w:p>
        </w:tc>
      </w:tr>
      <w:tr w14:paraId="36DE4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88" w:type="dxa"/>
            <w:vMerge w:val="restart"/>
            <w:vAlign w:val="center"/>
          </w:tcPr>
          <w:p w14:paraId="58E46A5C">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型号：NPG2-800Ah</w:t>
            </w:r>
          </w:p>
        </w:tc>
        <w:tc>
          <w:tcPr>
            <w:tcW w:w="2088" w:type="dxa"/>
            <w:vAlign w:val="center"/>
          </w:tcPr>
          <w:p w14:paraId="675EEDA4">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充电电压</w:t>
            </w:r>
            <w:r>
              <w:rPr>
                <w:rFonts w:hint="eastAsia" w:ascii="Times New Roman" w:hAnsi="Times New Roman" w:eastAsia="仿宋" w:cs="Times New Roman"/>
                <w:color w:val="auto"/>
                <w:sz w:val="32"/>
                <w:szCs w:val="32"/>
                <w:lang w:val="en-US" w:eastAsia="zh-CN"/>
              </w:rPr>
              <w:t>（25℃）</w:t>
            </w:r>
          </w:p>
        </w:tc>
        <w:tc>
          <w:tcPr>
            <w:tcW w:w="2172" w:type="dxa"/>
            <w:vAlign w:val="center"/>
          </w:tcPr>
          <w:p w14:paraId="62256986">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2.25-2.30</w:t>
            </w:r>
            <w:r>
              <w:rPr>
                <w:rFonts w:hint="eastAsia" w:ascii="Times New Roman" w:hAnsi="Times New Roman" w:eastAsia="仿宋" w:cs="Times New Roman"/>
                <w:color w:val="auto"/>
                <w:sz w:val="32"/>
                <w:szCs w:val="32"/>
                <w:lang w:val="en-US" w:eastAsia="zh-CN"/>
              </w:rPr>
              <w:t>vdc</w:t>
            </w:r>
          </w:p>
        </w:tc>
        <w:tc>
          <w:tcPr>
            <w:tcW w:w="2172" w:type="dxa"/>
            <w:vAlign w:val="center"/>
          </w:tcPr>
          <w:p w14:paraId="02AC775D">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2.</w:t>
            </w:r>
            <w:r>
              <w:rPr>
                <w:rFonts w:hint="eastAsia" w:ascii="Times New Roman" w:hAnsi="Times New Roman" w:eastAsia="仿宋" w:cs="Times New Roman"/>
                <w:color w:val="auto"/>
                <w:sz w:val="32"/>
                <w:szCs w:val="32"/>
                <w:lang w:val="en-US" w:eastAsia="zh-CN"/>
              </w:rPr>
              <w:t>40</w:t>
            </w:r>
            <w:r>
              <w:rPr>
                <w:rFonts w:hint="default" w:ascii="Times New Roman" w:hAnsi="Times New Roman" w:eastAsia="仿宋" w:cs="Times New Roman"/>
                <w:color w:val="auto"/>
                <w:sz w:val="32"/>
                <w:szCs w:val="32"/>
                <w:lang w:val="en-US" w:eastAsia="zh-CN"/>
              </w:rPr>
              <w:t>-2.4</w:t>
            </w:r>
            <w:r>
              <w:rPr>
                <w:rFonts w:hint="eastAsia" w:ascii="Times New Roman" w:hAnsi="Times New Roman" w:eastAsia="仿宋" w:cs="Times New Roman"/>
                <w:color w:val="auto"/>
                <w:sz w:val="32"/>
                <w:szCs w:val="32"/>
                <w:lang w:val="en-US" w:eastAsia="zh-CN"/>
              </w:rPr>
              <w:t>5vdc</w:t>
            </w:r>
          </w:p>
        </w:tc>
      </w:tr>
      <w:tr w14:paraId="092DF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88" w:type="dxa"/>
            <w:vMerge w:val="continue"/>
            <w:vAlign w:val="center"/>
          </w:tcPr>
          <w:p w14:paraId="0EB53866">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p>
        </w:tc>
        <w:tc>
          <w:tcPr>
            <w:tcW w:w="2088" w:type="dxa"/>
            <w:vAlign w:val="center"/>
          </w:tcPr>
          <w:p w14:paraId="2EAD6491">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最大充电电流 A</w:t>
            </w:r>
          </w:p>
        </w:tc>
        <w:tc>
          <w:tcPr>
            <w:tcW w:w="4344" w:type="dxa"/>
            <w:gridSpan w:val="2"/>
            <w:vAlign w:val="center"/>
          </w:tcPr>
          <w:p w14:paraId="5F97BE4A">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160</w:t>
            </w:r>
            <w:r>
              <w:rPr>
                <w:rFonts w:hint="default" w:ascii="Times New Roman" w:hAnsi="Times New Roman" w:eastAsia="仿宋" w:cs="Times New Roman"/>
                <w:color w:val="auto"/>
                <w:sz w:val="32"/>
                <w:szCs w:val="32"/>
                <w:lang w:val="en-US" w:eastAsia="zh-CN"/>
              </w:rPr>
              <w:t>.0</w:t>
            </w:r>
          </w:p>
        </w:tc>
      </w:tr>
    </w:tbl>
    <w:p w14:paraId="085124F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（二）</w:t>
      </w:r>
      <w:r>
        <w:rPr>
          <w:rFonts w:hint="default" w:ascii="Times New Roman" w:hAnsi="Times New Roman" w:eastAsia="仿宋" w:cs="Times New Roman"/>
          <w:color w:val="auto"/>
          <w:sz w:val="32"/>
          <w:szCs w:val="32"/>
          <w:lang w:val="en-US" w:eastAsia="zh-CN"/>
        </w:rPr>
        <w:t>采购</w:t>
      </w:r>
      <w:r>
        <w:rPr>
          <w:rFonts w:hint="eastAsia" w:ascii="Times New Roman" w:hAnsi="Times New Roman" w:eastAsia="仿宋" w:cs="Times New Roman"/>
          <w:color w:val="auto"/>
          <w:sz w:val="32"/>
          <w:szCs w:val="32"/>
          <w:lang w:val="en-US" w:eastAsia="zh-CN"/>
        </w:rPr>
        <w:t>18</w:t>
      </w:r>
      <w:r>
        <w:rPr>
          <w:rFonts w:hint="default" w:ascii="Times New Roman" w:hAnsi="Times New Roman" w:eastAsia="仿宋" w:cs="Times New Roman"/>
          <w:color w:val="auto"/>
          <w:sz w:val="32"/>
          <w:szCs w:val="32"/>
          <w:lang w:val="en-US" w:eastAsia="zh-CN"/>
        </w:rPr>
        <w:t>块阀控密闭式铅酸蓄电池（胶体），规格型号：</w:t>
      </w:r>
      <w:r>
        <w:rPr>
          <w:rFonts w:hint="eastAsia" w:ascii="Times New Roman" w:hAnsi="Times New Roman" w:eastAsia="仿宋" w:cs="Times New Roman"/>
          <w:color w:val="auto"/>
          <w:sz w:val="32"/>
          <w:szCs w:val="32"/>
          <w:lang w:val="en-US" w:eastAsia="zh-CN"/>
        </w:rPr>
        <w:t>1</w:t>
      </w:r>
      <w:r>
        <w:rPr>
          <w:rFonts w:hint="default" w:ascii="Times New Roman" w:hAnsi="Times New Roman" w:eastAsia="仿宋" w:cs="Times New Roman"/>
          <w:color w:val="auto"/>
          <w:sz w:val="32"/>
          <w:szCs w:val="32"/>
          <w:lang w:val="en-US" w:eastAsia="zh-CN"/>
        </w:rPr>
        <w:t>2V/</w:t>
      </w:r>
      <w:r>
        <w:rPr>
          <w:rFonts w:hint="eastAsia" w:ascii="Times New Roman" w:hAnsi="Times New Roman" w:eastAsia="仿宋" w:cs="Times New Roman"/>
          <w:color w:val="auto"/>
          <w:sz w:val="32"/>
          <w:szCs w:val="32"/>
          <w:lang w:val="en-US" w:eastAsia="zh-CN"/>
        </w:rPr>
        <w:t>10</w:t>
      </w:r>
      <w:r>
        <w:rPr>
          <w:rFonts w:hint="default" w:ascii="Times New Roman" w:hAnsi="Times New Roman" w:eastAsia="仿宋" w:cs="Times New Roman"/>
          <w:color w:val="auto"/>
          <w:sz w:val="32"/>
          <w:szCs w:val="32"/>
          <w:lang w:val="en-US" w:eastAsia="zh-CN"/>
        </w:rPr>
        <w:t>0AH/10HR，长</w:t>
      </w:r>
      <w:r>
        <w:rPr>
          <w:rFonts w:hint="eastAsia" w:ascii="Times New Roman" w:hAnsi="Times New Roman" w:eastAsia="仿宋" w:cs="Times New Roman"/>
          <w:color w:val="auto"/>
          <w:sz w:val="32"/>
          <w:szCs w:val="32"/>
          <w:lang w:val="en-US" w:eastAsia="zh-CN"/>
        </w:rPr>
        <w:t>1</w:t>
      </w:r>
      <w:r>
        <w:rPr>
          <w:rFonts w:hint="default" w:ascii="Times New Roman" w:hAnsi="Times New Roman" w:eastAsia="仿宋" w:cs="Times New Roman"/>
          <w:color w:val="auto"/>
          <w:sz w:val="32"/>
          <w:szCs w:val="32"/>
          <w:lang w:val="en-US" w:eastAsia="zh-CN"/>
        </w:rPr>
        <w:t>2V/</w:t>
      </w:r>
      <w:r>
        <w:rPr>
          <w:rFonts w:hint="eastAsia" w:ascii="Times New Roman" w:hAnsi="Times New Roman" w:eastAsia="仿宋" w:cs="Times New Roman"/>
          <w:color w:val="auto"/>
          <w:sz w:val="32"/>
          <w:szCs w:val="32"/>
          <w:lang w:val="en-US" w:eastAsia="zh-CN"/>
        </w:rPr>
        <w:t>12</w:t>
      </w:r>
      <w:r>
        <w:rPr>
          <w:rFonts w:hint="default" w:ascii="Times New Roman" w:hAnsi="Times New Roman" w:eastAsia="仿宋" w:cs="Times New Roman"/>
          <w:color w:val="auto"/>
          <w:sz w:val="32"/>
          <w:szCs w:val="32"/>
          <w:lang w:val="en-US" w:eastAsia="zh-CN"/>
        </w:rPr>
        <w:t>0AH/10HR、长</w:t>
      </w:r>
      <w:r>
        <w:rPr>
          <w:rFonts w:hint="eastAsia" w:ascii="Times New Roman" w:hAnsi="Times New Roman" w:eastAsia="仿宋" w:cs="Times New Roman"/>
          <w:color w:val="auto"/>
          <w:sz w:val="32"/>
          <w:szCs w:val="32"/>
          <w:lang w:val="en-US" w:eastAsia="zh-CN"/>
        </w:rPr>
        <w:t>约33</w:t>
      </w:r>
      <w:r>
        <w:rPr>
          <w:rFonts w:hint="default" w:ascii="Times New Roman" w:hAnsi="Times New Roman" w:eastAsia="仿宋" w:cs="Times New Roman"/>
          <w:color w:val="auto"/>
          <w:sz w:val="32"/>
          <w:szCs w:val="32"/>
          <w:lang w:val="en-US" w:eastAsia="zh-CN"/>
        </w:rPr>
        <w:t>cm、宽</w:t>
      </w:r>
      <w:r>
        <w:rPr>
          <w:rFonts w:hint="eastAsia" w:ascii="Times New Roman" w:hAnsi="Times New Roman" w:eastAsia="仿宋" w:cs="Times New Roman"/>
          <w:color w:val="auto"/>
          <w:sz w:val="32"/>
          <w:szCs w:val="32"/>
          <w:lang w:val="en-US" w:eastAsia="zh-CN"/>
        </w:rPr>
        <w:t>约</w:t>
      </w:r>
      <w:r>
        <w:rPr>
          <w:rFonts w:hint="default" w:ascii="Times New Roman" w:hAnsi="Times New Roman" w:eastAsia="仿宋" w:cs="Times New Roman"/>
          <w:color w:val="auto"/>
          <w:sz w:val="32"/>
          <w:szCs w:val="32"/>
          <w:lang w:val="en-US" w:eastAsia="zh-CN"/>
        </w:rPr>
        <w:t>17.</w:t>
      </w:r>
      <w:r>
        <w:rPr>
          <w:rFonts w:hint="eastAsia" w:ascii="Times New Roman" w:hAnsi="Times New Roman" w:eastAsia="仿宋" w:cs="Times New Roman"/>
          <w:color w:val="auto"/>
          <w:sz w:val="32"/>
          <w:szCs w:val="32"/>
          <w:lang w:val="en-US" w:eastAsia="zh-CN"/>
        </w:rPr>
        <w:t>3</w:t>
      </w:r>
      <w:r>
        <w:rPr>
          <w:rFonts w:hint="default" w:ascii="Times New Roman" w:hAnsi="Times New Roman" w:eastAsia="仿宋" w:cs="Times New Roman"/>
          <w:color w:val="auto"/>
          <w:sz w:val="32"/>
          <w:szCs w:val="32"/>
          <w:lang w:val="en-US" w:eastAsia="zh-CN"/>
        </w:rPr>
        <w:t>cm、高</w:t>
      </w:r>
      <w:r>
        <w:rPr>
          <w:rFonts w:hint="eastAsia" w:ascii="Times New Roman" w:hAnsi="Times New Roman" w:eastAsia="仿宋" w:cs="Times New Roman"/>
          <w:color w:val="auto"/>
          <w:sz w:val="32"/>
          <w:szCs w:val="32"/>
          <w:lang w:val="en-US" w:eastAsia="zh-CN"/>
        </w:rPr>
        <w:t>约21.5</w:t>
      </w:r>
      <w:r>
        <w:rPr>
          <w:rFonts w:hint="default" w:ascii="Times New Roman" w:hAnsi="Times New Roman" w:eastAsia="仿宋" w:cs="Times New Roman"/>
          <w:color w:val="auto"/>
          <w:sz w:val="32"/>
          <w:szCs w:val="32"/>
          <w:lang w:val="en-US" w:eastAsia="zh-CN"/>
        </w:rPr>
        <w:t>cm</w:t>
      </w:r>
      <w:r>
        <w:rPr>
          <w:rFonts w:hint="eastAsia" w:ascii="Times New Roman" w:hAnsi="Times New Roman" w:eastAsia="仿宋" w:cs="Times New Roman"/>
          <w:color w:val="auto"/>
          <w:sz w:val="32"/>
          <w:szCs w:val="32"/>
          <w:lang w:val="en-US" w:eastAsia="zh-CN"/>
        </w:rPr>
        <w:t>，详见下表：</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54"/>
        <w:gridCol w:w="2049"/>
        <w:gridCol w:w="2154"/>
        <w:gridCol w:w="2165"/>
      </w:tblGrid>
      <w:tr w14:paraId="22E3A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88" w:type="dxa"/>
            <w:vAlign w:val="center"/>
          </w:tcPr>
          <w:p w14:paraId="49CA505C">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品牌：耐普</w:t>
            </w:r>
          </w:p>
        </w:tc>
        <w:tc>
          <w:tcPr>
            <w:tcW w:w="2088" w:type="dxa"/>
            <w:vAlign w:val="center"/>
          </w:tcPr>
          <w:p w14:paraId="423BC855">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用法</w:t>
            </w:r>
          </w:p>
        </w:tc>
        <w:tc>
          <w:tcPr>
            <w:tcW w:w="2172" w:type="dxa"/>
            <w:vAlign w:val="center"/>
          </w:tcPr>
          <w:p w14:paraId="1665DED9">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浮充使用</w:t>
            </w:r>
          </w:p>
        </w:tc>
        <w:tc>
          <w:tcPr>
            <w:tcW w:w="2172" w:type="dxa"/>
            <w:vAlign w:val="center"/>
          </w:tcPr>
          <w:p w14:paraId="475DB8C2">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循环使用</w:t>
            </w:r>
          </w:p>
        </w:tc>
      </w:tr>
      <w:tr w14:paraId="73E84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88" w:type="dxa"/>
            <w:vMerge w:val="restart"/>
            <w:vAlign w:val="center"/>
          </w:tcPr>
          <w:p w14:paraId="248DA71A">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型号：</w:t>
            </w:r>
            <w:r>
              <w:rPr>
                <w:rFonts w:hint="default" w:ascii="Times New Roman" w:hAnsi="Times New Roman" w:eastAsia="仿宋" w:cs="Times New Roman"/>
                <w:color w:val="auto"/>
                <w:sz w:val="32"/>
                <w:szCs w:val="32"/>
                <w:lang w:val="en-US" w:eastAsia="zh-CN"/>
              </w:rPr>
              <w:t>NPG12-1</w:t>
            </w:r>
            <w:r>
              <w:rPr>
                <w:rFonts w:hint="eastAsia" w:ascii="Times New Roman" w:hAnsi="Times New Roman" w:eastAsia="仿宋" w:cs="Times New Roman"/>
                <w:color w:val="auto"/>
                <w:sz w:val="32"/>
                <w:szCs w:val="32"/>
                <w:lang w:val="en-US" w:eastAsia="zh-CN"/>
              </w:rPr>
              <w:t>0</w:t>
            </w:r>
            <w:r>
              <w:rPr>
                <w:rFonts w:hint="default" w:ascii="Times New Roman" w:hAnsi="Times New Roman" w:eastAsia="仿宋" w:cs="Times New Roman"/>
                <w:color w:val="auto"/>
                <w:sz w:val="32"/>
                <w:szCs w:val="32"/>
                <w:lang w:val="en-US" w:eastAsia="zh-CN"/>
              </w:rPr>
              <w:t>0Ah</w:t>
            </w:r>
          </w:p>
        </w:tc>
        <w:tc>
          <w:tcPr>
            <w:tcW w:w="2088" w:type="dxa"/>
            <w:vAlign w:val="center"/>
          </w:tcPr>
          <w:p w14:paraId="7CD6C76B">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充电电压</w:t>
            </w:r>
            <w:r>
              <w:rPr>
                <w:rFonts w:hint="eastAsia" w:ascii="Times New Roman" w:hAnsi="Times New Roman" w:eastAsia="仿宋" w:cs="Times New Roman"/>
                <w:color w:val="auto"/>
                <w:sz w:val="32"/>
                <w:szCs w:val="32"/>
                <w:lang w:val="en-US" w:eastAsia="zh-CN"/>
              </w:rPr>
              <w:t>（25℃）</w:t>
            </w:r>
          </w:p>
        </w:tc>
        <w:tc>
          <w:tcPr>
            <w:tcW w:w="2172" w:type="dxa"/>
            <w:vAlign w:val="center"/>
          </w:tcPr>
          <w:p w14:paraId="7B9188BA">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13.5-13.8vdc</w:t>
            </w:r>
          </w:p>
        </w:tc>
        <w:tc>
          <w:tcPr>
            <w:tcW w:w="2172" w:type="dxa"/>
            <w:vAlign w:val="center"/>
          </w:tcPr>
          <w:p w14:paraId="55A46997">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14.5-15.00vdc</w:t>
            </w:r>
          </w:p>
        </w:tc>
      </w:tr>
      <w:tr w14:paraId="44F63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88" w:type="dxa"/>
            <w:vMerge w:val="continue"/>
            <w:vAlign w:val="center"/>
          </w:tcPr>
          <w:p w14:paraId="6D74C00F">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p>
        </w:tc>
        <w:tc>
          <w:tcPr>
            <w:tcW w:w="2088" w:type="dxa"/>
            <w:vAlign w:val="center"/>
          </w:tcPr>
          <w:p w14:paraId="177C3904">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最大充电电流 A</w:t>
            </w:r>
          </w:p>
        </w:tc>
        <w:tc>
          <w:tcPr>
            <w:tcW w:w="4344" w:type="dxa"/>
            <w:gridSpan w:val="2"/>
            <w:vAlign w:val="center"/>
          </w:tcPr>
          <w:p w14:paraId="16BC9816">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cs="Times New Roman" w:eastAsiaTheme="minorEastAsia"/>
                <w:color w:val="auto"/>
                <w:sz w:val="32"/>
                <w:szCs w:val="32"/>
                <w:lang w:val="en-US" w:eastAsia="zh-CN"/>
              </w:rPr>
            </w:pPr>
            <w:r>
              <w:rPr>
                <w:rFonts w:hint="eastAsia" w:ascii="Times New Roman" w:hAnsi="Times New Roman" w:eastAsia="仿宋" w:cs="Times New Roman"/>
                <w:color w:val="auto"/>
                <w:sz w:val="32"/>
                <w:szCs w:val="32"/>
                <w:lang w:val="en-US" w:eastAsia="zh-CN"/>
              </w:rPr>
              <w:t>30</w:t>
            </w:r>
          </w:p>
        </w:tc>
      </w:tr>
    </w:tbl>
    <w:p w14:paraId="0E77351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eastAsia" w:ascii="黑体" w:hAnsi="黑体" w:eastAsia="黑体" w:cs="黑体"/>
          <w:sz w:val="32"/>
          <w:szCs w:val="32"/>
        </w:rPr>
        <w:t>五、项目</w:t>
      </w:r>
      <w:r>
        <w:rPr>
          <w:rFonts w:hint="eastAsia" w:ascii="黑体" w:hAnsi="黑体" w:eastAsia="黑体" w:cs="黑体"/>
          <w:sz w:val="32"/>
          <w:szCs w:val="32"/>
          <w:lang w:val="en-US" w:eastAsia="zh-CN"/>
        </w:rPr>
        <w:t>特别需求</w:t>
      </w:r>
    </w:p>
    <w:p w14:paraId="6F3033E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所采购</w:t>
      </w:r>
      <w:r>
        <w:rPr>
          <w:rFonts w:hint="eastAsia" w:ascii="Times New Roman" w:hAnsi="Times New Roman" w:eastAsia="仿宋" w:cs="Times New Roman"/>
          <w:sz w:val="32"/>
          <w:szCs w:val="32"/>
          <w:lang w:val="en-US" w:eastAsia="zh-CN"/>
        </w:rPr>
        <w:t>电池均为</w:t>
      </w:r>
      <w:r>
        <w:rPr>
          <w:rFonts w:hint="default" w:ascii="Times New Roman" w:hAnsi="Times New Roman" w:eastAsia="仿宋" w:cs="Times New Roman"/>
          <w:sz w:val="32"/>
          <w:szCs w:val="32"/>
          <w:lang w:val="en-US" w:eastAsia="zh-CN"/>
        </w:rPr>
        <w:t>为品牌合格电池，</w:t>
      </w:r>
      <w:r>
        <w:rPr>
          <w:rFonts w:hint="eastAsia" w:ascii="Times New Roman" w:hAnsi="Times New Roman" w:eastAsia="仿宋" w:cs="Times New Roman"/>
          <w:sz w:val="32"/>
          <w:szCs w:val="32"/>
          <w:lang w:val="en-US" w:eastAsia="zh-CN"/>
        </w:rPr>
        <w:t>其中适用规格为</w:t>
      </w:r>
      <w:r>
        <w:rPr>
          <w:rFonts w:hint="default" w:ascii="Times New Roman" w:hAnsi="Times New Roman" w:eastAsia="仿宋" w:cs="Times New Roman"/>
          <w:sz w:val="32"/>
          <w:szCs w:val="32"/>
          <w:lang w:val="en-US" w:eastAsia="zh-CN"/>
        </w:rPr>
        <w:t>2V/800AH/10HR</w:t>
      </w:r>
      <w:r>
        <w:rPr>
          <w:rFonts w:hint="eastAsia" w:ascii="Times New Roman" w:hAnsi="Times New Roman" w:eastAsia="仿宋" w:cs="Times New Roman"/>
          <w:sz w:val="32"/>
          <w:szCs w:val="32"/>
          <w:lang w:val="en-US" w:eastAsia="zh-CN"/>
        </w:rPr>
        <w:t>的浮船站每12个电池</w:t>
      </w:r>
      <w:r>
        <w:rPr>
          <w:rFonts w:hint="default" w:ascii="Times New Roman" w:hAnsi="Times New Roman" w:eastAsia="仿宋" w:cs="Times New Roman"/>
          <w:sz w:val="32"/>
          <w:szCs w:val="32"/>
          <w:lang w:val="en-US" w:eastAsia="zh-CN"/>
        </w:rPr>
        <w:t>为1组，两组连接，形成24V直流供电；</w:t>
      </w:r>
      <w:r>
        <w:rPr>
          <w:rFonts w:hint="eastAsia" w:ascii="Times New Roman" w:hAnsi="Times New Roman" w:eastAsia="仿宋" w:cs="Times New Roman"/>
          <w:sz w:val="32"/>
          <w:szCs w:val="32"/>
          <w:lang w:val="en-US" w:eastAsia="zh-CN"/>
        </w:rPr>
        <w:t>适用规格为1</w:t>
      </w:r>
      <w:r>
        <w:rPr>
          <w:rFonts w:hint="default" w:ascii="Times New Roman" w:hAnsi="Times New Roman" w:eastAsia="仿宋" w:cs="Times New Roman"/>
          <w:sz w:val="32"/>
          <w:szCs w:val="32"/>
          <w:lang w:val="en-US" w:eastAsia="zh-CN"/>
        </w:rPr>
        <w:t>2V/</w:t>
      </w:r>
      <w:r>
        <w:rPr>
          <w:rFonts w:hint="eastAsia" w:ascii="Times New Roman" w:hAnsi="Times New Roman" w:eastAsia="仿宋" w:cs="Times New Roman"/>
          <w:sz w:val="32"/>
          <w:szCs w:val="32"/>
          <w:lang w:val="en-US" w:eastAsia="zh-CN"/>
        </w:rPr>
        <w:t>12</w:t>
      </w:r>
      <w:r>
        <w:rPr>
          <w:rFonts w:hint="default" w:ascii="Times New Roman" w:hAnsi="Times New Roman" w:eastAsia="仿宋" w:cs="Times New Roman"/>
          <w:sz w:val="32"/>
          <w:szCs w:val="32"/>
          <w:lang w:val="en-US" w:eastAsia="zh-CN"/>
        </w:rPr>
        <w:t>0AH/10HR</w:t>
      </w:r>
      <w:r>
        <w:rPr>
          <w:rFonts w:hint="eastAsia" w:ascii="Times New Roman" w:hAnsi="Times New Roman" w:eastAsia="仿宋" w:cs="Times New Roman"/>
          <w:sz w:val="32"/>
          <w:szCs w:val="32"/>
          <w:lang w:val="en-US" w:eastAsia="zh-CN"/>
        </w:rPr>
        <w:t>的浮船站每18个电池</w:t>
      </w:r>
      <w:r>
        <w:rPr>
          <w:rFonts w:hint="default" w:ascii="Times New Roman" w:hAnsi="Times New Roman" w:eastAsia="仿宋" w:cs="Times New Roman"/>
          <w:sz w:val="32"/>
          <w:szCs w:val="32"/>
          <w:lang w:val="en-US" w:eastAsia="zh-CN"/>
        </w:rPr>
        <w:t>为1组，两组连接，形成2</w:t>
      </w:r>
      <w:r>
        <w:rPr>
          <w:rFonts w:hint="eastAsia" w:ascii="Times New Roman" w:hAnsi="Times New Roman" w:eastAsia="仿宋" w:cs="Times New Roman"/>
          <w:sz w:val="32"/>
          <w:szCs w:val="32"/>
          <w:lang w:val="en-US" w:eastAsia="zh-CN"/>
        </w:rPr>
        <w:t>20</w:t>
      </w:r>
      <w:r>
        <w:rPr>
          <w:rFonts w:hint="default" w:ascii="Times New Roman" w:hAnsi="Times New Roman" w:eastAsia="仿宋" w:cs="Times New Roman"/>
          <w:sz w:val="32"/>
          <w:szCs w:val="32"/>
          <w:lang w:val="en-US" w:eastAsia="zh-CN"/>
        </w:rPr>
        <w:t>V直流供电</w:t>
      </w:r>
      <w:r>
        <w:rPr>
          <w:rFonts w:hint="eastAsia" w:ascii="Times New Roman" w:hAnsi="Times New Roman" w:eastAsia="仿宋" w:cs="Times New Roman"/>
          <w:sz w:val="32"/>
          <w:szCs w:val="32"/>
          <w:lang w:val="en-US" w:eastAsia="zh-CN"/>
        </w:rPr>
        <w:t>。</w:t>
      </w:r>
    </w:p>
    <w:p w14:paraId="12D75BF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lang w:val="en-US" w:eastAsia="zh-CN"/>
        </w:rPr>
        <w:t>电池组能匹配当前所用浮船式自动监测站供电模块，包安装、包运输、包调试，确保供电系统能正常运行各监测仪器</w:t>
      </w:r>
      <w:r>
        <w:rPr>
          <w:rFonts w:hint="eastAsia" w:ascii="Times New Roman" w:hAnsi="Times New Roman" w:eastAsia="仿宋" w:cs="Times New Roman"/>
          <w:sz w:val="32"/>
          <w:szCs w:val="32"/>
          <w:lang w:val="en-US" w:eastAsia="zh-CN"/>
        </w:rPr>
        <w:t>。浮船水质自动监测</w:t>
      </w:r>
      <w:r>
        <w:rPr>
          <w:rFonts w:hint="default" w:ascii="Times New Roman" w:hAnsi="Times New Roman" w:eastAsia="仿宋" w:cs="Times New Roman"/>
          <w:sz w:val="32"/>
          <w:szCs w:val="32"/>
          <w:lang w:val="en-US" w:eastAsia="zh-CN"/>
        </w:rPr>
        <w:t>站点为</w:t>
      </w:r>
      <w:r>
        <w:rPr>
          <w:rFonts w:hint="eastAsia" w:ascii="Times New Roman" w:hAnsi="Times New Roman" w:eastAsia="仿宋" w:cs="Times New Roman"/>
          <w:sz w:val="32"/>
          <w:szCs w:val="32"/>
          <w:lang w:val="en-US" w:eastAsia="zh-CN"/>
        </w:rPr>
        <w:t>各</w:t>
      </w:r>
      <w:r>
        <w:rPr>
          <w:rFonts w:hint="default" w:ascii="Times New Roman" w:hAnsi="Times New Roman" w:eastAsia="仿宋" w:cs="Times New Roman"/>
          <w:sz w:val="32"/>
          <w:szCs w:val="32"/>
          <w:lang w:val="en-US" w:eastAsia="zh-CN"/>
        </w:rPr>
        <w:t>水库中央，需要租用船舶装运电池</w:t>
      </w:r>
      <w:r>
        <w:rPr>
          <w:rFonts w:hint="eastAsia" w:ascii="Times New Roman" w:hAnsi="Times New Roman" w:eastAsia="仿宋" w:cs="Times New Roman"/>
          <w:sz w:val="32"/>
          <w:szCs w:val="32"/>
          <w:lang w:val="en-US" w:eastAsia="zh-CN"/>
        </w:rPr>
        <w:t>。</w:t>
      </w:r>
    </w:p>
    <w:p w14:paraId="0B7B9DF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六、商务要求</w:t>
      </w:r>
    </w:p>
    <w:p w14:paraId="18E878B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lang w:val="en-US" w:eastAsia="zh-CN"/>
        </w:rPr>
        <w:t>一</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lang w:val="en-US" w:eastAsia="zh-CN"/>
        </w:rPr>
        <w:t>服务供应商要求</w:t>
      </w:r>
    </w:p>
    <w:p w14:paraId="44E81CF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1.供应商应当具备相应的执业范围和相关工作经验，具备足够的技术人员、设备提供服务；</w:t>
      </w:r>
    </w:p>
    <w:p w14:paraId="56A27CF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2.对在“信用中国”网站(www.creditchina.gov.cn)列入失信被执行人、企业经营异常名录和重大税收违法案件当事人名单的供应商，不得参与本次采购活动。</w:t>
      </w:r>
    </w:p>
    <w:p w14:paraId="631282E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sz w:val="32"/>
          <w:szCs w:val="32"/>
          <w:lang w:val="en-US" w:eastAsia="zh-CN"/>
        </w:rPr>
        <w:t>（</w:t>
      </w:r>
      <w:r>
        <w:rPr>
          <w:rFonts w:hint="default" w:ascii="Times New Roman" w:hAnsi="Times New Roman" w:eastAsia="仿宋" w:cs="Times New Roman"/>
          <w:color w:val="auto"/>
          <w:sz w:val="32"/>
          <w:szCs w:val="32"/>
          <w:lang w:val="en-US" w:eastAsia="zh-CN"/>
        </w:rPr>
        <w:t>二）付款条件</w:t>
      </w:r>
    </w:p>
    <w:p w14:paraId="0C60AC0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供应商按规定在2025年6月25日前完成项目安装，经采购人验收合格后，在收到供应商开具合格的增值税普通发票</w:t>
      </w:r>
      <w:r>
        <w:rPr>
          <w:rFonts w:hint="eastAsia" w:ascii="Times New Roman" w:hAnsi="Times New Roman" w:eastAsia="仿宋" w:cs="Times New Roman"/>
          <w:color w:val="auto"/>
          <w:sz w:val="32"/>
          <w:szCs w:val="32"/>
          <w:lang w:val="en-US" w:eastAsia="zh-CN"/>
        </w:rPr>
        <w:t>和请款函</w:t>
      </w:r>
      <w:r>
        <w:rPr>
          <w:rFonts w:hint="default" w:ascii="Times New Roman" w:hAnsi="Times New Roman" w:eastAsia="仿宋" w:cs="Times New Roman"/>
          <w:color w:val="auto"/>
          <w:sz w:val="32"/>
          <w:szCs w:val="32"/>
          <w:lang w:val="en-US" w:eastAsia="zh-CN"/>
        </w:rPr>
        <w:t>之日起15个工作日内向供应商支付全部货款。</w:t>
      </w:r>
    </w:p>
    <w:p w14:paraId="7C0A1FE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（三）服务供应方提交材料要求</w:t>
      </w:r>
    </w:p>
    <w:p w14:paraId="1775174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1.必须提供营业执照、执业许可证明材料（扫描件）、授权委托书等。</w:t>
      </w:r>
    </w:p>
    <w:p w14:paraId="665B85B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2.加盖公章的报价文件（含扫描件）。</w:t>
      </w:r>
    </w:p>
    <w:p w14:paraId="47C446D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3.加盖公章的信用声明函</w:t>
      </w:r>
      <w:r>
        <w:rPr>
          <w:rFonts w:hint="eastAsia" w:ascii="Times New Roman" w:hAnsi="Times New Roman" w:eastAsia="仿宋" w:cs="Times New Roman"/>
          <w:color w:val="auto"/>
          <w:sz w:val="32"/>
          <w:szCs w:val="32"/>
          <w:lang w:val="en-US" w:eastAsia="zh-CN"/>
        </w:rPr>
        <w:t>。</w:t>
      </w:r>
    </w:p>
    <w:p w14:paraId="1DB788D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4.</w:t>
      </w:r>
      <w:r>
        <w:rPr>
          <w:rFonts w:hint="default" w:ascii="Times New Roman" w:hAnsi="Times New Roman" w:eastAsia="仿宋" w:cs="Times New Roman"/>
          <w:color w:val="auto"/>
          <w:sz w:val="32"/>
          <w:szCs w:val="32"/>
          <w:lang w:val="en-US" w:eastAsia="zh-CN"/>
        </w:rPr>
        <w:t>售后服务方案等。</w:t>
      </w:r>
    </w:p>
    <w:p w14:paraId="0C156AD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lang w:val="en-US" w:eastAsia="zh-CN"/>
        </w:rPr>
        <w:t>七</w:t>
      </w:r>
      <w:r>
        <w:rPr>
          <w:rFonts w:hint="eastAsia" w:ascii="黑体" w:hAnsi="黑体" w:eastAsia="黑体" w:cs="黑体"/>
          <w:color w:val="auto"/>
          <w:sz w:val="32"/>
          <w:szCs w:val="32"/>
        </w:rPr>
        <w:t>、</w:t>
      </w:r>
      <w:r>
        <w:rPr>
          <w:rFonts w:hint="eastAsia" w:ascii="黑体" w:hAnsi="黑体" w:eastAsia="黑体" w:cs="黑体"/>
          <w:color w:val="auto"/>
          <w:sz w:val="32"/>
          <w:szCs w:val="32"/>
          <w:lang w:val="en-US" w:eastAsia="zh-CN"/>
        </w:rPr>
        <w:t>售后</w:t>
      </w:r>
      <w:r>
        <w:rPr>
          <w:rFonts w:hint="eastAsia" w:ascii="黑体" w:hAnsi="黑体" w:eastAsia="黑体" w:cs="黑体"/>
          <w:color w:val="auto"/>
          <w:sz w:val="32"/>
          <w:szCs w:val="32"/>
        </w:rPr>
        <w:t>要求</w:t>
      </w:r>
    </w:p>
    <w:p w14:paraId="4775CD7D">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 w:cs="Times New Roman"/>
          <w:sz w:val="32"/>
          <w:szCs w:val="32"/>
        </w:rPr>
      </w:pPr>
      <w:r>
        <w:rPr>
          <w:rFonts w:hint="default" w:ascii="Times New Roman" w:hAnsi="Times New Roman" w:eastAsia="仿宋" w:cs="Times New Roman"/>
          <w:color w:val="auto"/>
          <w:sz w:val="32"/>
          <w:szCs w:val="32"/>
        </w:rPr>
        <w:t xml:space="preserve">    </w:t>
      </w:r>
      <w:r>
        <w:rPr>
          <w:rFonts w:hint="eastAsia" w:ascii="Times New Roman" w:hAnsi="Times New Roman" w:eastAsia="仿宋" w:cs="Times New Roman"/>
          <w:color w:val="auto"/>
          <w:sz w:val="32"/>
          <w:szCs w:val="32"/>
          <w:lang w:val="en-US" w:eastAsia="zh-CN"/>
        </w:rPr>
        <w:t>1.</w:t>
      </w:r>
      <w:r>
        <w:rPr>
          <w:rFonts w:hint="default" w:ascii="Times New Roman" w:hAnsi="Times New Roman" w:eastAsia="仿宋" w:cs="Times New Roman"/>
          <w:color w:val="auto"/>
          <w:sz w:val="32"/>
          <w:szCs w:val="32"/>
        </w:rPr>
        <w:t>成交供应商提供的电池必须为该品牌</w:t>
      </w:r>
      <w:r>
        <w:rPr>
          <w:rFonts w:hint="eastAsia" w:ascii="Times New Roman" w:hAnsi="Times New Roman" w:eastAsia="仿宋" w:cs="Times New Roman"/>
          <w:color w:val="auto"/>
          <w:sz w:val="32"/>
          <w:szCs w:val="32"/>
          <w:lang w:val="en-US" w:eastAsia="zh-CN"/>
        </w:rPr>
        <w:t>2025年</w:t>
      </w:r>
      <w:r>
        <w:rPr>
          <w:rFonts w:hint="default" w:ascii="Times New Roman" w:hAnsi="Times New Roman" w:eastAsia="仿宋" w:cs="Times New Roman"/>
          <w:color w:val="auto"/>
          <w:sz w:val="32"/>
          <w:szCs w:val="32"/>
        </w:rPr>
        <w:t>生产批次，保证原装、全新正品。产品包装、保存方式需符合</w:t>
      </w:r>
      <w:r>
        <w:rPr>
          <w:rFonts w:hint="default" w:ascii="Times New Roman" w:hAnsi="Times New Roman" w:eastAsia="仿宋" w:cs="Times New Roman"/>
          <w:sz w:val="32"/>
          <w:szCs w:val="32"/>
        </w:rPr>
        <w:t>合格证书要求。产品合格证书上的标准号、出厂批号必须与外包装标识一致且可溯源，确保符合国家及行业标准规范，并满足采购单位提出的具体质量标准。运输方式应确保产品安全抵达合同交货地点。</w:t>
      </w:r>
    </w:p>
    <w:p w14:paraId="4C012568">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 xml:space="preserve">   </w:t>
      </w:r>
      <w:r>
        <w:rPr>
          <w:rFonts w:hint="eastAsia" w:ascii="Times New Roman" w:hAnsi="Times New Roman" w:eastAsia="仿宋" w:cs="Times New Roman"/>
          <w:sz w:val="32"/>
          <w:szCs w:val="32"/>
          <w:lang w:val="en-US" w:eastAsia="zh-CN"/>
        </w:rPr>
        <w:t xml:space="preserve"> 2.</w:t>
      </w:r>
      <w:r>
        <w:rPr>
          <w:rFonts w:hint="default" w:ascii="Times New Roman" w:hAnsi="Times New Roman" w:eastAsia="仿宋" w:cs="Times New Roman"/>
          <w:color w:val="auto"/>
          <w:sz w:val="32"/>
          <w:szCs w:val="32"/>
        </w:rPr>
        <w:t>自</w:t>
      </w:r>
      <w:r>
        <w:rPr>
          <w:rFonts w:hint="eastAsia" w:ascii="Times New Roman" w:hAnsi="Times New Roman" w:eastAsia="仿宋" w:cs="Times New Roman"/>
          <w:color w:val="auto"/>
          <w:sz w:val="32"/>
          <w:szCs w:val="32"/>
          <w:lang w:val="en-US" w:eastAsia="zh-CN"/>
        </w:rPr>
        <w:t>货物验收</w:t>
      </w:r>
      <w:r>
        <w:rPr>
          <w:rFonts w:hint="default" w:ascii="Times New Roman" w:hAnsi="Times New Roman" w:eastAsia="仿宋" w:cs="Times New Roman"/>
          <w:color w:val="auto"/>
          <w:sz w:val="32"/>
          <w:szCs w:val="32"/>
        </w:rPr>
        <w:t>之日起一年内</w:t>
      </w:r>
      <w:r>
        <w:rPr>
          <w:rFonts w:hint="default" w:ascii="Times New Roman" w:hAnsi="Times New Roman" w:eastAsia="仿宋" w:cs="Times New Roman"/>
          <w:sz w:val="32"/>
          <w:szCs w:val="32"/>
        </w:rPr>
        <w:t>，若采购单位在收货验收时未能发现，但在后续使用过程中发现因电池本身质量问题导致水站无法正常运行，成交供应商须在接到通知后10个工作日内无条件换货。所更换电池的价值与性能必须等于或优于被更换电池。由此产生的所有费用（含运输等）由成交供应商承担。</w:t>
      </w:r>
    </w:p>
    <w:p w14:paraId="48AC571F">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 xml:space="preserve">    </w:t>
      </w:r>
      <w:r>
        <w:rPr>
          <w:rFonts w:hint="eastAsia" w:ascii="Times New Roman" w:hAnsi="Times New Roman" w:eastAsia="仿宋" w:cs="Times New Roman"/>
          <w:sz w:val="32"/>
          <w:szCs w:val="32"/>
          <w:lang w:val="en-US" w:eastAsia="zh-CN"/>
        </w:rPr>
        <w:t>3.</w:t>
      </w:r>
      <w:r>
        <w:rPr>
          <w:rFonts w:hint="default" w:ascii="Times New Roman" w:hAnsi="Times New Roman" w:eastAsia="仿宋" w:cs="Times New Roman"/>
          <w:sz w:val="32"/>
          <w:szCs w:val="32"/>
        </w:rPr>
        <w:t>交货时须随附清晰、完整的电池发货清单。</w:t>
      </w:r>
    </w:p>
    <w:p w14:paraId="7013BFD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sz w:val="32"/>
          <w:szCs w:val="32"/>
        </w:rPr>
      </w:pPr>
      <w:r>
        <w:rPr>
          <w:rFonts w:hint="eastAsia" w:ascii="Times New Roman" w:hAnsi="Times New Roman" w:eastAsia="仿宋" w:cs="Times New Roman"/>
          <w:sz w:val="32"/>
          <w:szCs w:val="32"/>
          <w:lang w:val="en-US" w:eastAsia="zh-CN"/>
        </w:rPr>
        <w:t>4.</w:t>
      </w:r>
      <w:r>
        <w:rPr>
          <w:rFonts w:hint="default" w:ascii="Times New Roman" w:hAnsi="Times New Roman" w:eastAsia="仿宋" w:cs="Times New Roman"/>
          <w:sz w:val="32"/>
          <w:szCs w:val="32"/>
        </w:rPr>
        <w:t>供应商应自行负责货物在运输</w:t>
      </w:r>
      <w:r>
        <w:rPr>
          <w:rFonts w:hint="eastAsia" w:ascii="Times New Roman" w:hAnsi="Times New Roman" w:eastAsia="仿宋" w:cs="Times New Roman"/>
          <w:sz w:val="32"/>
          <w:szCs w:val="32"/>
          <w:lang w:val="en-US" w:eastAsia="zh-CN"/>
        </w:rPr>
        <w:t>安装等交付</w:t>
      </w:r>
      <w:r>
        <w:rPr>
          <w:rFonts w:hint="default" w:ascii="Times New Roman" w:hAnsi="Times New Roman" w:eastAsia="仿宋" w:cs="Times New Roman"/>
          <w:sz w:val="32"/>
          <w:szCs w:val="32"/>
        </w:rPr>
        <w:t>过程中的保险事宜，确保</w:t>
      </w:r>
      <w:r>
        <w:rPr>
          <w:rFonts w:hint="eastAsia" w:ascii="Times New Roman" w:hAnsi="Times New Roman" w:eastAsia="仿宋" w:cs="Times New Roman"/>
          <w:sz w:val="32"/>
          <w:szCs w:val="32"/>
          <w:lang w:val="en-US" w:eastAsia="zh-CN"/>
        </w:rPr>
        <w:t>人员和</w:t>
      </w:r>
      <w:r>
        <w:rPr>
          <w:rFonts w:hint="default" w:ascii="Times New Roman" w:hAnsi="Times New Roman" w:eastAsia="仿宋" w:cs="Times New Roman"/>
          <w:sz w:val="32"/>
          <w:szCs w:val="32"/>
        </w:rPr>
        <w:t>货物安全。</w:t>
      </w:r>
    </w:p>
    <w:p w14:paraId="7D32FD6A">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 w:cs="Times New Roman"/>
          <w:sz w:val="32"/>
          <w:szCs w:val="32"/>
        </w:rPr>
      </w:pPr>
    </w:p>
    <w:p w14:paraId="03FEDC43">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 w:cs="Times New Roman"/>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创艺简粗黑">
    <w:panose1 w:val="00000000000000000000"/>
    <w:charset w:val="00"/>
    <w:family w:val="auto"/>
    <w:pitch w:val="default"/>
    <w:sig w:usb0="00000000" w:usb1="00000000" w:usb2="00000000" w:usb3="00000000" w:csb0="00000000" w:csb1="00000000"/>
  </w:font>
  <w:font w:name="方正中倩简体">
    <w:panose1 w:val="03000509000000000000"/>
    <w:charset w:val="86"/>
    <w:family w:val="auto"/>
    <w:pitch w:val="default"/>
    <w:sig w:usb0="00000001" w:usb1="080E0000" w:usb2="00000000" w:usb3="00000000" w:csb0="00040000" w:csb1="00000000"/>
  </w:font>
  <w:font w:name="微软雅黑 Light">
    <w:panose1 w:val="020B0502040204020203"/>
    <w:charset w:val="86"/>
    <w:family w:val="auto"/>
    <w:pitch w:val="default"/>
    <w:sig w:usb0="80000287" w:usb1="2ACF0010" w:usb2="00000016" w:usb3="00000000" w:csb0="0004001F" w:csb1="00000000"/>
  </w:font>
  <w:font w:name="创艺繁超黑">
    <w:panose1 w:val="00000000000000000000"/>
    <w:charset w:val="00"/>
    <w:family w:val="auto"/>
    <w:pitch w:val="default"/>
    <w:sig w:usb0="00000000" w:usb1="00000000" w:usb2="00000000" w:usb3="00000000" w:csb0="00000000" w:csb1="00000000"/>
  </w:font>
  <w:font w:name="方正仿宋_GB2312">
    <w:panose1 w:val="02000000000000000000"/>
    <w:charset w:val="86"/>
    <w:family w:val="auto"/>
    <w:pitch w:val="default"/>
    <w:sig w:usb0="A00002BF" w:usb1="184F6CFA" w:usb2="00000012" w:usb3="00000000" w:csb0="00040001" w:csb1="00000000"/>
  </w:font>
  <w:font w:name="方正隶变简体">
    <w:panose1 w:val="03000509000000000000"/>
    <w:charset w:val="86"/>
    <w:family w:val="auto"/>
    <w:pitch w:val="default"/>
    <w:sig w:usb0="00000001" w:usb1="080E0000" w:usb2="00000000" w:usb3="00000000" w:csb0="00040000" w:csb1="00000000"/>
  </w:font>
  <w:font w:name="Meiryo">
    <w:panose1 w:val="020B0604030504040204"/>
    <w:charset w:val="80"/>
    <w:family w:val="auto"/>
    <w:pitch w:val="default"/>
    <w:sig w:usb0="E10102FF" w:usb1="EAC7FFFF" w:usb2="00010012" w:usb3="00000000" w:csb0="6002009F" w:csb1="DFD70000"/>
  </w:font>
  <w:font w:name="MingLiU">
    <w:panose1 w:val="02020309000000000000"/>
    <w:charset w:val="88"/>
    <w:family w:val="auto"/>
    <w:pitch w:val="default"/>
    <w:sig w:usb0="00000003" w:usb1="082E0000" w:usb2="00000016" w:usb3="00000000" w:csb0="00100001"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FC6345"/>
    <w:rsid w:val="046E56D3"/>
    <w:rsid w:val="065B5360"/>
    <w:rsid w:val="0CD70950"/>
    <w:rsid w:val="0E681731"/>
    <w:rsid w:val="0EAF3BDB"/>
    <w:rsid w:val="0F2A451E"/>
    <w:rsid w:val="0F902AAA"/>
    <w:rsid w:val="0FEE2D49"/>
    <w:rsid w:val="10712ABF"/>
    <w:rsid w:val="13995DA9"/>
    <w:rsid w:val="15941404"/>
    <w:rsid w:val="193B508E"/>
    <w:rsid w:val="1F1A4B66"/>
    <w:rsid w:val="1FB65DB1"/>
    <w:rsid w:val="238E494F"/>
    <w:rsid w:val="2A0B1F50"/>
    <w:rsid w:val="327630F0"/>
    <w:rsid w:val="36FC6345"/>
    <w:rsid w:val="37277507"/>
    <w:rsid w:val="375717D0"/>
    <w:rsid w:val="37B3359A"/>
    <w:rsid w:val="3B777157"/>
    <w:rsid w:val="3F022495"/>
    <w:rsid w:val="40EB4D37"/>
    <w:rsid w:val="425A6618"/>
    <w:rsid w:val="48684638"/>
    <w:rsid w:val="53B536AF"/>
    <w:rsid w:val="59E20868"/>
    <w:rsid w:val="5A9D4E9D"/>
    <w:rsid w:val="5BEC10CD"/>
    <w:rsid w:val="603816F1"/>
    <w:rsid w:val="60F42E7D"/>
    <w:rsid w:val="632750BB"/>
    <w:rsid w:val="638E4AC4"/>
    <w:rsid w:val="65AD192E"/>
    <w:rsid w:val="6E270F3A"/>
    <w:rsid w:val="70C1323B"/>
    <w:rsid w:val="71952CB5"/>
    <w:rsid w:val="73F04952"/>
    <w:rsid w:val="75AA38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rFonts w:eastAsia="仿宋"/>
      <w:bCs/>
      <w:kern w:val="44"/>
      <w:sz w:val="32"/>
      <w:szCs w:val="44"/>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qFormat/>
    <w:uiPriority w:val="0"/>
    <w:pPr>
      <w:spacing w:after="120"/>
    </w:pPr>
  </w:style>
  <w:style w:type="paragraph" w:styleId="5">
    <w:name w:val="footer"/>
    <w:basedOn w:val="1"/>
    <w:unhideWhenUsed/>
    <w:qFormat/>
    <w:uiPriority w:val="0"/>
    <w:pPr>
      <w:tabs>
        <w:tab w:val="center" w:pos="4153"/>
        <w:tab w:val="right" w:pos="8306"/>
      </w:tabs>
      <w:snapToGrid w:val="0"/>
      <w:jc w:val="left"/>
    </w:pPr>
    <w:rPr>
      <w:sz w:val="18"/>
    </w:rPr>
  </w:style>
  <w:style w:type="paragraph" w:styleId="6">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1353</Words>
  <Characters>1626</Characters>
  <Lines>0</Lines>
  <Paragraphs>0</Paragraphs>
  <TotalTime>14</TotalTime>
  <ScaleCrop>false</ScaleCrop>
  <LinksUpToDate>false</LinksUpToDate>
  <CharactersWithSpaces>1640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2025-05-29T07:36:00Z</dcterms:created>
  <dc:creator>时间灰烬</dc:creator>
  <cp:lastModifiedBy>黄翠红</cp:lastModifiedBy>
  <cp:lastPrinted>2025-06-10T03:21:00Z</cp:lastPrinted>
  <dcterms:modified xsi:type="dcterms:W3CDTF">2025-06-10T09:29:15Z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C14A7F046EF34ADF91760E208D2835B9_13</vt:lpwstr>
  </property>
  <property fmtid="{D5CDD505-2E9C-101B-9397-08002B2CF9AE}" pid="4" name="KSOTemplateDocerSaveRecord">
    <vt:lpwstr>eyJoZGlkIjoiMTkzN2RkZDJjMzNlYjk5NGFkODg1MDNkNTI0OTYxMjUiLCJ1c2VySWQiOiI0Mzc2ODA3NjgifQ==</vt:lpwstr>
  </property>
</Properties>
</file>