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30D123">
      <w:pPr>
        <w:tabs>
          <w:tab w:val="left" w:pos="180"/>
          <w:tab w:val="left" w:pos="1620"/>
        </w:tabs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 w14:paraId="1E9A4324">
      <w:pPr>
        <w:tabs>
          <w:tab w:val="left" w:pos="180"/>
          <w:tab w:val="left" w:pos="1620"/>
        </w:tabs>
        <w:jc w:val="center"/>
        <w:outlineLvl w:val="0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广西壮族自治区环境保护科学研究院</w:t>
      </w:r>
    </w:p>
    <w:p w14:paraId="301688AD">
      <w:pPr>
        <w:tabs>
          <w:tab w:val="left" w:pos="180"/>
          <w:tab w:val="left" w:pos="1620"/>
        </w:tabs>
        <w:jc w:val="center"/>
        <w:outlineLvl w:val="0"/>
        <w:rPr>
          <w:rFonts w:ascii="方正小标宋_GBK" w:hAnsi="方正小标宋_GBK" w:eastAsia="方正小标宋_GBK" w:cs="方正小标宋_GBK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202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年度实验室安全维护服务采购项目需求一览表</w:t>
      </w:r>
    </w:p>
    <w:tbl>
      <w:tblPr>
        <w:tblStyle w:val="12"/>
        <w:tblW w:w="997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079"/>
        <w:gridCol w:w="925"/>
        <w:gridCol w:w="725"/>
        <w:gridCol w:w="5621"/>
        <w:gridCol w:w="959"/>
      </w:tblGrid>
      <w:tr w14:paraId="01B9B6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99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549156">
            <w:pPr>
              <w:tabs>
                <w:tab w:val="left" w:pos="180"/>
                <w:tab w:val="left" w:pos="1620"/>
              </w:tabs>
              <w:jc w:val="lef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一、技术参数要求</w:t>
            </w:r>
          </w:p>
        </w:tc>
      </w:tr>
      <w:tr w14:paraId="7F5129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7DE853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序号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00DF1C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标的名称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7A7E74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数量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8C3D9F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单位</w:t>
            </w:r>
          </w:p>
        </w:tc>
        <w:tc>
          <w:tcPr>
            <w:tcW w:w="5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256FA9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技术要求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4D826E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单价上限（万元）</w:t>
            </w:r>
          </w:p>
        </w:tc>
      </w:tr>
      <w:tr w14:paraId="5B5E32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3" w:hRule="atLeast"/>
          <w:jc w:val="center"/>
        </w:trPr>
        <w:tc>
          <w:tcPr>
            <w:tcW w:w="6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D90BC5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1</w:t>
            </w:r>
          </w:p>
        </w:tc>
        <w:tc>
          <w:tcPr>
            <w:tcW w:w="10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873D70"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202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年度实验室安全维护服务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17E989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7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58BFEC"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eastAsia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项</w:t>
            </w:r>
          </w:p>
        </w:tc>
        <w:tc>
          <w:tcPr>
            <w:tcW w:w="5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AB46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cs="Times New Roman"/>
                <w:b/>
                <w:bCs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highlight w:val="none"/>
                <w:lang w:val="en-US" w:eastAsia="zh-CN"/>
              </w:rPr>
              <w:t>需求内容：</w:t>
            </w:r>
          </w:p>
          <w:p w14:paraId="712A37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服务单位需对我方实验室（1号楼后平房实验室、2号楼一二三六七层实验室及2号楼前污水处理设施）进行安全维护服务，具体内容及要求如下：</w:t>
            </w:r>
          </w:p>
          <w:p w14:paraId="0E7395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 xml:space="preserve">1、实验室内通风系统：每个月检查一次风机运行及管道老化情况，每半年为风机轴承做一次保养(不含机油）及变频系统的维护，按照损坏情况进行维修； </w:t>
            </w:r>
          </w:p>
          <w:p w14:paraId="3829B1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2、实验室内气路管道：每月进行1次常规检查，6个月内做一次管道及终端面板保压测试，检查气路终端仪器连接口气路及气阀的密闭性，按照损坏情况进行维修；</w:t>
            </w:r>
          </w:p>
          <w:p w14:paraId="66F3D7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3、实验室内台、柜：每个月检查一次实验家具使用情况，按照损坏情况进行维修，每个月检查一次试剂仓库试剂柜及货架的安全隐患，每年提供2次实验台柜拆装移动服务；</w:t>
            </w:r>
          </w:p>
          <w:p w14:paraId="3BBC4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4、实验室内通风柜：每个月检查一次控制面板及给排水系统，检查抽风管路，根据实际情况进行清洗，避免因酸化而造成管路腐蚀。根据每月检查情况，按照损坏情况进行维修；为保证通风柜的运行效果，参照JB/T 6412-1999, 7.1每年做一次流动显示试验测试（小烟雾）以及面风速测试，记录结果，有异常的通风柜提出维修方案并按照损坏情况进行维修。</w:t>
            </w:r>
          </w:p>
          <w:p w14:paraId="005B99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5、实验室内气瓶室安全监控：每月检查安全设备的有效性，保证安全设备的正常使用；</w:t>
            </w:r>
          </w:p>
          <w:p w14:paraId="22163E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6、实验室内电路：每个月对各个实验房间的电路检查一次，特别要关注增加仪器的房间电路承载能力的核查，排除用电安全隐患。结合每月检查情况，按照损坏情况进行维修；</w:t>
            </w:r>
          </w:p>
          <w:p w14:paraId="3A8EF4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7、实验室用电：每年进行一次实验室用电安全隐患检查；</w:t>
            </w:r>
          </w:p>
          <w:p w14:paraId="6E2DD8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8、实验室给排用水：每个月检查一次各实验房间用水、排水水管情况，按照损坏情况进行维修；</w:t>
            </w:r>
          </w:p>
          <w:p w14:paraId="3A330D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9、微生物室：每6个月检查一次空气过滤器使用情况；</w:t>
            </w:r>
          </w:p>
          <w:p w14:paraId="3B142D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10、平房实验室（含危废储存间等）：每个月检查一次实验室地面渗漏、通风等安全隐患；</w:t>
            </w:r>
          </w:p>
          <w:p w14:paraId="21FE5F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11、污水处理设施（含药剂所在仓库安全检查）：每个月检查一次污水处理设施电路、水管等设施安全隐患，每个月校准一次pH计、排放污泥沉淀池中的污泥并检查相关试剂是否有剩余，以便实验室人员及时更换试剂。</w:t>
            </w:r>
          </w:p>
          <w:p w14:paraId="71B5F1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12、实验室安全设施：气源室内气体检漏报警装置检查及维护；实验室洗眼器、淋浴装置使用状态定期检查维护。灭火器、消防砂、实验安装烟雾报警装置定期检查维护。</w:t>
            </w:r>
          </w:p>
          <w:p w14:paraId="01AFB3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13、小型仪器设备电路检查：每月检查一次小型仪器设备电路，包括赶酸仪、箱式电阻炉、数显恒温电沙浴、电热鼓风干燥箱、数显恒温水浴锅等共40台（套）小型仪器设备。</w:t>
            </w:r>
          </w:p>
          <w:p w14:paraId="1FDB20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highlight w:val="none"/>
                <w:lang w:val="en-US"/>
              </w:rPr>
            </w:pPr>
            <w:r>
              <w:rPr>
                <w:rFonts w:hint="default" w:ascii="Times New Roman" w:hAnsi="Times New Roman" w:cs="Times New Roman"/>
                <w:highlight w:val="none"/>
              </w:rPr>
              <w:t>▲</w:t>
            </w: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14、供应商需分别安排相应的、有相关工作经验或相关专业技术的人员对实验室电路、给排用水、气路、通风系统和通风柜等进行检查和日常维护。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51F288">
            <w:pPr>
              <w:tabs>
                <w:tab w:val="left" w:pos="180"/>
                <w:tab w:val="left" w:pos="1620"/>
              </w:tabs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6</w:t>
            </w:r>
          </w:p>
        </w:tc>
      </w:tr>
      <w:tr w14:paraId="539B01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997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436697">
            <w:pPr>
              <w:widowControl/>
              <w:adjustRightInd w:val="0"/>
              <w:snapToGrid w:val="0"/>
              <w:spacing w:line="300" w:lineRule="exact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二、商务要求</w:t>
            </w:r>
          </w:p>
        </w:tc>
      </w:tr>
      <w:tr w14:paraId="013A44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2149EF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合同签订时间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536B0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Cs/>
                <w:szCs w:val="21"/>
                <w:highlight w:val="none"/>
              </w:rPr>
              <w:t>自确定中标供应商之日起10日内。</w:t>
            </w:r>
          </w:p>
        </w:tc>
      </w:tr>
      <w:tr w14:paraId="56BB49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67C042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服务期限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F7146F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textAlignment w:val="auto"/>
              <w:rPr>
                <w:rFonts w:hint="default" w:ascii="Times New Roman" w:hAnsi="Times New Roman" w:cs="Times New Roman"/>
                <w:bCs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highlight w:val="none"/>
                <w:lang w:val="en-US" w:eastAsia="zh-CN"/>
              </w:rPr>
              <w:t>自合同签订之日起1年。</w:t>
            </w:r>
          </w:p>
        </w:tc>
      </w:tr>
      <w:tr w14:paraId="1D30FD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12271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报价要求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5513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  <w:t>1、本项目总报价不包含因实验室安全维护过程中维修产生的五金配件、实验室耗材、实验室气路配件、实验设备配件等费用。</w:t>
            </w:r>
          </w:p>
          <w:p w14:paraId="7135DC64">
            <w:pPr>
              <w:pStyle w:val="11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宋体" w:cs="Times New Roman"/>
                <w:kern w:val="0"/>
                <w:sz w:val="32"/>
                <w:szCs w:val="20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highlight w:val="none"/>
                <w:lang w:val="en-US" w:eastAsia="zh-CN" w:bidi="ar-SA"/>
              </w:rPr>
              <w:t>▲2、在服务期内，供应商在实验室安全维护维修过程中所需的五金配件、实验室耗材、实验室气路配件、实验设备配件等产品价格，必须不得高于市场价格，并经采购人确认签字后方可进行维修，完成维修后需采购人验收确认签字。</w:t>
            </w:r>
          </w:p>
        </w:tc>
      </w:tr>
      <w:tr w14:paraId="1C3C7A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0601E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地点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和方式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E479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地点：广西南宁市青秀区教育路5号，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采购人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指定实验室。</w:t>
            </w:r>
          </w:p>
          <w:p w14:paraId="764CE644">
            <w:pPr>
              <w:pStyle w:val="11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0" w:firstLineChars="0"/>
              <w:textAlignment w:val="auto"/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</w:pPr>
            <w:r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、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服务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方式：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上门服务或24小时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电话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  <w:t>技术咨询</w:t>
            </w:r>
            <w:r>
              <w:rPr>
                <w:rFonts w:hint="default" w:ascii="Times New Roman" w:hAnsi="Times New Roman" w:eastAsia="宋体" w:cs="Times New Roman"/>
                <w:sz w:val="21"/>
                <w:szCs w:val="21"/>
                <w:highlight w:val="none"/>
              </w:rPr>
              <w:t>。</w:t>
            </w:r>
          </w:p>
        </w:tc>
      </w:tr>
      <w:tr w14:paraId="6C30AE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B553A3">
            <w:pPr>
              <w:spacing w:line="360" w:lineRule="auto"/>
              <w:jc w:val="center"/>
              <w:rPr>
                <w:rFonts w:hint="eastAsia" w:ascii="Times New Roman" w:hAnsi="Times New Roman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服务交付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时间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3BE3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Times New Roman" w:hAnsi="Times New Roman" w:eastAsia="宋体" w:cs="Times New Roman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供应商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根据每月的检查情况提交1份月度实验室安全隐患报告（表），合同到期前15个工作日提交实验室安全隐患年度报告（表）。实验室安全隐患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年度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报告（表）内容</w:t>
            </w:r>
            <w:r>
              <w:rPr>
                <w:rFonts w:hint="eastAsia" w:cs="Times New Roman"/>
                <w:szCs w:val="21"/>
                <w:highlight w:val="none"/>
                <w:lang w:val="en-US" w:eastAsia="zh-CN"/>
              </w:rPr>
              <w:t>需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覆盖以上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技术要求中的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需求内容。</w:t>
            </w:r>
          </w:p>
        </w:tc>
      </w:tr>
      <w:tr w14:paraId="12CE06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529220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付款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方式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C69B02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自合同签订之日起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供应商向采购人交纳履约保证金后5个工作日内，采购人向供应商支付合同总金额的50%；</w:t>
            </w:r>
          </w:p>
          <w:p w14:paraId="1E7896AD"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2、供应商</w:t>
            </w:r>
            <w:r>
              <w:rPr>
                <w:rFonts w:hint="eastAsia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按要求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提交月度实验室安全隐患报告（表），完成两个季度的实验室安全维护服务后，采购人向供应商支付合同总金额的</w:t>
            </w: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50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%；</w:t>
            </w:r>
          </w:p>
          <w:p w14:paraId="06BD10A9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</w:pP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在服务期内，供应商在实验室安全维护维修过程中所需的五金配件、实验室耗材、实验室气路配件、实验设备配件等产品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相应的维修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款项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采购人按季度结算给供应商。</w:t>
            </w:r>
          </w:p>
          <w:p w14:paraId="582EE18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bCs/>
                <w:color w:val="auto"/>
                <w:szCs w:val="21"/>
                <w:highlight w:val="none"/>
              </w:rPr>
            </w:pP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、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</w:rPr>
              <w:t>每次结算前，供应商应出具请款函、维修单据及相应款项的合法发票。</w:t>
            </w:r>
          </w:p>
        </w:tc>
      </w:tr>
      <w:tr w14:paraId="17B01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92CC29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履约保证金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BA815A"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自合同签订之日起5个工作日内，供应商向采购人交纳</w:t>
            </w:r>
            <w:r>
              <w:rPr>
                <w:rFonts w:hint="default" w:ascii="Times New Roman" w:hAnsi="Times New Roman" w:cs="Times New Roman"/>
                <w:color w:val="auto"/>
                <w:szCs w:val="21"/>
                <w:highlight w:val="none"/>
                <w:lang w:val="en-US" w:eastAsia="zh-CN"/>
              </w:rPr>
              <w:t>合同总金额</w:t>
            </w:r>
            <w:r>
              <w:rPr>
                <w:rFonts w:hint="eastAsia" w:cs="Times New Roman"/>
                <w:color w:val="auto"/>
                <w:szCs w:val="21"/>
                <w:highlight w:val="none"/>
                <w:lang w:val="en-US" w:eastAsia="zh-CN"/>
              </w:rPr>
              <w:t>的</w:t>
            </w:r>
            <w:r>
              <w:rPr>
                <w:rFonts w:hint="eastAsia" w:cs="Times New Roman"/>
                <w:color w:val="auto"/>
                <w:lang w:val="en-US" w:eastAsia="zh-CN"/>
              </w:rPr>
              <w:t>5%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作为履约保证金。</w:t>
            </w:r>
          </w:p>
          <w:p w14:paraId="2921A0E9">
            <w:pPr>
              <w:pStyle w:val="2"/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cs="Times New Roman"/>
                <w:color w:val="auto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履约保证金退付方式、时间及条件：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项目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经采购人总体验收确认后，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/>
              </w:rPr>
              <w:t>由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供应商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/>
              </w:rPr>
              <w:t>提供《履约保证金退付意见书》，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 w:eastAsia="zh-CN"/>
              </w:rPr>
              <w:t>采购人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val="en-US"/>
              </w:rPr>
              <w:t>在收到合格材</w:t>
            </w:r>
            <w:r>
              <w:rPr>
                <w:rFonts w:hint="default" w:ascii="Times New Roman" w:hAnsi="Times New Roman" w:cs="Times New Roman"/>
                <w:color w:val="auto"/>
                <w:lang w:val="en-US"/>
              </w:rPr>
              <w:t>料后五个工作日内办理退还手续（不计利息）</w:t>
            </w:r>
          </w:p>
        </w:tc>
      </w:tr>
      <w:tr w14:paraId="2F3A2B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C1E75B">
            <w:pPr>
              <w:spacing w:line="360" w:lineRule="auto"/>
              <w:jc w:val="center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其他要求</w:t>
            </w:r>
          </w:p>
        </w:tc>
        <w:tc>
          <w:tcPr>
            <w:tcW w:w="82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6528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highlight w:val="none"/>
              </w:rPr>
              <w:t>▲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供应商需具备水电工程师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并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持证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上岗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，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报价材料需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</w:rPr>
              <w:t>提供</w:t>
            </w:r>
            <w:bookmarkStart w:id="0" w:name="_GoBack"/>
            <w:r>
              <w:rPr>
                <w:rFonts w:hint="eastAsia" w:cs="Times New Roman"/>
                <w:szCs w:val="21"/>
                <w:highlight w:val="none"/>
                <w:lang w:eastAsia="zh-CN"/>
              </w:rPr>
              <w:t>相关</w:t>
            </w:r>
            <w:bookmarkEnd w:id="0"/>
            <w:r>
              <w:rPr>
                <w:rFonts w:hint="default" w:ascii="Times New Roman" w:hAnsi="Times New Roman" w:cs="Times New Roman"/>
                <w:szCs w:val="21"/>
                <w:highlight w:val="none"/>
                <w:lang w:val="en-US" w:eastAsia="zh-CN"/>
              </w:rPr>
              <w:t>电工证等相关佐证材料</w:t>
            </w:r>
            <w:r>
              <w:rPr>
                <w:rFonts w:hint="default" w:ascii="Times New Roman" w:hAnsi="Times New Roman" w:cs="Times New Roman"/>
                <w:szCs w:val="21"/>
                <w:highlight w:val="none"/>
                <w:lang w:eastAsia="zh-CN"/>
              </w:rPr>
              <w:t>。</w:t>
            </w:r>
          </w:p>
        </w:tc>
      </w:tr>
    </w:tbl>
    <w:p w14:paraId="651B64F2"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DB3002C-34A5-4B51-AA35-05EE3FAE5484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兰亭细黑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F9F212A7-71A3-49D1-BC39-E9D6EBAEE271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85C151">
    <w:pPr>
      <w:pStyle w:val="9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CDDE79">
                          <w:pPr>
                            <w:pStyle w:val="9"/>
                            <w:rPr>
                              <w:sz w:val="24"/>
                              <w:szCs w:val="40"/>
                            </w:rPr>
                          </w:pPr>
                          <w:r>
                            <w:rPr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40"/>
                            </w:rPr>
                            <w:t>- 3 -</w:t>
                          </w:r>
                          <w:r>
                            <w:rPr>
                              <w:sz w:val="24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CCDDE79">
                    <w:pPr>
                      <w:pStyle w:val="9"/>
                      <w:rPr>
                        <w:sz w:val="24"/>
                        <w:szCs w:val="40"/>
                      </w:rPr>
                    </w:pPr>
                    <w:r>
                      <w:rPr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sz w:val="24"/>
                        <w:szCs w:val="40"/>
                      </w:rPr>
                      <w:t>- 3 -</w:t>
                    </w:r>
                    <w:r>
                      <w:rPr>
                        <w:sz w:val="24"/>
                        <w:szCs w:val="4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FA9A2E"/>
    <w:multiLevelType w:val="singleLevel"/>
    <w:tmpl w:val="4AFA9A2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N2EzOTIwNTFkMWRjYjlhM2M2MjEwMTAzOTAyMTAifQ=="/>
  </w:docVars>
  <w:rsids>
    <w:rsidRoot w:val="651A07C7"/>
    <w:rsid w:val="00175848"/>
    <w:rsid w:val="00191C7E"/>
    <w:rsid w:val="003E6A3B"/>
    <w:rsid w:val="004369DE"/>
    <w:rsid w:val="008C7283"/>
    <w:rsid w:val="00A41232"/>
    <w:rsid w:val="00AC5D44"/>
    <w:rsid w:val="00AD62AE"/>
    <w:rsid w:val="00B77ADD"/>
    <w:rsid w:val="00CA0568"/>
    <w:rsid w:val="00D6119A"/>
    <w:rsid w:val="00FC0288"/>
    <w:rsid w:val="02087A0A"/>
    <w:rsid w:val="0212757E"/>
    <w:rsid w:val="048A280E"/>
    <w:rsid w:val="062C2FA9"/>
    <w:rsid w:val="082012E8"/>
    <w:rsid w:val="08443B2B"/>
    <w:rsid w:val="0B0F511E"/>
    <w:rsid w:val="0B632AA5"/>
    <w:rsid w:val="0DFB6E2C"/>
    <w:rsid w:val="10D62CC9"/>
    <w:rsid w:val="11FD6CEE"/>
    <w:rsid w:val="139F6867"/>
    <w:rsid w:val="15D307F3"/>
    <w:rsid w:val="1841431E"/>
    <w:rsid w:val="18F75CA2"/>
    <w:rsid w:val="199A4C93"/>
    <w:rsid w:val="1B032986"/>
    <w:rsid w:val="1D260E84"/>
    <w:rsid w:val="21443E80"/>
    <w:rsid w:val="2233666D"/>
    <w:rsid w:val="25E5134E"/>
    <w:rsid w:val="26222E1C"/>
    <w:rsid w:val="27353875"/>
    <w:rsid w:val="29244A0A"/>
    <w:rsid w:val="2A69198E"/>
    <w:rsid w:val="32995E92"/>
    <w:rsid w:val="341B48E5"/>
    <w:rsid w:val="34752472"/>
    <w:rsid w:val="34D815C9"/>
    <w:rsid w:val="36AE4300"/>
    <w:rsid w:val="39AA6C7F"/>
    <w:rsid w:val="39C63606"/>
    <w:rsid w:val="39F363B5"/>
    <w:rsid w:val="3C6D6B03"/>
    <w:rsid w:val="3D2D1D5A"/>
    <w:rsid w:val="3E0D6516"/>
    <w:rsid w:val="3E1259F4"/>
    <w:rsid w:val="3ECE7CBE"/>
    <w:rsid w:val="452E0CAB"/>
    <w:rsid w:val="47083F45"/>
    <w:rsid w:val="48784092"/>
    <w:rsid w:val="48876A39"/>
    <w:rsid w:val="489C1E00"/>
    <w:rsid w:val="48B05687"/>
    <w:rsid w:val="4B1C3505"/>
    <w:rsid w:val="4B791D36"/>
    <w:rsid w:val="4DA5200C"/>
    <w:rsid w:val="52B31633"/>
    <w:rsid w:val="531F622D"/>
    <w:rsid w:val="54806497"/>
    <w:rsid w:val="553B23A8"/>
    <w:rsid w:val="55927D70"/>
    <w:rsid w:val="55B73E73"/>
    <w:rsid w:val="572212AC"/>
    <w:rsid w:val="58AB0880"/>
    <w:rsid w:val="59F51BE0"/>
    <w:rsid w:val="5A03390F"/>
    <w:rsid w:val="5A4A4C91"/>
    <w:rsid w:val="5EA71366"/>
    <w:rsid w:val="5F1B7BA2"/>
    <w:rsid w:val="5F1F1A0B"/>
    <w:rsid w:val="62207BF1"/>
    <w:rsid w:val="625C206D"/>
    <w:rsid w:val="62DF30F7"/>
    <w:rsid w:val="651A07C7"/>
    <w:rsid w:val="652F332F"/>
    <w:rsid w:val="657B5FA9"/>
    <w:rsid w:val="666535E8"/>
    <w:rsid w:val="674203CB"/>
    <w:rsid w:val="6AAC464D"/>
    <w:rsid w:val="6DD67171"/>
    <w:rsid w:val="6F0F5B2D"/>
    <w:rsid w:val="70912C2C"/>
    <w:rsid w:val="735C39C4"/>
    <w:rsid w:val="73D81F62"/>
    <w:rsid w:val="74881F4C"/>
    <w:rsid w:val="78224F4F"/>
    <w:rsid w:val="784563FF"/>
    <w:rsid w:val="7A5C0CB3"/>
    <w:rsid w:val="7E8B2623"/>
    <w:rsid w:val="7ED2777D"/>
    <w:rsid w:val="7FB24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Normal Indent"/>
    <w:basedOn w:val="1"/>
    <w:qFormat/>
    <w:uiPriority w:val="99"/>
    <w:pPr>
      <w:ind w:firstLine="420"/>
    </w:pPr>
    <w:rPr>
      <w:szCs w:val="20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Body Text"/>
    <w:basedOn w:val="1"/>
    <w:next w:val="6"/>
    <w:link w:val="16"/>
    <w:qFormat/>
    <w:uiPriority w:val="99"/>
    <w:pPr>
      <w:spacing w:after="120"/>
    </w:pPr>
    <w:rPr>
      <w:rFonts w:asciiTheme="minorHAnsi" w:hAnsiTheme="minorHAnsi" w:eastAsiaTheme="minorEastAsia" w:cstheme="minorBidi"/>
    </w:rPr>
  </w:style>
  <w:style w:type="paragraph" w:customStyle="1" w:styleId="6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styleId="7">
    <w:name w:val="Body Text Indent"/>
    <w:basedOn w:val="1"/>
    <w:qFormat/>
    <w:uiPriority w:val="0"/>
    <w:pPr>
      <w:ind w:firstLine="830" w:firstLineChars="352"/>
    </w:pPr>
    <w:rPr>
      <w:rFonts w:ascii="仿宋_GB2312" w:eastAsia="仿宋_GB2312"/>
      <w:kern w:val="0"/>
      <w:sz w:val="32"/>
      <w:szCs w:val="20"/>
    </w:rPr>
  </w:style>
  <w:style w:type="paragraph" w:styleId="8">
    <w:name w:val="index 4"/>
    <w:basedOn w:val="1"/>
    <w:next w:val="1"/>
    <w:unhideWhenUsed/>
    <w:qFormat/>
    <w:uiPriority w:val="99"/>
    <w:pPr>
      <w:ind w:left="600" w:leftChars="600"/>
    </w:p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Body Text First Indent 2"/>
    <w:basedOn w:val="7"/>
    <w:qFormat/>
    <w:uiPriority w:val="0"/>
    <w:pPr>
      <w:tabs>
        <w:tab w:val="left" w:pos="0"/>
        <w:tab w:val="left" w:pos="993"/>
        <w:tab w:val="left" w:pos="1134"/>
      </w:tabs>
      <w:ind w:firstLine="420" w:firstLineChars="200"/>
    </w:pPr>
  </w:style>
  <w:style w:type="table" w:styleId="13">
    <w:name w:val="Table Grid"/>
    <w:basedOn w:val="1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Hyperlink"/>
    <w:basedOn w:val="14"/>
    <w:unhideWhenUsed/>
    <w:qFormat/>
    <w:uiPriority w:val="99"/>
    <w:rPr>
      <w:color w:val="0000FF"/>
      <w:u w:val="single"/>
    </w:rPr>
  </w:style>
  <w:style w:type="character" w:customStyle="1" w:styleId="16">
    <w:name w:val="正文文本 Char"/>
    <w:basedOn w:val="14"/>
    <w:link w:val="5"/>
    <w:qFormat/>
    <w:uiPriority w:val="99"/>
    <w:rPr>
      <w:rFonts w:asciiTheme="minorHAnsi" w:hAnsiTheme="minorHAnsi" w:eastAsiaTheme="minorEastAsia" w:cstheme="minorBidi"/>
      <w:kern w:val="2"/>
      <w:sz w:val="21"/>
      <w:szCs w:val="24"/>
    </w:rPr>
  </w:style>
  <w:style w:type="paragraph" w:styleId="17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</w:rPr>
  </w:style>
  <w:style w:type="paragraph" w:customStyle="1" w:styleId="18">
    <w:name w:val="[基本段落]"/>
    <w:basedOn w:val="1"/>
    <w:qFormat/>
    <w:uiPriority w:val="99"/>
    <w:pPr>
      <w:autoSpaceDE w:val="0"/>
      <w:autoSpaceDN w:val="0"/>
      <w:adjustRightInd w:val="0"/>
      <w:spacing w:line="288" w:lineRule="auto"/>
      <w:textAlignment w:val="center"/>
    </w:pPr>
    <w:rPr>
      <w:rFonts w:ascii="方正兰亭细黑简体" w:eastAsia="方正兰亭细黑简体" w:hAnsiTheme="minorHAnsi" w:cstheme="minorBidi"/>
      <w:color w:val="000000"/>
      <w:kern w:val="0"/>
      <w:sz w:val="24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1836</Words>
  <Characters>1873</Characters>
  <Lines>30</Lines>
  <Paragraphs>8</Paragraphs>
  <TotalTime>5</TotalTime>
  <ScaleCrop>false</ScaleCrop>
  <LinksUpToDate>false</LinksUpToDate>
  <CharactersWithSpaces>1876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2024-05-20T02:11:00Z</dcterms:created>
  <dc:creator>王斌</dc:creator>
  <cp:lastModifiedBy></cp:lastModifiedBy>
  <dcterms:modified xsi:type="dcterms:W3CDTF">2025-06-11T01:27:54Z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85EB62916F934CB193B3D83D97D6E3FA_13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