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EEE865">
      <w:pPr>
        <w:pStyle w:val="12"/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附件2</w:t>
      </w:r>
    </w:p>
    <w:p w14:paraId="173BC35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000000"/>
          <w:sz w:val="44"/>
          <w:szCs w:val="44"/>
          <w:highlight w:val="none"/>
        </w:rPr>
      </w:pP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  <w:highlight w:val="none"/>
        </w:rPr>
        <w:t>广西壮族自治区环境保护科学研究院</w:t>
      </w:r>
    </w:p>
    <w:p w14:paraId="5ACFCB9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202</w:t>
      </w:r>
      <w:r>
        <w:rPr>
          <w:rFonts w:hint="eastAsia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val="en-US" w:eastAsia="zh-CN"/>
        </w:rPr>
        <w:t>5</w:t>
      </w:r>
      <w:r>
        <w:rPr>
          <w:rFonts w:hint="eastAsia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年度实验室安全维护服务采购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  <w:t>需求响应表</w:t>
      </w:r>
    </w:p>
    <w:p w14:paraId="167CE8EF">
      <w:pPr>
        <w:pStyle w:val="8"/>
        <w:spacing w:line="240" w:lineRule="auto"/>
        <w:rPr>
          <w:rFonts w:hint="default" w:ascii="Times New Roman" w:hAnsi="Times New Roman" w:cs="Times New Roman"/>
          <w:highlight w:val="none"/>
        </w:rPr>
      </w:pPr>
    </w:p>
    <w:p w14:paraId="2EAD91E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right="600"/>
        <w:jc w:val="right"/>
        <w:textAlignment w:val="auto"/>
        <w:rPr>
          <w:rFonts w:hint="default" w:ascii="Times New Roman" w:hAnsi="Times New Roman" w:eastAsia="仿宋" w:cs="Times New Roman"/>
          <w:color w:val="000000"/>
          <w:sz w:val="30"/>
          <w:szCs w:val="30"/>
          <w:highlight w:val="none"/>
        </w:rPr>
      </w:pPr>
      <w:r>
        <w:rPr>
          <w:rFonts w:hint="default" w:ascii="Times New Roman" w:hAnsi="Times New Roman" w:eastAsia="仿宋" w:cs="Times New Roman"/>
          <w:color w:val="000000"/>
          <w:sz w:val="30"/>
          <w:szCs w:val="30"/>
          <w:highlight w:val="none"/>
        </w:rPr>
        <w:t>时间：   年   月   日</w:t>
      </w:r>
    </w:p>
    <w:tbl>
      <w:tblPr>
        <w:tblStyle w:val="9"/>
        <w:tblW w:w="15282" w:type="dxa"/>
        <w:tblInd w:w="-57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1049"/>
        <w:gridCol w:w="5525"/>
        <w:gridCol w:w="806"/>
        <w:gridCol w:w="1035"/>
        <w:gridCol w:w="4588"/>
        <w:gridCol w:w="1418"/>
      </w:tblGrid>
      <w:tr w14:paraId="512025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35" w:type="dxa"/>
            <w:gridSpan w:val="3"/>
            <w:vAlign w:val="center"/>
          </w:tcPr>
          <w:p w14:paraId="184770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服务要求</w:t>
            </w:r>
          </w:p>
        </w:tc>
        <w:tc>
          <w:tcPr>
            <w:tcW w:w="6429" w:type="dxa"/>
            <w:gridSpan w:val="3"/>
            <w:vAlign w:val="center"/>
          </w:tcPr>
          <w:p w14:paraId="61EE58F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需求</w:t>
            </w: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  <w:lang w:val="en-US" w:eastAsia="zh-CN"/>
              </w:rPr>
              <w:t>响应</w:t>
            </w:r>
          </w:p>
        </w:tc>
        <w:tc>
          <w:tcPr>
            <w:tcW w:w="1418" w:type="dxa"/>
            <w:vMerge w:val="restart"/>
            <w:vAlign w:val="center"/>
          </w:tcPr>
          <w:p w14:paraId="5F9BE7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偏离情况</w:t>
            </w:r>
          </w:p>
        </w:tc>
      </w:tr>
      <w:tr w14:paraId="6EAE1B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861" w:type="dxa"/>
            <w:vAlign w:val="center"/>
          </w:tcPr>
          <w:p w14:paraId="4ED7060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1049" w:type="dxa"/>
            <w:vAlign w:val="center"/>
          </w:tcPr>
          <w:p w14:paraId="63A904B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项目名称</w:t>
            </w:r>
          </w:p>
        </w:tc>
        <w:tc>
          <w:tcPr>
            <w:tcW w:w="5525" w:type="dxa"/>
            <w:vAlign w:val="center"/>
          </w:tcPr>
          <w:p w14:paraId="1A003B9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要求</w:t>
            </w:r>
          </w:p>
        </w:tc>
        <w:tc>
          <w:tcPr>
            <w:tcW w:w="806" w:type="dxa"/>
            <w:vAlign w:val="center"/>
          </w:tcPr>
          <w:p w14:paraId="779BDE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1035" w:type="dxa"/>
            <w:vAlign w:val="center"/>
          </w:tcPr>
          <w:p w14:paraId="794585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项目名称</w:t>
            </w:r>
          </w:p>
        </w:tc>
        <w:tc>
          <w:tcPr>
            <w:tcW w:w="4588" w:type="dxa"/>
            <w:vAlign w:val="center"/>
          </w:tcPr>
          <w:p w14:paraId="57D7A3F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要求</w:t>
            </w:r>
          </w:p>
        </w:tc>
        <w:tc>
          <w:tcPr>
            <w:tcW w:w="1418" w:type="dxa"/>
            <w:vMerge w:val="continue"/>
            <w:vAlign w:val="top"/>
          </w:tcPr>
          <w:p w14:paraId="2F89AE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</w:p>
        </w:tc>
      </w:tr>
      <w:tr w14:paraId="72E25E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9" w:hRule="atLeast"/>
        </w:trPr>
        <w:tc>
          <w:tcPr>
            <w:tcW w:w="861" w:type="dxa"/>
            <w:vAlign w:val="center"/>
          </w:tcPr>
          <w:p w14:paraId="4EB7FB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  <w:bookmarkStart w:id="0" w:name="_Toc21945"/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</w:rPr>
              <w:t>1</w:t>
            </w:r>
            <w:bookmarkEnd w:id="0"/>
          </w:p>
        </w:tc>
        <w:tc>
          <w:tcPr>
            <w:tcW w:w="1049" w:type="dxa"/>
            <w:vAlign w:val="center"/>
          </w:tcPr>
          <w:p w14:paraId="63313B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202</w:t>
            </w:r>
            <w:r>
              <w:rPr>
                <w:rFonts w:hint="eastAsia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年度实验室安全维护服务</w:t>
            </w:r>
          </w:p>
        </w:tc>
        <w:tc>
          <w:tcPr>
            <w:tcW w:w="5525" w:type="dxa"/>
            <w:vAlign w:val="center"/>
          </w:tcPr>
          <w:p w14:paraId="5C7166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Times New Roman" w:hAnsi="Times New Roman" w:cs="Times New Roman"/>
                <w:b/>
                <w:bCs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Cs w:val="22"/>
                <w:lang w:val="en-US" w:eastAsia="zh-CN"/>
              </w:rPr>
              <w:t>需求内容</w:t>
            </w:r>
            <w:r>
              <w:rPr>
                <w:rFonts w:hint="eastAsia" w:cs="Times New Roman"/>
                <w:b/>
                <w:bCs/>
                <w:szCs w:val="22"/>
                <w:lang w:val="en-US" w:eastAsia="zh-CN"/>
              </w:rPr>
              <w:t>：</w:t>
            </w:r>
          </w:p>
          <w:p w14:paraId="0A4E43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2"/>
                <w:lang w:val="en-US" w:eastAsia="zh-CN"/>
              </w:rPr>
              <w:t>服务单位需对我方实验室（1号楼后平房实验室、2号楼一二三六七层实验室及2号楼前污水处理设施）进行安全维护服务，具体内容及要求如下：</w:t>
            </w:r>
          </w:p>
          <w:p w14:paraId="30FBE0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2"/>
                <w:lang w:val="en-US" w:eastAsia="zh-CN"/>
              </w:rPr>
              <w:t xml:space="preserve">1、实验室内通风系统：每个月检查一次风机运行及管道老化情况，每半年为风机轴承做一次保养(不含机油）及变频系统的维护，按照损坏情况进行维修； </w:t>
            </w:r>
          </w:p>
          <w:p w14:paraId="134CFC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2"/>
                <w:lang w:val="en-US" w:eastAsia="zh-CN"/>
              </w:rPr>
              <w:t>2、实验室内气路管道：每月进行1次常规检查，6个月内做一次管道及终端面板保压测试，检查气路终端仪器连接口气路及气阀的密闭性，按照损坏情况进行维修；</w:t>
            </w:r>
          </w:p>
          <w:p w14:paraId="033B13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2"/>
                <w:lang w:val="en-US" w:eastAsia="zh-CN"/>
              </w:rPr>
              <w:t>3、实验室内台、柜：每个月检查一次实验家具使用情况，按照损坏情况进行维修，每个月检查一次试剂仓库试剂柜及货架的安全隐患，每年提供2次实验台柜拆装移动服务；</w:t>
            </w:r>
          </w:p>
          <w:p w14:paraId="6CFAB3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2"/>
                <w:lang w:val="en-US" w:eastAsia="zh-CN"/>
              </w:rPr>
              <w:t>4、实验室内通风柜：每个月检查一次控制面板及给排水系统，检查抽风管路，根据实际情况进行清洗，避免因酸化而造成管路腐蚀。根据每月检查情况，按照损坏情况进行维修；为保证通风柜的运行效果，参照JB/T 6412-1999, 7.1每年做一次流动显示试验测试（小烟雾）以及面风速测试，记录结果，有异常的通风柜提出维修方案并按照损坏情况进行维修。</w:t>
            </w:r>
          </w:p>
          <w:p w14:paraId="616823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2"/>
                <w:lang w:val="en-US" w:eastAsia="zh-CN"/>
              </w:rPr>
              <w:t>5、实验室内气瓶室安全监控：每月检查安全设备的有效性，保证安全设备的正常使用；</w:t>
            </w:r>
          </w:p>
          <w:p w14:paraId="0B53C3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2"/>
                <w:lang w:val="en-US" w:eastAsia="zh-CN"/>
              </w:rPr>
              <w:t>6、实验室内电路：每个月对各个实验房间的电路检查一次，特别要关注增加仪器的房间电路承载能力的核查，排除用电安全隐患。结合每月检查情况，按照损坏情况进行维修；</w:t>
            </w:r>
          </w:p>
          <w:p w14:paraId="42A8A3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2"/>
                <w:lang w:val="en-US" w:eastAsia="zh-CN"/>
              </w:rPr>
              <w:t>7、实验室用电：每年进行一次实验室用电安全隐患检查；</w:t>
            </w:r>
          </w:p>
          <w:p w14:paraId="1C1AE2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2"/>
                <w:lang w:val="en-US" w:eastAsia="zh-CN"/>
              </w:rPr>
              <w:t>8、实验室给排用水：每个月检查一次各实验房间用水、排水水管情况，按照损坏情况进行维修；</w:t>
            </w:r>
          </w:p>
          <w:p w14:paraId="239203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2"/>
                <w:lang w:val="en-US" w:eastAsia="zh-CN"/>
              </w:rPr>
              <w:t>9、微生物室：每6个月检查一次空气过滤器使用情况；</w:t>
            </w:r>
          </w:p>
          <w:p w14:paraId="092639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2"/>
                <w:lang w:val="en-US" w:eastAsia="zh-CN"/>
              </w:rPr>
              <w:t>10、平房实验室（含危废储存间等）：每个月检查一次实验室地面渗漏、通风等安全隐患；</w:t>
            </w:r>
          </w:p>
          <w:p w14:paraId="0FB256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2"/>
                <w:lang w:val="en-US" w:eastAsia="zh-CN"/>
              </w:rPr>
              <w:t>11、污水处理设施（含药剂所在仓库安全检查）：每个月检查一次污水处理设施电路、水管等设施安全隐患，每个月校准一次pH计、排放污泥沉淀池中的污泥并检查相关试剂是否有剩余，以便实验室人员及时更换试剂。</w:t>
            </w:r>
          </w:p>
          <w:p w14:paraId="076409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2"/>
                <w:lang w:val="en-US" w:eastAsia="zh-CN"/>
              </w:rPr>
              <w:t>12、实验室安全设施：气源室内气体检漏报警装置检查及维护；实验室洗眼器、淋浴装置使用状态定期检查维护。灭火器、消防砂、实验安装烟雾报警装置定期检查维护。</w:t>
            </w:r>
          </w:p>
          <w:p w14:paraId="748E77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2"/>
                <w:lang w:val="en-US" w:eastAsia="zh-CN"/>
              </w:rPr>
              <w:t>13、小型仪器设备电路检查：每月检查一次小型仪器设备电路，包括赶酸仪、箱式电阻炉、数显恒温电沙浴、电热鼓风干燥箱、数显恒温水浴锅等共40台（套）小型仪器设备。</w:t>
            </w:r>
          </w:p>
          <w:p w14:paraId="5A1F25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Cs w:val="22"/>
                <w:lang w:val="en-US" w:eastAsia="zh-CN"/>
              </w:rPr>
              <w:t>▲14、供应商需分别安排相应的、有相关工作经验或相关专业技术的人员对实验室电路、给排用水、气路、通风系统和通风柜等进行检查和日常维护。</w:t>
            </w:r>
          </w:p>
        </w:tc>
        <w:tc>
          <w:tcPr>
            <w:tcW w:w="806" w:type="dxa"/>
            <w:vAlign w:val="top"/>
          </w:tcPr>
          <w:p w14:paraId="6BB3B9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035" w:type="dxa"/>
            <w:vAlign w:val="top"/>
          </w:tcPr>
          <w:p w14:paraId="6AE24F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4588" w:type="dxa"/>
            <w:vAlign w:val="top"/>
          </w:tcPr>
          <w:p w14:paraId="659D87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</w:p>
        </w:tc>
        <w:tc>
          <w:tcPr>
            <w:tcW w:w="1418" w:type="dxa"/>
            <w:vAlign w:val="top"/>
          </w:tcPr>
          <w:p w14:paraId="266AC3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6FB457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861" w:type="dxa"/>
            <w:vAlign w:val="center"/>
          </w:tcPr>
          <w:p w14:paraId="107903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eastAsia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2</w:t>
            </w:r>
          </w:p>
        </w:tc>
        <w:tc>
          <w:tcPr>
            <w:tcW w:w="1049" w:type="dxa"/>
            <w:vAlign w:val="center"/>
          </w:tcPr>
          <w:p w14:paraId="7B86FC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合同签订时间</w:t>
            </w:r>
          </w:p>
        </w:tc>
        <w:tc>
          <w:tcPr>
            <w:tcW w:w="5525" w:type="dxa"/>
            <w:vAlign w:val="center"/>
          </w:tcPr>
          <w:p w14:paraId="34DCD3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both"/>
              <w:textAlignment w:val="auto"/>
              <w:rPr>
                <w:rFonts w:hint="default" w:ascii="Times New Roman" w:hAnsi="Times New Roman" w:cs="Times New Roman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2"/>
                <w:lang w:val="en-US" w:eastAsia="zh-CN"/>
              </w:rPr>
              <w:t>自确定中标供应商之日起10日内。</w:t>
            </w:r>
          </w:p>
        </w:tc>
        <w:tc>
          <w:tcPr>
            <w:tcW w:w="806" w:type="dxa"/>
            <w:vAlign w:val="top"/>
          </w:tcPr>
          <w:p w14:paraId="0EF1E1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035" w:type="dxa"/>
            <w:vAlign w:val="top"/>
          </w:tcPr>
          <w:p w14:paraId="082ED0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4588" w:type="dxa"/>
            <w:vAlign w:val="top"/>
          </w:tcPr>
          <w:p w14:paraId="7EE620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</w:p>
        </w:tc>
        <w:tc>
          <w:tcPr>
            <w:tcW w:w="1418" w:type="dxa"/>
            <w:vAlign w:val="top"/>
          </w:tcPr>
          <w:p w14:paraId="1BAE26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11F483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861" w:type="dxa"/>
            <w:vAlign w:val="center"/>
          </w:tcPr>
          <w:p w14:paraId="32648D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3</w:t>
            </w:r>
          </w:p>
        </w:tc>
        <w:tc>
          <w:tcPr>
            <w:tcW w:w="1049" w:type="dxa"/>
            <w:vAlign w:val="center"/>
          </w:tcPr>
          <w:p w14:paraId="085908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服务期限</w:t>
            </w:r>
          </w:p>
        </w:tc>
        <w:tc>
          <w:tcPr>
            <w:tcW w:w="5525" w:type="dxa"/>
            <w:vAlign w:val="center"/>
          </w:tcPr>
          <w:p w14:paraId="1A6292ED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textAlignment w:val="auto"/>
              <w:rPr>
                <w:rFonts w:hint="default" w:ascii="Times New Roman" w:hAnsi="Times New Roman" w:eastAsia="宋体" w:cs="Times New Roman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自合同签订之日起1年。</w:t>
            </w:r>
          </w:p>
        </w:tc>
        <w:tc>
          <w:tcPr>
            <w:tcW w:w="806" w:type="dxa"/>
            <w:vAlign w:val="top"/>
          </w:tcPr>
          <w:p w14:paraId="7BA0A4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035" w:type="dxa"/>
            <w:vAlign w:val="top"/>
          </w:tcPr>
          <w:p w14:paraId="4F2F93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4588" w:type="dxa"/>
            <w:vAlign w:val="top"/>
          </w:tcPr>
          <w:p w14:paraId="2EF8AD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</w:p>
        </w:tc>
        <w:tc>
          <w:tcPr>
            <w:tcW w:w="1418" w:type="dxa"/>
            <w:vAlign w:val="top"/>
          </w:tcPr>
          <w:p w14:paraId="656547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1F0140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</w:trPr>
        <w:tc>
          <w:tcPr>
            <w:tcW w:w="861" w:type="dxa"/>
            <w:vAlign w:val="center"/>
          </w:tcPr>
          <w:p w14:paraId="3C53B6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eastAsia" w:ascii="Times New Roman" w:hAnsi="Times New Roman" w:eastAsia="方正黑体_GBK" w:cs="Times New Roman"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bookmarkStart w:id="1" w:name="_Toc5015"/>
            <w:r>
              <w:rPr>
                <w:rFonts w:hint="eastAsia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4</w:t>
            </w:r>
          </w:p>
        </w:tc>
        <w:tc>
          <w:tcPr>
            <w:tcW w:w="1049" w:type="dxa"/>
            <w:vAlign w:val="center"/>
          </w:tcPr>
          <w:p w14:paraId="47171F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报价要求</w:t>
            </w:r>
          </w:p>
        </w:tc>
        <w:tc>
          <w:tcPr>
            <w:tcW w:w="5525" w:type="dxa"/>
            <w:vAlign w:val="center"/>
          </w:tcPr>
          <w:p w14:paraId="1DE621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1、</w:t>
            </w:r>
            <w:r>
              <w:rPr>
                <w:rFonts w:hint="eastAsia" w:ascii="宋体" w:hAnsi="宋体" w:cs="宋体"/>
                <w:szCs w:val="21"/>
              </w:rPr>
              <w:t>本项目总报价不包含因实验室安全维护过程中维修产生的五金配件、实验室耗材、实验室气路配件、实验设备配件等费用。</w:t>
            </w:r>
          </w:p>
          <w:p w14:paraId="56C7CA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/>
              </w:rPr>
              <w:t>▲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2、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在服务期内，供应商在实验室安全维护维修过程中所需的五金配件、实验室耗材、实验室气路配件、实验设备配件等产品价格，必须不得高于市场价格，并经我方确认签字后方可进行维修，完成维修后需我方验收确认签字。</w:t>
            </w:r>
          </w:p>
        </w:tc>
        <w:tc>
          <w:tcPr>
            <w:tcW w:w="806" w:type="dxa"/>
            <w:vAlign w:val="top"/>
          </w:tcPr>
          <w:p w14:paraId="5BAF8B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035" w:type="dxa"/>
            <w:vAlign w:val="top"/>
          </w:tcPr>
          <w:p w14:paraId="221B3D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4588" w:type="dxa"/>
            <w:vAlign w:val="top"/>
          </w:tcPr>
          <w:p w14:paraId="411CEB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418" w:type="dxa"/>
            <w:vAlign w:val="top"/>
          </w:tcPr>
          <w:p w14:paraId="259635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0C74A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9" w:hRule="atLeast"/>
        </w:trPr>
        <w:tc>
          <w:tcPr>
            <w:tcW w:w="861" w:type="dxa"/>
            <w:vAlign w:val="center"/>
          </w:tcPr>
          <w:p w14:paraId="77CCCD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eastAsia" w:ascii="Times New Roman" w:hAnsi="Times New Roman" w:eastAsia="方正黑体_GBK" w:cs="Times New Roman"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5</w:t>
            </w:r>
          </w:p>
        </w:tc>
        <w:tc>
          <w:tcPr>
            <w:tcW w:w="1049" w:type="dxa"/>
            <w:vAlign w:val="center"/>
          </w:tcPr>
          <w:p w14:paraId="6B6830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服务</w:t>
            </w:r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地点</w:t>
            </w:r>
            <w:r>
              <w:rPr>
                <w:rFonts w:hint="eastAsia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和方式</w:t>
            </w:r>
          </w:p>
        </w:tc>
        <w:tc>
          <w:tcPr>
            <w:tcW w:w="5525" w:type="dxa"/>
            <w:vAlign w:val="center"/>
          </w:tcPr>
          <w:p w14:paraId="0B8840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1</w:t>
            </w:r>
            <w:r>
              <w:rPr>
                <w:rFonts w:hint="default" w:ascii="宋体" w:hAnsi="宋体" w:cs="宋体"/>
                <w:szCs w:val="21"/>
                <w:lang w:val="en-US" w:eastAsia="zh-CN"/>
              </w:rPr>
              <w:t>、服务地点：广西南宁市青秀区教育路5号，采购人指定实验室。</w:t>
            </w:r>
          </w:p>
          <w:p w14:paraId="6C2818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2</w:t>
            </w:r>
            <w:r>
              <w:rPr>
                <w:rFonts w:hint="default" w:ascii="宋体" w:hAnsi="宋体" w:cs="宋体"/>
                <w:szCs w:val="21"/>
                <w:lang w:val="en-US" w:eastAsia="zh-CN"/>
              </w:rPr>
              <w:t>、服务方式：上门服务或24小时电话技术咨询。</w:t>
            </w:r>
          </w:p>
        </w:tc>
        <w:tc>
          <w:tcPr>
            <w:tcW w:w="806" w:type="dxa"/>
            <w:vAlign w:val="top"/>
          </w:tcPr>
          <w:p w14:paraId="780A37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035" w:type="dxa"/>
            <w:vAlign w:val="top"/>
          </w:tcPr>
          <w:p w14:paraId="0D24D4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4588" w:type="dxa"/>
            <w:vAlign w:val="top"/>
          </w:tcPr>
          <w:p w14:paraId="6618AC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418" w:type="dxa"/>
            <w:vAlign w:val="top"/>
          </w:tcPr>
          <w:p w14:paraId="40373A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23F31A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9" w:hRule="atLeast"/>
        </w:trPr>
        <w:tc>
          <w:tcPr>
            <w:tcW w:w="861" w:type="dxa"/>
            <w:vAlign w:val="center"/>
          </w:tcPr>
          <w:p w14:paraId="2395F5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6</w:t>
            </w:r>
          </w:p>
        </w:tc>
        <w:tc>
          <w:tcPr>
            <w:tcW w:w="1049" w:type="dxa"/>
            <w:vAlign w:val="center"/>
          </w:tcPr>
          <w:p w14:paraId="6E9219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服务交付时间</w:t>
            </w:r>
          </w:p>
        </w:tc>
        <w:tc>
          <w:tcPr>
            <w:tcW w:w="5525" w:type="dxa"/>
            <w:vAlign w:val="center"/>
          </w:tcPr>
          <w:p w14:paraId="2919EF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cs="宋体"/>
                <w:szCs w:val="21"/>
                <w:lang w:val="en-US" w:eastAsia="zh-CN"/>
              </w:rPr>
              <w:t>供应商根据每月的检查情况提交1份月度实验室安全隐患报告（表），合同到期前15个工作日提交实验室安全隐患年度报告（表）。实验室安全隐患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年度</w:t>
            </w:r>
            <w:r>
              <w:rPr>
                <w:rFonts w:hint="default" w:ascii="宋体" w:hAnsi="宋体" w:cs="宋体"/>
                <w:szCs w:val="21"/>
                <w:lang w:val="en-US" w:eastAsia="zh-CN"/>
              </w:rPr>
              <w:t>报告（表）内容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需</w:t>
            </w:r>
            <w:r>
              <w:rPr>
                <w:rFonts w:hint="default" w:ascii="宋体" w:hAnsi="宋体" w:cs="宋体"/>
                <w:szCs w:val="21"/>
                <w:lang w:val="en-US" w:eastAsia="zh-CN"/>
              </w:rPr>
              <w:t>覆盖以上技术要求中的需求内容。</w:t>
            </w:r>
          </w:p>
        </w:tc>
        <w:tc>
          <w:tcPr>
            <w:tcW w:w="806" w:type="dxa"/>
            <w:vAlign w:val="top"/>
          </w:tcPr>
          <w:p w14:paraId="6A6926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035" w:type="dxa"/>
            <w:vAlign w:val="top"/>
          </w:tcPr>
          <w:p w14:paraId="179A40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4588" w:type="dxa"/>
            <w:vAlign w:val="top"/>
          </w:tcPr>
          <w:p w14:paraId="793B8B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418" w:type="dxa"/>
            <w:vAlign w:val="top"/>
          </w:tcPr>
          <w:p w14:paraId="7B4053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47BACE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5" w:hRule="atLeast"/>
        </w:trPr>
        <w:tc>
          <w:tcPr>
            <w:tcW w:w="861" w:type="dxa"/>
            <w:vAlign w:val="center"/>
          </w:tcPr>
          <w:p w14:paraId="6096B6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eastAsia" w:ascii="Times New Roman" w:hAnsi="Times New Roman" w:eastAsia="方正黑体_GBK" w:cs="Times New Roman"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7</w:t>
            </w:r>
          </w:p>
        </w:tc>
        <w:tc>
          <w:tcPr>
            <w:tcW w:w="1049" w:type="dxa"/>
            <w:vAlign w:val="center"/>
          </w:tcPr>
          <w:p w14:paraId="466EAB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付款方式</w:t>
            </w:r>
          </w:p>
        </w:tc>
        <w:tc>
          <w:tcPr>
            <w:tcW w:w="5525" w:type="dxa"/>
            <w:vAlign w:val="center"/>
          </w:tcPr>
          <w:p w14:paraId="4082C541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color w:val="auto"/>
                <w:szCs w:val="21"/>
                <w:highlight w:val="none"/>
              </w:rPr>
            </w:pPr>
            <w:r>
              <w:rPr>
                <w:rFonts w:hint="eastAsia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1、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</w:rPr>
              <w:t>自合同签订之日起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供应商向采购人交纳履约保证金后5个工作日内，采购人向供应商支付合同总金额的50%；</w:t>
            </w:r>
          </w:p>
          <w:p w14:paraId="2AC88FD4">
            <w:pPr>
              <w:pStyle w:val="8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2、供应商</w:t>
            </w:r>
            <w:r>
              <w:rPr>
                <w:rFonts w:hint="eastAsia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按要求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提交月度实验室安全隐患报告（表），完成两个季度的实验室安全维护服务后，采购人向供应商支付合同总金额的</w:t>
            </w:r>
            <w:r>
              <w:rPr>
                <w:rFonts w:hint="eastAsia" w:cs="Times New Roman"/>
                <w:color w:val="auto"/>
                <w:szCs w:val="21"/>
                <w:highlight w:val="none"/>
                <w:lang w:val="en-US" w:eastAsia="zh-CN"/>
              </w:rPr>
              <w:t>50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%；</w:t>
            </w:r>
          </w:p>
          <w:p w14:paraId="133A067F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color w:val="auto"/>
                <w:szCs w:val="21"/>
                <w:highlight w:val="none"/>
              </w:rPr>
            </w:pPr>
            <w:r>
              <w:rPr>
                <w:rFonts w:hint="eastAsia" w:cs="Times New Roman"/>
                <w:color w:val="auto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、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eastAsia="zh-CN"/>
              </w:rPr>
              <w:t>在服务期内，供应商在实验室安全维护维修过程中所需的五金配件、实验室耗材、实验室气路配件、实验设备配件等产品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相应的维修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</w:rPr>
              <w:t>款项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</w:rPr>
              <w:t>采购人按季度结算给供应商。</w:t>
            </w:r>
          </w:p>
          <w:p w14:paraId="006B89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cs="Times New Roman"/>
                <w:color w:val="auto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、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</w:rPr>
              <w:t>每次结算前，供应商应出具请款函、维修单据及相应款项的合法发票。</w:t>
            </w:r>
          </w:p>
        </w:tc>
        <w:tc>
          <w:tcPr>
            <w:tcW w:w="806" w:type="dxa"/>
            <w:vAlign w:val="top"/>
          </w:tcPr>
          <w:p w14:paraId="382715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035" w:type="dxa"/>
            <w:vAlign w:val="top"/>
          </w:tcPr>
          <w:p w14:paraId="2AC43D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4588" w:type="dxa"/>
            <w:vAlign w:val="top"/>
          </w:tcPr>
          <w:p w14:paraId="0D0B9E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418" w:type="dxa"/>
            <w:vAlign w:val="top"/>
          </w:tcPr>
          <w:p w14:paraId="23341E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7E8C35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9" w:hRule="atLeast"/>
        </w:trPr>
        <w:tc>
          <w:tcPr>
            <w:tcW w:w="861" w:type="dxa"/>
            <w:vAlign w:val="center"/>
          </w:tcPr>
          <w:p w14:paraId="059ED2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8</w:t>
            </w:r>
          </w:p>
        </w:tc>
        <w:tc>
          <w:tcPr>
            <w:tcW w:w="1049" w:type="dxa"/>
            <w:vAlign w:val="center"/>
          </w:tcPr>
          <w:p w14:paraId="29649E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履约保证金</w:t>
            </w:r>
          </w:p>
        </w:tc>
        <w:tc>
          <w:tcPr>
            <w:tcW w:w="5525" w:type="dxa"/>
            <w:vAlign w:val="center"/>
          </w:tcPr>
          <w:p w14:paraId="4A641925"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自合同签订之日起5个工作日内，供应商向采购人交纳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合同总金额</w:t>
            </w:r>
            <w:r>
              <w:rPr>
                <w:rFonts w:hint="eastAsia" w:cs="Times New Roman"/>
                <w:color w:val="auto"/>
                <w:szCs w:val="21"/>
                <w:highlight w:val="none"/>
                <w:lang w:val="en-US" w:eastAsia="zh-CN"/>
              </w:rPr>
              <w:t>的</w:t>
            </w:r>
            <w:r>
              <w:rPr>
                <w:rFonts w:hint="eastAsia" w:cs="Times New Roman"/>
                <w:color w:val="auto"/>
                <w:lang w:val="en-US" w:eastAsia="zh-CN"/>
              </w:rPr>
              <w:t>5%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作为履约保证金。</w:t>
            </w:r>
          </w:p>
          <w:p w14:paraId="6831FF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lang w:val="en-US"/>
              </w:rPr>
              <w:t>履约保证金退付方式、时间及条件：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项目经采购人总体验收确认后，</w:t>
            </w:r>
            <w:r>
              <w:rPr>
                <w:rFonts w:hint="default" w:ascii="Times New Roman" w:hAnsi="Times New Roman" w:cs="Times New Roman"/>
                <w:color w:val="auto"/>
                <w:lang w:val="en-US"/>
              </w:rPr>
              <w:t>由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供应商</w:t>
            </w:r>
            <w:r>
              <w:rPr>
                <w:rFonts w:hint="default" w:ascii="Times New Roman" w:hAnsi="Times New Roman" w:cs="Times New Roman"/>
                <w:color w:val="auto"/>
                <w:lang w:val="en-US"/>
              </w:rPr>
              <w:t>提供《履约保证金退付意见书》，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采购人</w:t>
            </w:r>
            <w:r>
              <w:rPr>
                <w:rFonts w:hint="default" w:ascii="Times New Roman" w:hAnsi="Times New Roman" w:cs="Times New Roman"/>
                <w:color w:val="auto"/>
                <w:lang w:val="en-US"/>
              </w:rPr>
              <w:t>在收到合格材料后五个工作日内办理退还手续（不计利息）</w:t>
            </w:r>
          </w:p>
        </w:tc>
        <w:tc>
          <w:tcPr>
            <w:tcW w:w="806" w:type="dxa"/>
            <w:vAlign w:val="top"/>
          </w:tcPr>
          <w:p w14:paraId="6AC578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035" w:type="dxa"/>
            <w:vAlign w:val="top"/>
          </w:tcPr>
          <w:p w14:paraId="1D255D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4588" w:type="dxa"/>
            <w:vAlign w:val="top"/>
          </w:tcPr>
          <w:p w14:paraId="40582D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418" w:type="dxa"/>
            <w:vAlign w:val="top"/>
          </w:tcPr>
          <w:p w14:paraId="54A55F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74A6A0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861" w:type="dxa"/>
            <w:vAlign w:val="center"/>
          </w:tcPr>
          <w:p w14:paraId="266D6D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9</w:t>
            </w:r>
          </w:p>
        </w:tc>
        <w:tc>
          <w:tcPr>
            <w:tcW w:w="1049" w:type="dxa"/>
            <w:vAlign w:val="center"/>
          </w:tcPr>
          <w:p w14:paraId="61A9F5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  <w:t>其他要求</w:t>
            </w:r>
          </w:p>
        </w:tc>
        <w:tc>
          <w:tcPr>
            <w:tcW w:w="5525" w:type="dxa"/>
            <w:vAlign w:val="center"/>
          </w:tcPr>
          <w:p w14:paraId="6C9DD9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cs="宋体"/>
                <w:szCs w:val="21"/>
                <w:lang w:val="en-US" w:eastAsia="zh-CN"/>
              </w:rPr>
              <w:t>▲供应商需具备水电工程师并持证上岗，报价材料需提供</w:t>
            </w:r>
            <w:bookmarkStart w:id="3" w:name="_GoBack"/>
            <w:r>
              <w:rPr>
                <w:rFonts w:hint="eastAsia" w:ascii="宋体" w:hAnsi="宋体" w:cs="宋体"/>
                <w:szCs w:val="21"/>
                <w:lang w:val="en-US" w:eastAsia="zh-CN"/>
              </w:rPr>
              <w:t>相关</w:t>
            </w:r>
            <w:bookmarkEnd w:id="3"/>
            <w:r>
              <w:rPr>
                <w:rFonts w:hint="default" w:ascii="宋体" w:hAnsi="宋体" w:cs="宋体"/>
                <w:szCs w:val="21"/>
                <w:lang w:val="en-US" w:eastAsia="zh-CN"/>
              </w:rPr>
              <w:t>电工证等相关佐证材料。</w:t>
            </w:r>
          </w:p>
        </w:tc>
        <w:tc>
          <w:tcPr>
            <w:tcW w:w="806" w:type="dxa"/>
            <w:vAlign w:val="top"/>
          </w:tcPr>
          <w:p w14:paraId="5C1BA3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035" w:type="dxa"/>
            <w:vAlign w:val="top"/>
          </w:tcPr>
          <w:p w14:paraId="54D061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4588" w:type="dxa"/>
            <w:vAlign w:val="top"/>
          </w:tcPr>
          <w:p w14:paraId="7DAE3C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418" w:type="dxa"/>
            <w:vAlign w:val="top"/>
          </w:tcPr>
          <w:p w14:paraId="1E3EF5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</w:tbl>
    <w:p w14:paraId="55EA6C1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0" w:leftChars="0"/>
        <w:jc w:val="left"/>
        <w:textAlignment w:val="auto"/>
        <w:outlineLvl w:val="1"/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>报价单位（盖章）：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   单位地址：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</w:t>
      </w:r>
    </w:p>
    <w:p w14:paraId="6DE33A9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-359" w:leftChars="-171" w:firstLine="560" w:firstLineChars="200"/>
        <w:jc w:val="left"/>
        <w:textAlignment w:val="auto"/>
        <w:outlineLvl w:val="1"/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>联系人（签字）：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  联系方式：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报价日期：</w:t>
      </w:r>
      <w:bookmarkEnd w:id="1"/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</w:t>
      </w:r>
    </w:p>
    <w:p w14:paraId="5780B4B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-359" w:leftChars="-171" w:firstLine="0" w:firstLineChars="0"/>
        <w:jc w:val="left"/>
        <w:textAlignment w:val="auto"/>
        <w:outlineLvl w:val="1"/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</w:t>
      </w:r>
      <w:bookmarkStart w:id="2" w:name="_Toc31049"/>
      <w:r>
        <w:rPr>
          <w:rFonts w:hint="default" w:ascii="Times New Roman" w:hAnsi="Times New Roman" w:eastAsia="方正仿宋_GBK" w:cs="Times New Roman"/>
          <w:color w:val="000000"/>
          <w:sz w:val="24"/>
          <w:highlight w:val="none"/>
        </w:rPr>
        <w:t>注：报价单位应根据询价函和服务需求响应表的要求逐条响应并在“偏离情况”栏注明“正偏离</w:t>
      </w:r>
      <w:r>
        <w:rPr>
          <w:rFonts w:hint="eastAsia" w:eastAsia="方正仿宋_GBK" w:cs="Times New Roman"/>
          <w:color w:val="000000"/>
          <w:sz w:val="24"/>
          <w:highlight w:val="none"/>
          <w:lang w:eastAsia="zh-CN"/>
        </w:rPr>
        <w:t>”“</w:t>
      </w:r>
      <w:r>
        <w:rPr>
          <w:rFonts w:hint="default" w:ascii="Times New Roman" w:hAnsi="Times New Roman" w:eastAsia="方正仿宋_GBK" w:cs="Times New Roman"/>
          <w:color w:val="000000"/>
          <w:sz w:val="24"/>
          <w:highlight w:val="none"/>
        </w:rPr>
        <w:t>负偏离”或“无偏离”，特别对有具体参数要求的指标，报价单位必须提供所供服务的具体参数值</w:t>
      </w:r>
      <w:bookmarkEnd w:id="2"/>
      <w:r>
        <w:rPr>
          <w:rFonts w:hint="default" w:ascii="Times New Roman" w:hAnsi="Times New Roman" w:eastAsia="方正仿宋_GBK" w:cs="Times New Roman"/>
          <w:color w:val="000000"/>
          <w:sz w:val="24"/>
          <w:highlight w:val="none"/>
          <w:lang w:eastAsia="zh-CN"/>
        </w:rPr>
        <w:t>。</w:t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E69718B-7B5C-4ED1-ABBA-1934BB9AB14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1408D40C-7443-4ADD-B3D7-1DE9075CA02E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A4815563-8B41-4617-AC3D-BFA4E1805476}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4" w:fontKey="{4D6B2436-1432-407B-A06A-92223C4D6549}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5" w:fontKey="{924D414A-4192-4EEB-9922-579423488781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85A853A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373C073">
                          <w:pPr>
                            <w:pStyle w:val="6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373C073">
                    <w:pPr>
                      <w:pStyle w:val="6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AFA9A2E"/>
    <w:multiLevelType w:val="singleLevel"/>
    <w:tmpl w:val="4AFA9A2E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iN2EzOTIwNTFkMWRjYjlhM2M2MjEwMTAzOTAyMTAifQ=="/>
  </w:docVars>
  <w:rsids>
    <w:rsidRoot w:val="4F2D50FD"/>
    <w:rsid w:val="005319D6"/>
    <w:rsid w:val="024B6734"/>
    <w:rsid w:val="044528AF"/>
    <w:rsid w:val="0E855684"/>
    <w:rsid w:val="182D2531"/>
    <w:rsid w:val="1CE123EB"/>
    <w:rsid w:val="1E1B192D"/>
    <w:rsid w:val="1E266DD8"/>
    <w:rsid w:val="204E741C"/>
    <w:rsid w:val="22135053"/>
    <w:rsid w:val="25DC0B10"/>
    <w:rsid w:val="26EF4531"/>
    <w:rsid w:val="32160058"/>
    <w:rsid w:val="327A33B7"/>
    <w:rsid w:val="3881206D"/>
    <w:rsid w:val="405E496E"/>
    <w:rsid w:val="43BB6C43"/>
    <w:rsid w:val="480C6438"/>
    <w:rsid w:val="4D7B35DC"/>
    <w:rsid w:val="4F2D50FD"/>
    <w:rsid w:val="4F73508A"/>
    <w:rsid w:val="50453665"/>
    <w:rsid w:val="59C963E2"/>
    <w:rsid w:val="5A953220"/>
    <w:rsid w:val="5E24539E"/>
    <w:rsid w:val="602F6597"/>
    <w:rsid w:val="65107084"/>
    <w:rsid w:val="66615725"/>
    <w:rsid w:val="7B894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qFormat="1" w:uiPriority="99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tabs>
        <w:tab w:val="left" w:pos="0"/>
        <w:tab w:val="left" w:pos="993"/>
        <w:tab w:val="left" w:pos="1134"/>
      </w:tabs>
      <w:ind w:firstLine="420" w:firstLineChars="200"/>
    </w:pPr>
  </w:style>
  <w:style w:type="paragraph" w:styleId="3">
    <w:name w:val="Body Text Indent"/>
    <w:basedOn w:val="1"/>
    <w:qFormat/>
    <w:uiPriority w:val="0"/>
    <w:pPr>
      <w:ind w:firstLine="830" w:firstLineChars="352"/>
    </w:pPr>
    <w:rPr>
      <w:rFonts w:ascii="仿宋_GB2312" w:eastAsia="仿宋_GB2312"/>
      <w:kern w:val="0"/>
      <w:sz w:val="32"/>
      <w:szCs w:val="20"/>
    </w:rPr>
  </w:style>
  <w:style w:type="paragraph" w:styleId="4">
    <w:name w:val="Normal Indent"/>
    <w:basedOn w:val="1"/>
    <w:qFormat/>
    <w:uiPriority w:val="0"/>
    <w:pPr>
      <w:ind w:firstLine="420"/>
    </w:pPr>
    <w:rPr>
      <w:szCs w:val="20"/>
    </w:rPr>
  </w:style>
  <w:style w:type="paragraph" w:styleId="5">
    <w:name w:val="index 4"/>
    <w:basedOn w:val="1"/>
    <w:next w:val="1"/>
    <w:unhideWhenUsed/>
    <w:qFormat/>
    <w:uiPriority w:val="99"/>
    <w:pPr>
      <w:ind w:left="600" w:leftChars="60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toc 1"/>
    <w:basedOn w:val="1"/>
    <w:next w:val="1"/>
    <w:unhideWhenUsed/>
    <w:qFormat/>
    <w:uiPriority w:val="3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styleId="11">
    <w:name w:val="Hyperlink"/>
    <w:basedOn w:val="10"/>
    <w:unhideWhenUsed/>
    <w:qFormat/>
    <w:uiPriority w:val="99"/>
    <w:rPr>
      <w:color w:val="0000FF"/>
      <w:u w:val="single"/>
    </w:rPr>
  </w:style>
  <w:style w:type="paragraph" w:customStyle="1" w:styleId="12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1957</Words>
  <Characters>1993</Characters>
  <Lines>0</Lines>
  <Paragraphs>0</Paragraphs>
  <TotalTime>1</TotalTime>
  <ScaleCrop>false</ScaleCrop>
  <LinksUpToDate>false</LinksUpToDate>
  <CharactersWithSpaces>2142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2024-05-27T08:18:00Z</dcterms:created>
  <dc:creator>王斌</dc:creator>
  <cp:lastModifiedBy></cp:lastModifiedBy>
  <dcterms:modified xsi:type="dcterms:W3CDTF">2025-06-11T01:28:16Z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D27D2337B4504E3D9FFA09235E705BF9_11</vt:lpwstr>
  </property>
  <property fmtid="{D5CDD505-2E9C-101B-9397-08002B2CF9AE}" pid="4" name="KSOTemplateDocerSaveRecord">
    <vt:lpwstr>eyJoZGlkIjoiZGNhN2YyZTk1NWZhOTUwODI2Y2E1YWI4OTUxN2E1OGYiLCJ1c2VySWQiOiIzMDI3OTUwMTgifQ==</vt:lpwstr>
  </property>
</Properties>
</file>