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highlight w:val="none"/>
          <w:lang w:val="en-US" w:eastAsia="zh-CN"/>
        </w:rPr>
      </w:pPr>
      <w:bookmarkStart w:id="1" w:name="_GoBack"/>
      <w:r>
        <w:rPr>
          <w:rFonts w:hint="eastAsia" w:ascii="仿宋_GB2312" w:hAnsi="仿宋_GB2312" w:eastAsia="仿宋_GB2312" w:cs="仿宋_GB2312"/>
          <w:color w:val="000000"/>
          <w:sz w:val="32"/>
          <w:szCs w:val="32"/>
          <w:highlight w:val="none"/>
          <w:lang w:val="en-US" w:eastAsia="zh-CN"/>
        </w:rPr>
        <w:t>附件2</w:t>
      </w:r>
    </w:p>
    <w:p>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比选评审标准</w:t>
      </w:r>
    </w:p>
    <w:bookmarkEnd w:id="1"/>
    <w:tbl>
      <w:tblPr>
        <w:tblStyle w:val="10"/>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2542" w:type="dxa"/>
            <w:noWrap w:val="0"/>
            <w:vAlign w:val="center"/>
          </w:tcPr>
          <w:p>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评分项及满分</w:t>
            </w:r>
          </w:p>
        </w:tc>
        <w:tc>
          <w:tcPr>
            <w:tcW w:w="6832" w:type="dxa"/>
            <w:noWrap w:val="0"/>
            <w:vAlign w:val="center"/>
          </w:tcPr>
          <w:p>
            <w:pPr>
              <w:overflowPunct w:val="0"/>
              <w:spacing w:line="360" w:lineRule="exact"/>
              <w:jc w:val="center"/>
              <w:rPr>
                <w:rFonts w:ascii="Times New Roman" w:hAnsi="Times New Roman" w:eastAsia="黑体" w:cs="宋体"/>
                <w:sz w:val="24"/>
              </w:rPr>
            </w:pPr>
            <w:r>
              <w:rPr>
                <w:rFonts w:hint="eastAsia" w:ascii="Times New Roman" w:hAnsi="Times New Roman" w:eastAsia="黑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b/>
                <w:sz w:val="24"/>
              </w:rPr>
            </w:pPr>
            <w:r>
              <w:rPr>
                <w:rFonts w:hint="eastAsia" w:ascii="Times New Roman" w:hAnsi="Times New Roman" w:eastAsia="仿宋" w:cs="宋体"/>
                <w:sz w:val="24"/>
              </w:rPr>
              <w:t>一、价格分（</w:t>
            </w:r>
            <w:r>
              <w:rPr>
                <w:rFonts w:hint="eastAsia" w:ascii="Times New Roman" w:hAnsi="Times New Roman" w:eastAsia="仿宋" w:cs="宋体"/>
                <w:sz w:val="24"/>
                <w:lang w:val="en-US" w:eastAsia="zh-CN"/>
              </w:rPr>
              <w:t>20</w:t>
            </w:r>
            <w:r>
              <w:rPr>
                <w:rFonts w:hint="eastAsia" w:ascii="Times New Roman" w:hAnsi="Times New Roman" w:eastAsia="仿宋" w:cs="宋体"/>
                <w:sz w:val="24"/>
              </w:rPr>
              <w:t>分）</w:t>
            </w:r>
          </w:p>
        </w:tc>
        <w:tc>
          <w:tcPr>
            <w:tcW w:w="6832" w:type="dxa"/>
            <w:noWrap w:val="0"/>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仿宋" w:hAnsi="仿宋" w:eastAsia="仿宋" w:cs="仿宋"/>
                <w:b w:val="0"/>
                <w:bCs/>
                <w:sz w:val="24"/>
                <w:lang w:eastAsia="zh-CN"/>
              </w:rPr>
            </w:pPr>
            <w:r>
              <w:rPr>
                <w:rFonts w:hint="eastAsia" w:ascii="仿宋" w:hAnsi="仿宋" w:eastAsia="仿宋" w:cs="仿宋"/>
                <w:b w:val="0"/>
                <w:bCs/>
                <w:sz w:val="24"/>
              </w:rPr>
              <w:t>投标报价得分=（全部供应商中的最低报价/某供应商投标报价）×</w:t>
            </w:r>
            <w:r>
              <w:rPr>
                <w:rFonts w:hint="eastAsia" w:ascii="仿宋" w:hAnsi="仿宋" w:eastAsia="仿宋" w:cs="仿宋"/>
                <w:b w:val="0"/>
                <w:bCs/>
                <w:sz w:val="24"/>
                <w:lang w:val="en-US" w:eastAsia="zh-CN"/>
              </w:rPr>
              <w:t>20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仿宋" w:hAnsi="仿宋" w:eastAsia="仿宋" w:cs="仿宋"/>
                <w:b w:val="0"/>
                <w:bCs/>
                <w:sz w:val="24"/>
              </w:rPr>
            </w:pP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1</w:t>
            </w:r>
            <w:r>
              <w:rPr>
                <w:rFonts w:hint="eastAsia" w:ascii="仿宋" w:hAnsi="仿宋" w:eastAsia="仿宋" w:cs="仿宋"/>
                <w:b w:val="0"/>
                <w:bCs/>
                <w:sz w:val="24"/>
                <w:lang w:eastAsia="zh-CN"/>
              </w:rPr>
              <w:t>）</w:t>
            </w:r>
            <w:r>
              <w:rPr>
                <w:rFonts w:hint="eastAsia" w:ascii="仿宋" w:hAnsi="仿宋" w:eastAsia="仿宋" w:cs="仿宋"/>
                <w:b w:val="0"/>
                <w:bCs/>
                <w:sz w:val="24"/>
              </w:rPr>
              <w:t>根据《政府采购促进中小企业发展管理办法》（财库﹝2020﹞46 号）第九条要求，对</w:t>
            </w:r>
            <w:r>
              <w:rPr>
                <w:rFonts w:hint="eastAsia" w:ascii="仿宋" w:hAnsi="仿宋" w:eastAsia="仿宋" w:cs="仿宋"/>
                <w:b w:val="0"/>
                <w:bCs/>
                <w:sz w:val="24"/>
                <w:lang w:val="en-US" w:eastAsia="zh-CN"/>
              </w:rPr>
              <w:t>中</w:t>
            </w:r>
            <w:r>
              <w:rPr>
                <w:rFonts w:hint="eastAsia" w:ascii="仿宋" w:hAnsi="仿宋" w:eastAsia="仿宋" w:cs="仿宋"/>
                <w:b w:val="0"/>
                <w:bCs/>
                <w:sz w:val="24"/>
              </w:rPr>
              <w:t>小型和微型企业报价给予</w:t>
            </w:r>
            <w:r>
              <w:rPr>
                <w:rFonts w:hint="eastAsia" w:ascii="仿宋" w:hAnsi="仿宋" w:eastAsia="仿宋" w:cs="仿宋"/>
                <w:b w:val="0"/>
                <w:bCs/>
                <w:sz w:val="24"/>
                <w:lang w:val="en-US" w:eastAsia="zh-CN"/>
              </w:rPr>
              <w:t>20</w:t>
            </w:r>
            <w:r>
              <w:rPr>
                <w:rFonts w:hint="eastAsia" w:ascii="仿宋" w:hAnsi="仿宋" w:eastAsia="仿宋" w:cs="仿宋"/>
                <w:b w:val="0"/>
                <w:bCs/>
                <w:sz w:val="24"/>
              </w:rPr>
              <w:t>%的扣除，用扣除后的投标报价参与评审。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hint="eastAsia" w:ascii="仿宋" w:hAnsi="仿宋" w:eastAsia="仿宋" w:cs="仿宋"/>
                <w:b w:val="0"/>
                <w:bCs/>
                <w:sz w:val="24"/>
              </w:rPr>
            </w:pP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2</w:t>
            </w:r>
            <w:r>
              <w:rPr>
                <w:rFonts w:hint="eastAsia" w:ascii="仿宋" w:hAnsi="仿宋" w:eastAsia="仿宋" w:cs="仿宋"/>
                <w:b w:val="0"/>
                <w:bCs/>
                <w:sz w:val="24"/>
                <w:lang w:eastAsia="zh-CN"/>
              </w:rPr>
              <w:t>）</w:t>
            </w:r>
            <w:r>
              <w:rPr>
                <w:rFonts w:hint="eastAsia" w:ascii="仿宋" w:hAnsi="仿宋" w:eastAsia="仿宋" w:cs="仿宋"/>
                <w:b w:val="0"/>
                <w:bCs/>
                <w:sz w:val="24"/>
              </w:rPr>
              <w:t>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480" w:firstLineChars="200"/>
              <w:jc w:val="both"/>
              <w:textAlignment w:val="auto"/>
              <w:rPr>
                <w:rFonts w:ascii="Times New Roman" w:hAnsi="Times New Roman" w:eastAsia="仿宋" w:cs="宋体"/>
                <w:b/>
                <w:sz w:val="24"/>
              </w:rPr>
            </w:pP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3</w:t>
            </w:r>
            <w:r>
              <w:rPr>
                <w:rFonts w:hint="eastAsia" w:ascii="仿宋" w:hAnsi="仿宋" w:eastAsia="仿宋" w:cs="仿宋"/>
                <w:b w:val="0"/>
                <w:bCs/>
                <w:sz w:val="24"/>
                <w:lang w:eastAsia="zh-CN"/>
              </w:rPr>
              <w:t>）</w:t>
            </w:r>
            <w:r>
              <w:rPr>
                <w:rFonts w:hint="eastAsia" w:ascii="仿宋" w:hAnsi="仿宋" w:eastAsia="仿宋" w:cs="仿宋"/>
                <w:b w:val="0"/>
                <w:bCs/>
                <w:sz w:val="24"/>
              </w:rPr>
              <w:t>根据《三部门联合发布关于促进残疾人就业政府采购政策的通知》（财库﹝2017﹞141号），残疾人福利性单位视同小型、微型企业，须提供《残疾人福利性单位声明函》，未提供声明函者不予认定。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 w:cs="宋体"/>
                <w:sz w:val="24"/>
                <w:highlight w:val="none"/>
              </w:rPr>
            </w:pPr>
            <w:r>
              <w:rPr>
                <w:rFonts w:hint="eastAsia" w:ascii="Times New Roman" w:hAnsi="Times New Roman" w:eastAsia="仿宋" w:cs="宋体"/>
                <w:sz w:val="24"/>
                <w:highlight w:val="none"/>
              </w:rPr>
              <w:t>二、服务方案分</w:t>
            </w:r>
          </w:p>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highlight w:val="none"/>
              </w:rPr>
            </w:pPr>
            <w:r>
              <w:rPr>
                <w:rFonts w:hint="eastAsia" w:ascii="Times New Roman" w:hAnsi="Times New Roman" w:eastAsia="仿宋" w:cs="宋体"/>
                <w:sz w:val="24"/>
                <w:highlight w:val="none"/>
              </w:rPr>
              <w:t>（</w:t>
            </w:r>
            <w:r>
              <w:rPr>
                <w:rFonts w:hint="eastAsia" w:ascii="Times New Roman" w:hAnsi="Times New Roman" w:eastAsia="仿宋" w:cs="宋体"/>
                <w:sz w:val="24"/>
                <w:highlight w:val="none"/>
                <w:lang w:val="en-US" w:eastAsia="zh-CN"/>
              </w:rPr>
              <w:t>40</w:t>
            </w:r>
            <w:r>
              <w:rPr>
                <w:rFonts w:hint="eastAsia" w:ascii="Times New Roman" w:hAnsi="Times New Roman" w:eastAsia="仿宋" w:cs="宋体"/>
                <w:sz w:val="24"/>
                <w:highlight w:val="none"/>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（一）项目方案分（满分20分）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一档（20分）：方案完全符合项目要求，实施程序详细具体、管理机制完善，整体统一协调，内部防范和控制风险制度佳，且可行性高，综合评定优秀。</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二档（15分）：方案完全符合项目要求，实施程序较详细具体、管理机制较完善，内部防范和控制风险制度较好，可行性较高，综合评定良好。</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三档（10分）：方案基本符合项目要求，实施程序简单，综合评定一般。</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四档（5分）：未提供或提供的项目实施方案内容过于简单，不切合项目实际。</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（二）</w:t>
            </w:r>
            <w:r>
              <w:rPr>
                <w:rFonts w:hint="eastAsia" w:ascii="Times New Roman" w:hAnsi="Times New Roman" w:eastAsia="仿宋" w:cs="宋体"/>
                <w:bCs/>
                <w:sz w:val="24"/>
                <w:highlight w:val="none"/>
                <w:lang w:val="en-US" w:eastAsia="zh-CN"/>
              </w:rPr>
              <w:t>维修</w:t>
            </w:r>
            <w:r>
              <w:rPr>
                <w:rFonts w:hint="eastAsia" w:ascii="Times New Roman" w:hAnsi="Times New Roman" w:eastAsia="仿宋" w:cs="宋体"/>
                <w:bCs/>
                <w:sz w:val="24"/>
                <w:highlight w:val="none"/>
              </w:rPr>
              <w:t>管理制度（满分12分）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一档（12分）：管理制度完善具体、可行性强，综合评定优秀。</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二档（8分）：管理制度基本完善、可行性较强，综合评定良好。</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 xml:space="preserve">三档（4分）：管理制度不够完善、可行性一般，综合评定一般。 </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四档（2分）：管理制度不够具体、没有可行性，或没有相关论述分。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（三）应急处理方案（满分8分）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一档（8分）：方案完善具体、可行性强。</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二档（6分）：方案完善具体、可行性较强。</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highlight w:val="none"/>
              </w:rPr>
            </w:pPr>
            <w:r>
              <w:rPr>
                <w:rFonts w:hint="eastAsia" w:ascii="Times New Roman" w:hAnsi="Times New Roman" w:eastAsia="仿宋" w:cs="宋体"/>
                <w:bCs/>
                <w:sz w:val="24"/>
                <w:highlight w:val="none"/>
              </w:rPr>
              <w:t xml:space="preserve">三档（4分）：方案不够完善、可行性一般。             </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 w:cs="宋体"/>
                <w:spacing w:val="-4"/>
                <w:sz w:val="24"/>
                <w:highlight w:val="none"/>
              </w:rPr>
            </w:pPr>
            <w:r>
              <w:rPr>
                <w:rFonts w:hint="eastAsia" w:ascii="Times New Roman" w:hAnsi="Times New Roman" w:eastAsia="仿宋" w:cs="宋体"/>
                <w:bCs/>
                <w:sz w:val="24"/>
                <w:highlight w:val="none"/>
              </w:rPr>
              <w:t>四档（2分）：方案不够具体、没有可行性，或没有这方面论述。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7"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hint="eastAsia" w:ascii="Times New Roman" w:hAnsi="Times New Roman" w:eastAsia="仿宋" w:cs="宋体"/>
                <w:sz w:val="24"/>
              </w:rPr>
            </w:pPr>
            <w:r>
              <w:rPr>
                <w:rFonts w:hint="eastAsia" w:ascii="Times New Roman" w:hAnsi="Times New Roman" w:eastAsia="仿宋" w:cs="宋体"/>
                <w:sz w:val="24"/>
              </w:rPr>
              <w:t>三、项目团队分</w:t>
            </w:r>
          </w:p>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rPr>
            </w:pPr>
            <w:r>
              <w:rPr>
                <w:rFonts w:hint="eastAsia" w:ascii="Times New Roman" w:hAnsi="Times New Roman" w:eastAsia="仿宋" w:cs="宋体"/>
                <w:sz w:val="24"/>
              </w:rPr>
              <w:t>（</w:t>
            </w:r>
            <w:r>
              <w:rPr>
                <w:rFonts w:hint="eastAsia" w:ascii="Times New Roman" w:hAnsi="Times New Roman" w:eastAsia="仿宋" w:cs="宋体"/>
                <w:sz w:val="24"/>
                <w:lang w:val="en-US" w:eastAsia="zh-CN"/>
              </w:rPr>
              <w:t>20</w:t>
            </w:r>
            <w:r>
              <w:rPr>
                <w:rFonts w:hint="eastAsia" w:ascii="Times New Roman" w:hAnsi="Times New Roman" w:eastAsia="仿宋" w:cs="宋体"/>
                <w:sz w:val="24"/>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lang w:val="zh-CN"/>
              </w:rPr>
            </w:pP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一</w:t>
            </w: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zh-CN"/>
              </w:rPr>
              <w:t>项目</w:t>
            </w:r>
            <w:r>
              <w:rPr>
                <w:rFonts w:hint="eastAsia" w:ascii="Times New Roman" w:hAnsi="Times New Roman" w:eastAsia="仿宋" w:cs="宋体"/>
                <w:bCs/>
                <w:sz w:val="24"/>
                <w:lang w:val="en-US" w:eastAsia="zh-CN"/>
              </w:rPr>
              <w:t>人员配置</w:t>
            </w:r>
            <w:r>
              <w:rPr>
                <w:rFonts w:hint="eastAsia" w:ascii="Times New Roman" w:hAnsi="Times New Roman" w:eastAsia="仿宋" w:cs="宋体"/>
                <w:bCs/>
                <w:sz w:val="24"/>
                <w:lang w:val="zh-CN"/>
              </w:rPr>
              <w:t>分（满分</w:t>
            </w:r>
            <w:r>
              <w:rPr>
                <w:rFonts w:hint="eastAsia" w:ascii="Times New Roman" w:hAnsi="Times New Roman" w:eastAsia="仿宋" w:cs="宋体"/>
                <w:bCs/>
                <w:sz w:val="24"/>
                <w:lang w:val="en-US" w:eastAsia="zh-CN"/>
              </w:rPr>
              <w:t>12</w:t>
            </w:r>
            <w:r>
              <w:rPr>
                <w:rFonts w:hint="eastAsia" w:ascii="Times New Roman" w:hAnsi="Times New Roman" w:eastAsia="仿宋" w:cs="宋体"/>
                <w:bCs/>
                <w:sz w:val="24"/>
                <w:lang w:val="zh-CN"/>
              </w:rPr>
              <w:t>分）</w:t>
            </w:r>
          </w:p>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default" w:ascii="Times New Roman" w:hAnsi="Times New Roman" w:eastAsia="仿宋" w:cs="宋体"/>
                <w:bCs/>
                <w:sz w:val="24"/>
                <w:lang w:val="en-US" w:eastAsia="zh-CN"/>
              </w:rPr>
            </w:pPr>
            <w:r>
              <w:rPr>
                <w:rFonts w:hint="default" w:ascii="Times New Roman" w:hAnsi="Times New Roman" w:eastAsia="仿宋" w:cs="宋体"/>
                <w:bCs/>
                <w:sz w:val="24"/>
                <w:lang w:val="en-US" w:eastAsia="zh-CN"/>
              </w:rPr>
              <w:t>1.供应商拟投入的项目负责人具有国家级部门颁发的水质自动监测领域培训合格证书的及维修电工职业资格证书，得</w:t>
            </w:r>
            <w:r>
              <w:rPr>
                <w:rFonts w:hint="eastAsia" w:ascii="Times New Roman" w:hAnsi="Times New Roman" w:eastAsia="仿宋" w:cs="宋体"/>
                <w:bCs/>
                <w:sz w:val="24"/>
                <w:lang w:val="en-US" w:eastAsia="zh-CN"/>
              </w:rPr>
              <w:t>4</w:t>
            </w:r>
            <w:r>
              <w:rPr>
                <w:rFonts w:hint="default" w:ascii="Times New Roman" w:hAnsi="Times New Roman" w:eastAsia="仿宋" w:cs="宋体"/>
                <w:bCs/>
                <w:sz w:val="24"/>
                <w:lang w:val="en-US" w:eastAsia="zh-CN"/>
              </w:rPr>
              <w:t>分；同时具有安全员证书及生态环境类中级及以上职称证书的，得4分；满分</w:t>
            </w:r>
            <w:r>
              <w:rPr>
                <w:rFonts w:hint="eastAsia" w:ascii="Times New Roman" w:hAnsi="Times New Roman" w:eastAsia="仿宋" w:cs="宋体"/>
                <w:bCs/>
                <w:sz w:val="24"/>
                <w:lang w:val="en-US" w:eastAsia="zh-CN"/>
              </w:rPr>
              <w:t>8</w:t>
            </w:r>
            <w:r>
              <w:rPr>
                <w:rFonts w:hint="default" w:ascii="Times New Roman" w:hAnsi="Times New Roman" w:eastAsia="仿宋" w:cs="宋体"/>
                <w:bCs/>
                <w:sz w:val="24"/>
                <w:lang w:val="en-US" w:eastAsia="zh-CN"/>
              </w:rPr>
              <w:t>分。</w:t>
            </w:r>
          </w:p>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default" w:ascii="Times New Roman" w:hAnsi="Times New Roman" w:eastAsia="仿宋" w:cs="宋体"/>
                <w:bCs/>
                <w:sz w:val="24"/>
                <w:lang w:val="en-US" w:eastAsia="zh-CN"/>
              </w:rPr>
            </w:pPr>
            <w:r>
              <w:rPr>
                <w:rFonts w:hint="default" w:ascii="Times New Roman" w:hAnsi="Times New Roman" w:eastAsia="仿宋" w:cs="宋体"/>
                <w:bCs/>
                <w:sz w:val="24"/>
                <w:lang w:val="en-US" w:eastAsia="zh-CN"/>
              </w:rPr>
              <w:t>2.供应商拟投入的现场人员获得过国家级部门颁发的水质自动监测领域培训合格证书的，每提供1个证书得2分，不提供不得分，满分4分。</w:t>
            </w:r>
          </w:p>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default" w:ascii="Times New Roman" w:hAnsi="Times New Roman" w:eastAsia="仿宋" w:cs="宋体"/>
                <w:bCs/>
                <w:sz w:val="24"/>
                <w:lang w:val="en-US" w:eastAsia="zh-CN"/>
              </w:rPr>
            </w:pPr>
            <w:r>
              <w:rPr>
                <w:rFonts w:hint="default" w:ascii="Times New Roman" w:hAnsi="Times New Roman" w:eastAsia="仿宋" w:cs="宋体"/>
                <w:bCs/>
                <w:sz w:val="24"/>
                <w:lang w:val="en-US" w:eastAsia="zh-CN"/>
              </w:rPr>
              <w:t>【注：以上人员须提供培训合格证书、资格证书、职称证书、安全员证书等相关证书证明材料复印件和项目负责人、</w:t>
            </w:r>
            <w:r>
              <w:rPr>
                <w:rFonts w:hint="eastAsia" w:ascii="Times New Roman" w:hAnsi="Times New Roman" w:eastAsia="仿宋" w:cs="宋体"/>
                <w:bCs/>
                <w:sz w:val="24"/>
                <w:lang w:val="en-US" w:eastAsia="zh-CN"/>
              </w:rPr>
              <w:t>工作</w:t>
            </w:r>
            <w:r>
              <w:rPr>
                <w:rFonts w:hint="default" w:ascii="Times New Roman" w:hAnsi="Times New Roman" w:eastAsia="仿宋" w:cs="宋体"/>
                <w:bCs/>
                <w:sz w:val="24"/>
                <w:lang w:val="en-US" w:eastAsia="zh-CN"/>
              </w:rPr>
              <w:t>人员有同类项目经验证明材料，及近6个月任意3个月的社保缴纳证明材料复印件，并在复印件上加盖公章，不提供证明材料或证明材料不全不得分。】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lang w:val="zh-CN"/>
              </w:rPr>
            </w:pP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二</w:t>
            </w:r>
            <w:r>
              <w:rPr>
                <w:rFonts w:hint="eastAsia" w:ascii="Times New Roman" w:hAnsi="Times New Roman" w:eastAsia="仿宋" w:cs="宋体"/>
                <w:bCs/>
                <w:sz w:val="24"/>
                <w:lang w:val="zh-CN" w:eastAsia="zh-CN"/>
              </w:rPr>
              <w:t>）</w:t>
            </w:r>
            <w:r>
              <w:rPr>
                <w:rFonts w:hint="eastAsia" w:ascii="Times New Roman" w:hAnsi="Times New Roman" w:eastAsia="仿宋" w:cs="宋体"/>
                <w:bCs/>
                <w:sz w:val="24"/>
                <w:lang w:val="en-US" w:eastAsia="zh-CN"/>
              </w:rPr>
              <w:t>项目配件、耗材配备方案分</w:t>
            </w:r>
            <w:r>
              <w:rPr>
                <w:rFonts w:hint="eastAsia" w:ascii="Times New Roman" w:hAnsi="Times New Roman" w:eastAsia="仿宋" w:cs="宋体"/>
                <w:bCs/>
                <w:sz w:val="24"/>
                <w:lang w:val="zh-CN"/>
              </w:rPr>
              <w:t>（满分</w:t>
            </w:r>
            <w:r>
              <w:rPr>
                <w:rFonts w:hint="eastAsia" w:ascii="Times New Roman" w:hAnsi="Times New Roman" w:eastAsia="仿宋" w:cs="宋体"/>
                <w:bCs/>
                <w:sz w:val="24"/>
                <w:lang w:val="en-US" w:eastAsia="zh-CN"/>
              </w:rPr>
              <w:t>8</w:t>
            </w:r>
            <w:r>
              <w:rPr>
                <w:rFonts w:hint="eastAsia" w:ascii="Times New Roman" w:hAnsi="Times New Roman" w:eastAsia="仿宋" w:cs="宋体"/>
                <w:bCs/>
                <w:sz w:val="24"/>
                <w:lang w:val="zh-CN"/>
              </w:rPr>
              <w:t>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 w:cs="宋体"/>
                <w:bCs/>
                <w:sz w:val="24"/>
                <w:lang w:val="zh-CN"/>
              </w:rPr>
            </w:pPr>
            <w:r>
              <w:rPr>
                <w:rFonts w:hint="default" w:ascii="Times New Roman" w:hAnsi="Times New Roman" w:eastAsia="仿宋" w:cs="宋体"/>
                <w:bCs/>
                <w:sz w:val="24"/>
                <w:lang w:val="en-US" w:eastAsia="zh-CN"/>
              </w:rPr>
              <w:t>一</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8</w:t>
            </w:r>
            <w:r>
              <w:rPr>
                <w:rFonts w:hint="default" w:ascii="Times New Roman" w:hAnsi="Times New Roman" w:eastAsia="仿宋" w:cs="宋体"/>
                <w:bCs/>
                <w:sz w:val="24"/>
                <w:lang w:val="zh-CN"/>
              </w:rPr>
              <w:t>分）：</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完全符合项目要求且有优于招标文件要求的承诺或措施，可行性高，有优质的服务保障，综合评定优秀。</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 w:cs="宋体"/>
                <w:bCs/>
                <w:sz w:val="24"/>
                <w:lang w:val="zh-CN" w:eastAsia="zh-CN"/>
              </w:rPr>
            </w:pPr>
            <w:r>
              <w:rPr>
                <w:rFonts w:hint="default" w:ascii="Times New Roman" w:hAnsi="Times New Roman" w:eastAsia="仿宋" w:cs="宋体"/>
                <w:bCs/>
                <w:sz w:val="24"/>
                <w:lang w:val="en-US" w:eastAsia="zh-CN"/>
              </w:rPr>
              <w:t>二</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6</w:t>
            </w:r>
            <w:r>
              <w:rPr>
                <w:rFonts w:hint="default" w:ascii="Times New Roman" w:hAnsi="Times New Roman" w:eastAsia="仿宋" w:cs="宋体"/>
                <w:bCs/>
                <w:sz w:val="24"/>
                <w:lang w:val="zh-CN"/>
              </w:rPr>
              <w:t>分）：</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完全符合项目要求，可行性较高，有合理的服务保障，综合评定良好</w:t>
            </w:r>
            <w:r>
              <w:rPr>
                <w:rFonts w:hint="default" w:ascii="Times New Roman" w:hAnsi="Times New Roman" w:eastAsia="仿宋" w:cs="宋体"/>
                <w:bCs/>
                <w:sz w:val="24"/>
                <w:lang w:val="zh-CN" w:eastAsia="zh-CN"/>
              </w:rPr>
              <w:t>。</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 w:cs="宋体"/>
                <w:bCs/>
                <w:sz w:val="24"/>
                <w:lang w:val="en-US" w:eastAsia="zh-CN"/>
              </w:rPr>
            </w:pPr>
            <w:r>
              <w:rPr>
                <w:rFonts w:hint="default" w:ascii="Times New Roman" w:hAnsi="Times New Roman" w:eastAsia="仿宋" w:cs="宋体"/>
                <w:bCs/>
                <w:sz w:val="24"/>
                <w:lang w:val="en-US" w:eastAsia="zh-CN"/>
              </w:rPr>
              <w:t>三</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4</w:t>
            </w:r>
            <w:r>
              <w:rPr>
                <w:rFonts w:hint="default" w:ascii="Times New Roman" w:hAnsi="Times New Roman" w:eastAsia="仿宋" w:cs="宋体"/>
                <w:bCs/>
                <w:sz w:val="24"/>
                <w:lang w:val="zh-CN"/>
              </w:rPr>
              <w:t>分）：</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基本符合项目要求，基本可行，综合评定一般</w:t>
            </w:r>
            <w:r>
              <w:rPr>
                <w:rFonts w:hint="default" w:ascii="Times New Roman" w:hAnsi="Times New Roman" w:eastAsia="仿宋" w:cs="宋体"/>
                <w:bCs/>
                <w:sz w:val="24"/>
                <w:lang w:val="zh-CN" w:eastAsia="zh-CN"/>
              </w:rPr>
              <w:t>。</w:t>
            </w:r>
            <w:r>
              <w:rPr>
                <w:rFonts w:hint="default" w:ascii="Times New Roman" w:hAnsi="Times New Roman" w:eastAsia="仿宋" w:cs="宋体"/>
                <w:bCs/>
                <w:sz w:val="24"/>
                <w:lang w:val="zh-CN"/>
              </w:rPr>
              <w:t xml:space="preserve">       </w:t>
            </w:r>
            <w:r>
              <w:rPr>
                <w:rFonts w:hint="default" w:ascii="Times New Roman" w:hAnsi="Times New Roman" w:eastAsia="仿宋" w:cs="宋体"/>
                <w:bCs/>
                <w:sz w:val="24"/>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Times New Roman" w:hAnsi="Times New Roman" w:eastAsia="仿宋" w:cs="宋体"/>
                <w:bCs/>
                <w:sz w:val="24"/>
                <w:lang w:val="zh-CN"/>
              </w:rPr>
            </w:pPr>
            <w:r>
              <w:rPr>
                <w:rFonts w:hint="default" w:ascii="Times New Roman" w:hAnsi="Times New Roman" w:eastAsia="仿宋" w:cs="宋体"/>
                <w:bCs/>
                <w:sz w:val="24"/>
                <w:lang w:val="en-US" w:eastAsia="zh-CN"/>
              </w:rPr>
              <w:t>四</w:t>
            </w:r>
            <w:r>
              <w:rPr>
                <w:rFonts w:hint="default" w:ascii="Times New Roman" w:hAnsi="Times New Roman" w:eastAsia="仿宋" w:cs="宋体"/>
                <w:bCs/>
                <w:sz w:val="24"/>
                <w:lang w:val="zh-CN"/>
              </w:rPr>
              <w:t>档（</w:t>
            </w:r>
            <w:r>
              <w:rPr>
                <w:rFonts w:hint="default" w:ascii="Times New Roman" w:hAnsi="Times New Roman" w:eastAsia="仿宋" w:cs="宋体"/>
                <w:bCs/>
                <w:sz w:val="24"/>
                <w:lang w:val="en-US" w:eastAsia="zh-CN"/>
              </w:rPr>
              <w:t>2</w:t>
            </w:r>
            <w:r>
              <w:rPr>
                <w:rFonts w:hint="default" w:ascii="Times New Roman" w:hAnsi="Times New Roman" w:eastAsia="仿宋" w:cs="宋体"/>
                <w:bCs/>
                <w:sz w:val="24"/>
                <w:lang w:val="zh-CN"/>
              </w:rPr>
              <w:t>分）：未提供或提供的</w:t>
            </w:r>
            <w:r>
              <w:rPr>
                <w:rFonts w:hint="default" w:ascii="Times New Roman" w:hAnsi="Times New Roman" w:eastAsia="仿宋" w:cs="宋体"/>
                <w:bCs/>
                <w:sz w:val="24"/>
                <w:lang w:val="zh-CN" w:eastAsia="zh-CN"/>
              </w:rPr>
              <w:t>方案</w:t>
            </w:r>
            <w:r>
              <w:rPr>
                <w:rFonts w:hint="default" w:ascii="Times New Roman" w:hAnsi="Times New Roman" w:eastAsia="仿宋" w:cs="宋体"/>
                <w:bCs/>
                <w:sz w:val="24"/>
                <w:lang w:val="zh-CN"/>
              </w:rPr>
              <w:t>内容过于简单，没有针对性</w:t>
            </w:r>
            <w:r>
              <w:rPr>
                <w:rFonts w:hint="default" w:ascii="Times New Roman" w:hAnsi="Times New Roman" w:eastAsia="仿宋" w:cs="宋体"/>
                <w:bCs/>
                <w:sz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rPr>
            </w:pPr>
            <w:r>
              <w:rPr>
                <w:rFonts w:hint="eastAsia" w:ascii="Times New Roman" w:hAnsi="Times New Roman" w:eastAsia="仿宋" w:cs="宋体"/>
                <w:sz w:val="24"/>
              </w:rPr>
              <w:t>四、荣誉分（</w:t>
            </w:r>
            <w:r>
              <w:rPr>
                <w:rFonts w:hint="eastAsia" w:ascii="Times New Roman" w:hAnsi="Times New Roman" w:eastAsia="仿宋" w:cs="宋体"/>
                <w:sz w:val="24"/>
                <w:lang w:val="en-US" w:eastAsia="zh-CN"/>
              </w:rPr>
              <w:t>10</w:t>
            </w:r>
            <w:r>
              <w:rPr>
                <w:rFonts w:hint="eastAsia" w:ascii="Times New Roman" w:hAnsi="Times New Roman" w:eastAsia="仿宋" w:cs="宋体"/>
                <w:sz w:val="24"/>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eastAsia" w:ascii="Times New Roman" w:hAnsi="Times New Roman" w:eastAsia="仿宋" w:cs="宋体"/>
                <w:bCs/>
                <w:sz w:val="24"/>
                <w:lang w:val="zh-CN"/>
              </w:rPr>
            </w:pPr>
            <w:r>
              <w:rPr>
                <w:rFonts w:hint="default" w:ascii="Times New Roman" w:hAnsi="Times New Roman" w:eastAsia="仿宋" w:cs="宋体"/>
                <w:bCs/>
                <w:sz w:val="24"/>
                <w:lang w:val="zh-CN"/>
              </w:rPr>
              <w:t>供应商在以往环境监测服务中未受到各级环保主管部门行政处罚、通报、记不良记录、记过、或存在弄虚作假等不良行为记录的，加盖供应商公章（供应商应的承诺必须真实有效，若经查实存在虚假承诺的情形，则采购人有权取消其成交资格，并上报监督管理部门处理，且保留追究法律责任的权利），得</w:t>
            </w:r>
            <w:r>
              <w:rPr>
                <w:rFonts w:hint="eastAsia" w:ascii="Times New Roman" w:hAnsi="Times New Roman" w:eastAsia="仿宋" w:cs="宋体"/>
                <w:bCs/>
                <w:sz w:val="24"/>
                <w:lang w:val="en-US" w:eastAsia="zh-CN"/>
              </w:rPr>
              <w:t>10</w:t>
            </w:r>
            <w:r>
              <w:rPr>
                <w:rFonts w:hint="default" w:ascii="Times New Roman" w:hAnsi="Times New Roman" w:eastAsia="仿宋" w:cs="宋体"/>
                <w:bCs/>
                <w:sz w:val="24"/>
                <w:lang w:val="zh-CN"/>
              </w:rPr>
              <w:t>分</w:t>
            </w:r>
            <w:r>
              <w:rPr>
                <w:rFonts w:hint="eastAsia" w:ascii="Times New Roman" w:hAnsi="Times New Roman" w:eastAsia="仿宋" w:cs="宋体"/>
                <w:bCs/>
                <w:sz w:val="24"/>
                <w:lang w:val="en-US" w:eastAsia="zh-CN"/>
              </w:rPr>
              <w:t>；</w:t>
            </w:r>
            <w:r>
              <w:rPr>
                <w:rFonts w:hint="default" w:ascii="Times New Roman" w:hAnsi="Times New Roman" w:eastAsia="仿宋" w:cs="宋体"/>
                <w:bCs/>
                <w:sz w:val="24"/>
                <w:lang w:val="zh-CN"/>
              </w:rPr>
              <w:t>未提供相应承诺函或有不良记录的，不得分</w:t>
            </w:r>
            <w:r>
              <w:rPr>
                <w:rFonts w:hint="default" w:ascii="Times New Roman" w:hAnsi="Times New Roman" w:eastAsia="仿宋" w:cs="宋体"/>
                <w:bCs/>
                <w:sz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2542" w:type="dxa"/>
            <w:noWrap w:val="0"/>
            <w:vAlign w:val="center"/>
          </w:tcPr>
          <w:p>
            <w:pPr>
              <w:keepNext w:val="0"/>
              <w:keepLines w:val="0"/>
              <w:pageBreakBefore w:val="0"/>
              <w:kinsoku/>
              <w:wordWrap/>
              <w:overflowPunct w:val="0"/>
              <w:topLinePunct w:val="0"/>
              <w:autoSpaceDE/>
              <w:autoSpaceDN/>
              <w:bidi w:val="0"/>
              <w:adjustRightInd/>
              <w:snapToGrid/>
              <w:spacing w:line="320" w:lineRule="exact"/>
              <w:jc w:val="center"/>
              <w:textAlignment w:val="auto"/>
              <w:rPr>
                <w:rFonts w:ascii="Times New Roman" w:hAnsi="Times New Roman" w:eastAsia="仿宋" w:cs="宋体"/>
                <w:sz w:val="24"/>
              </w:rPr>
            </w:pPr>
            <w:r>
              <w:rPr>
                <w:rFonts w:hint="eastAsia" w:ascii="Times New Roman" w:hAnsi="Times New Roman" w:eastAsia="仿宋" w:cs="宋体"/>
                <w:sz w:val="24"/>
              </w:rPr>
              <w:t>五、业绩分（</w:t>
            </w:r>
            <w:r>
              <w:rPr>
                <w:rFonts w:hint="eastAsia" w:ascii="Times New Roman" w:hAnsi="Times New Roman" w:eastAsia="仿宋" w:cs="宋体"/>
                <w:sz w:val="24"/>
                <w:lang w:val="en-US" w:eastAsia="zh-CN"/>
              </w:rPr>
              <w:t>10</w:t>
            </w:r>
            <w:r>
              <w:rPr>
                <w:rFonts w:hint="eastAsia" w:ascii="Times New Roman" w:hAnsi="Times New Roman" w:eastAsia="仿宋" w:cs="宋体"/>
                <w:sz w:val="24"/>
              </w:rPr>
              <w:t>分）</w:t>
            </w:r>
          </w:p>
        </w:tc>
        <w:tc>
          <w:tcPr>
            <w:tcW w:w="6832" w:type="dxa"/>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eastAsia" w:ascii="Times New Roman" w:hAnsi="Times New Roman" w:eastAsia="仿宋" w:cs="宋体"/>
                <w:bCs/>
                <w:sz w:val="24"/>
                <w:lang w:val="en-US" w:eastAsia="zh-CN"/>
              </w:rPr>
            </w:pPr>
            <w:r>
              <w:rPr>
                <w:rFonts w:hint="eastAsia" w:ascii="Times New Roman" w:hAnsi="Times New Roman" w:eastAsia="仿宋" w:cs="宋体"/>
                <w:bCs/>
                <w:sz w:val="24"/>
                <w:lang w:val="en-US" w:eastAsia="zh-CN"/>
              </w:rPr>
              <w:t>供应商自 2023年1月以来具有水质自动监测站运维、维修维护项目业绩，每提供1个得 2 分，满分 10分；不提供或提供不全不得分。</w:t>
            </w:r>
          </w:p>
          <w:p>
            <w:pPr>
              <w:keepNext w:val="0"/>
              <w:keepLines w:val="0"/>
              <w:pageBreakBefore w:val="0"/>
              <w:widowControl w:val="0"/>
              <w:kinsoku/>
              <w:wordWrap/>
              <w:overflowPunct w:val="0"/>
              <w:topLinePunct w:val="0"/>
              <w:autoSpaceDE/>
              <w:autoSpaceDN/>
              <w:bidi w:val="0"/>
              <w:adjustRightInd/>
              <w:snapToGrid/>
              <w:spacing w:line="320" w:lineRule="exact"/>
              <w:ind w:firstLine="480" w:firstLineChars="200"/>
              <w:textAlignment w:val="auto"/>
              <w:rPr>
                <w:rFonts w:hint="eastAsia" w:ascii="Times New Roman" w:hAnsi="Times New Roman" w:eastAsia="仿宋" w:cs="宋体"/>
                <w:bCs/>
                <w:sz w:val="24"/>
                <w:lang w:val="zh-CN"/>
              </w:rPr>
            </w:pPr>
            <w:r>
              <w:rPr>
                <w:rFonts w:hint="eastAsia" w:ascii="Times New Roman" w:hAnsi="Times New Roman" w:eastAsia="仿宋" w:cs="宋体"/>
                <w:bCs/>
                <w:sz w:val="24"/>
                <w:lang w:val="en-US" w:eastAsia="zh-CN"/>
              </w:rPr>
              <w:t>【</w:t>
            </w:r>
            <w:bookmarkStart w:id="0" w:name="_Toc24257"/>
            <w:r>
              <w:rPr>
                <w:rFonts w:hint="eastAsia" w:ascii="Times New Roman" w:hAnsi="Times New Roman" w:eastAsia="仿宋" w:cs="宋体"/>
                <w:bCs/>
                <w:sz w:val="24"/>
                <w:lang w:val="en-US" w:eastAsia="zh-CN"/>
              </w:rPr>
              <w:t>注：以中标、成交通知书或签订的项目合同及验收材料为准，并能清晰反映项目名称、种类，否则不得分，同站点名称的项目和同一个编号的项目有两个或两个以上的分标中标的只算一次</w:t>
            </w:r>
            <w:bookmarkEnd w:id="0"/>
            <w:r>
              <w:rPr>
                <w:rFonts w:hint="eastAsia" w:ascii="Times New Roman" w:hAnsi="Times New Roman" w:eastAsia="仿宋" w:cs="宋体"/>
                <w:bCs/>
                <w:sz w:val="24"/>
                <w:lang w:val="en-US" w:eastAsia="zh-CN"/>
              </w:rPr>
              <w:t>】</w:t>
            </w:r>
          </w:p>
        </w:tc>
      </w:tr>
    </w:tbl>
    <w:p>
      <w:pPr>
        <w:autoSpaceDE w:val="0"/>
        <w:spacing w:line="600" w:lineRule="exact"/>
        <w:jc w:val="both"/>
        <w:rPr>
          <w:rFonts w:hint="eastAsia" w:ascii="仿宋_GB2312" w:hAnsi="仿宋_GB2312" w:eastAsia="仿宋_GB2312" w:cs="仿宋_GB2312"/>
          <w:color w:val="000000"/>
          <w:sz w:val="32"/>
          <w:szCs w:val="32"/>
          <w:lang w:val="en-US" w:eastAsia="zh-CN"/>
        </w:rPr>
      </w:pPr>
    </w:p>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5ECA20-DE6F-4753-B3C4-A8E145DC5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embedRegular r:id="rId2" w:fontKey="{B4B5D4C0-A1DC-43F7-8DB8-AF012BF7344B}"/>
  </w:font>
  <w:font w:name="仿宋_GB2312">
    <w:panose1 w:val="02010609030101010101"/>
    <w:charset w:val="86"/>
    <w:family w:val="auto"/>
    <w:pitch w:val="default"/>
    <w:sig w:usb0="00000001" w:usb1="080E0000" w:usb2="00000000" w:usb3="00000000" w:csb0="00040000" w:csb1="00000000"/>
    <w:embedRegular r:id="rId3" w:fontKey="{3D0713F8-0AEC-4250-B8D1-47659CF5F87F}"/>
  </w:font>
  <w:font w:name="仿宋">
    <w:panose1 w:val="02010609060101010101"/>
    <w:charset w:val="86"/>
    <w:family w:val="modern"/>
    <w:pitch w:val="default"/>
    <w:sig w:usb0="800002BF" w:usb1="38CF7CFA" w:usb2="00000016" w:usb3="00000000" w:csb0="00040001" w:csb1="00000000"/>
    <w:embedRegular r:id="rId4" w:fontKey="{283EEFE7-599D-4D8A-B6EB-13AFE50FAB9D}"/>
  </w:font>
  <w:font w:name="楷体_GB2312">
    <w:panose1 w:val="02010609030101010101"/>
    <w:charset w:val="86"/>
    <w:family w:val="moder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5" w:fontKey="{8B1340DD-AFD8-4656-8819-4E7E94654CAA}"/>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GU6qt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9A6"/>
    <w:rsid w:val="00EE7842"/>
    <w:rsid w:val="019673A3"/>
    <w:rsid w:val="01C34446"/>
    <w:rsid w:val="02075A7B"/>
    <w:rsid w:val="02607CD2"/>
    <w:rsid w:val="03327B51"/>
    <w:rsid w:val="04074FB1"/>
    <w:rsid w:val="04DC0AA0"/>
    <w:rsid w:val="069845E6"/>
    <w:rsid w:val="07187BB9"/>
    <w:rsid w:val="084870B4"/>
    <w:rsid w:val="08B0365F"/>
    <w:rsid w:val="08CC392A"/>
    <w:rsid w:val="08D26A2D"/>
    <w:rsid w:val="08D64061"/>
    <w:rsid w:val="08DA5B45"/>
    <w:rsid w:val="092932E6"/>
    <w:rsid w:val="09B62003"/>
    <w:rsid w:val="0B240117"/>
    <w:rsid w:val="0B51783C"/>
    <w:rsid w:val="0C756640"/>
    <w:rsid w:val="0CB95DA3"/>
    <w:rsid w:val="10B275EE"/>
    <w:rsid w:val="1128487E"/>
    <w:rsid w:val="11345108"/>
    <w:rsid w:val="1206323E"/>
    <w:rsid w:val="1379066A"/>
    <w:rsid w:val="13EE10E0"/>
    <w:rsid w:val="168E7E93"/>
    <w:rsid w:val="18E10389"/>
    <w:rsid w:val="1929558B"/>
    <w:rsid w:val="1A6E148E"/>
    <w:rsid w:val="1B38733D"/>
    <w:rsid w:val="1B704C24"/>
    <w:rsid w:val="1C003E75"/>
    <w:rsid w:val="1CFA16FF"/>
    <w:rsid w:val="1CFD421F"/>
    <w:rsid w:val="1D394A06"/>
    <w:rsid w:val="1DD143F0"/>
    <w:rsid w:val="1DD62CD1"/>
    <w:rsid w:val="1DE90BB9"/>
    <w:rsid w:val="1DEB053E"/>
    <w:rsid w:val="1E16029E"/>
    <w:rsid w:val="1EB712D3"/>
    <w:rsid w:val="209F024F"/>
    <w:rsid w:val="22E964E4"/>
    <w:rsid w:val="23C45507"/>
    <w:rsid w:val="24295AB4"/>
    <w:rsid w:val="24BF4414"/>
    <w:rsid w:val="25B44881"/>
    <w:rsid w:val="25DF0910"/>
    <w:rsid w:val="25E5479B"/>
    <w:rsid w:val="263B1728"/>
    <w:rsid w:val="26A22A09"/>
    <w:rsid w:val="27ED4B35"/>
    <w:rsid w:val="28A46EB8"/>
    <w:rsid w:val="2AA77235"/>
    <w:rsid w:val="2ACC7085"/>
    <w:rsid w:val="2AF8507F"/>
    <w:rsid w:val="2B016514"/>
    <w:rsid w:val="2B34160D"/>
    <w:rsid w:val="2CE13CA3"/>
    <w:rsid w:val="2D7070E6"/>
    <w:rsid w:val="2D77678F"/>
    <w:rsid w:val="2D9271A3"/>
    <w:rsid w:val="2DF90A2C"/>
    <w:rsid w:val="313F7E68"/>
    <w:rsid w:val="316F3C92"/>
    <w:rsid w:val="3325563D"/>
    <w:rsid w:val="33D26ADA"/>
    <w:rsid w:val="34884BC0"/>
    <w:rsid w:val="34C3718D"/>
    <w:rsid w:val="34DC0648"/>
    <w:rsid w:val="35EB73A0"/>
    <w:rsid w:val="36DC59B0"/>
    <w:rsid w:val="37656406"/>
    <w:rsid w:val="37712690"/>
    <w:rsid w:val="37E24CB6"/>
    <w:rsid w:val="38177D0E"/>
    <w:rsid w:val="38712C7F"/>
    <w:rsid w:val="39D4434A"/>
    <w:rsid w:val="3C232DE9"/>
    <w:rsid w:val="3CBC7974"/>
    <w:rsid w:val="3D206068"/>
    <w:rsid w:val="3E2E7672"/>
    <w:rsid w:val="403839AA"/>
    <w:rsid w:val="40C2727A"/>
    <w:rsid w:val="41416982"/>
    <w:rsid w:val="41972B99"/>
    <w:rsid w:val="425561E5"/>
    <w:rsid w:val="42757CB3"/>
    <w:rsid w:val="42851E2C"/>
    <w:rsid w:val="430D0495"/>
    <w:rsid w:val="430D6BAF"/>
    <w:rsid w:val="43916F74"/>
    <w:rsid w:val="46351979"/>
    <w:rsid w:val="469A1C37"/>
    <w:rsid w:val="47565237"/>
    <w:rsid w:val="47D72C1D"/>
    <w:rsid w:val="4A311FCB"/>
    <w:rsid w:val="4BD13B95"/>
    <w:rsid w:val="4C756335"/>
    <w:rsid w:val="4EFF066A"/>
    <w:rsid w:val="500A52B1"/>
    <w:rsid w:val="50153434"/>
    <w:rsid w:val="509867CA"/>
    <w:rsid w:val="52166EAB"/>
    <w:rsid w:val="52746C91"/>
    <w:rsid w:val="54322F51"/>
    <w:rsid w:val="56C84636"/>
    <w:rsid w:val="576511D6"/>
    <w:rsid w:val="578A616C"/>
    <w:rsid w:val="596D5B55"/>
    <w:rsid w:val="5A376486"/>
    <w:rsid w:val="5A8F5421"/>
    <w:rsid w:val="5BE14A81"/>
    <w:rsid w:val="5C5E047D"/>
    <w:rsid w:val="5D6559BA"/>
    <w:rsid w:val="5E865651"/>
    <w:rsid w:val="5EAF4515"/>
    <w:rsid w:val="5F065D7D"/>
    <w:rsid w:val="603B1F6D"/>
    <w:rsid w:val="62D56CEC"/>
    <w:rsid w:val="6325141D"/>
    <w:rsid w:val="63AC469A"/>
    <w:rsid w:val="643C0534"/>
    <w:rsid w:val="64832492"/>
    <w:rsid w:val="682139F2"/>
    <w:rsid w:val="692221EE"/>
    <w:rsid w:val="696A48F1"/>
    <w:rsid w:val="69A17DE8"/>
    <w:rsid w:val="69A76317"/>
    <w:rsid w:val="6A753BF2"/>
    <w:rsid w:val="6AB2729D"/>
    <w:rsid w:val="6C1D1AE4"/>
    <w:rsid w:val="6C7A4F79"/>
    <w:rsid w:val="6C996BCC"/>
    <w:rsid w:val="6D4A1133"/>
    <w:rsid w:val="6D886B14"/>
    <w:rsid w:val="6F0D52A1"/>
    <w:rsid w:val="717B5A18"/>
    <w:rsid w:val="71FE0363"/>
    <w:rsid w:val="74113EC2"/>
    <w:rsid w:val="74552F3E"/>
    <w:rsid w:val="746A2237"/>
    <w:rsid w:val="74D932E9"/>
    <w:rsid w:val="763C5112"/>
    <w:rsid w:val="770A6746"/>
    <w:rsid w:val="78A54C68"/>
    <w:rsid w:val="792007B4"/>
    <w:rsid w:val="7A390477"/>
    <w:rsid w:val="7AFA15F9"/>
    <w:rsid w:val="7C610153"/>
    <w:rsid w:val="7D242848"/>
    <w:rsid w:val="7D7B1DEA"/>
    <w:rsid w:val="7DD814B0"/>
    <w:rsid w:val="7E0F0D09"/>
    <w:rsid w:val="7FCF500E"/>
    <w:rsid w:val="7FEA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style>
  <w:style w:type="character" w:styleId="15">
    <w:name w:val="Emphasis"/>
    <w:basedOn w:val="12"/>
    <w:qFormat/>
    <w:uiPriority w:val="0"/>
    <w:rPr>
      <w:i/>
    </w:rPr>
  </w:style>
  <w:style w:type="paragraph" w:customStyle="1" w:styleId="16">
    <w:name w:val="正文（缩进）"/>
    <w:basedOn w:val="1"/>
    <w:qFormat/>
    <w:uiPriority w:val="0"/>
    <w:pPr>
      <w:spacing w:before="156" w:after="156"/>
      <w:ind w:firstLine="480" w:firstLineChars="200"/>
    </w:pPr>
  </w:style>
  <w:style w:type="paragraph" w:customStyle="1" w:styleId="17">
    <w:name w:val="YHY"/>
    <w:basedOn w:val="1"/>
    <w:qFormat/>
    <w:uiPriority w:val="99"/>
    <w:pPr>
      <w:spacing w:beforeLines="50" w:afterLines="50" w:line="360" w:lineRule="auto"/>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4108</Words>
  <Characters>5621</Characters>
  <Lines>0</Lines>
  <Paragraphs>0</Paragraphs>
  <TotalTime>882</TotalTime>
  <ScaleCrop>false</ScaleCrop>
  <LinksUpToDate>false</LinksUpToDate>
  <CharactersWithSpaces>5623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lenovo</cp:lastModifiedBy>
  <cp:lastPrinted>2025-06-13T01:00:00Z</cp:lastPrinted>
  <dcterms:modified xsi:type="dcterms:W3CDTF">2025-06-16T01:20:37Z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62B122452D15457DBF58D412E185F531_13</vt:lpwstr>
  </property>
  <property fmtid="{D5CDD505-2E9C-101B-9397-08002B2CF9AE}" pid="4" name="KSOTemplateDocerSaveRecord">
    <vt:lpwstr>eyJoZGlkIjoiNTFhZDU3ZDcxNmFjMTFkMTU3MDc5YTJiNWU5N2NmZmEiLCJ1c2VySWQiOiI5NTY3NDU1NjkifQ==</vt:lpwstr>
  </property>
</Properties>
</file>