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333FE1">
      <w:pPr>
        <w:rPr>
          <w:rFonts w:hint="default" w:eastAsia="宋体"/>
          <w:highlight w:val="none"/>
          <w:lang w:val="en-US" w:eastAsia="zh-CN"/>
        </w:rPr>
      </w:pPr>
      <w:r>
        <w:rPr>
          <w:rFonts w:hint="default" w:ascii="Times New Roman" w:hAnsi="Times New Roman" w:eastAsia="黑体" w:cs="Times New Roman"/>
          <w:sz w:val="32"/>
          <w:szCs w:val="32"/>
          <w:highlight w:val="none"/>
          <w:lang w:eastAsia="zh-CN"/>
        </w:rPr>
        <w:t>附件</w:t>
      </w:r>
      <w:r>
        <w:rPr>
          <w:rFonts w:hint="default" w:ascii="Times New Roman" w:hAnsi="Times New Roman" w:eastAsia="黑体" w:cs="Times New Roman"/>
          <w:sz w:val="32"/>
          <w:szCs w:val="32"/>
          <w:highlight w:val="none"/>
          <w:lang w:val="en-US" w:eastAsia="zh-CN"/>
        </w:rPr>
        <w:t>2</w:t>
      </w:r>
    </w:p>
    <w:p w14:paraId="441A5032">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ascii="宋体" w:hAnsi="宋体"/>
          <w:b/>
          <w:sz w:val="32"/>
          <w:szCs w:val="32"/>
          <w:highlight w:val="none"/>
        </w:rPr>
      </w:pPr>
      <w:r>
        <w:rPr>
          <w:rFonts w:hint="eastAsia" w:ascii="方正小标宋_GBK" w:hAnsi="方正小标宋_GBK" w:eastAsia="方正小标宋_GBK" w:cs="方正小标宋_GBK"/>
          <w:b/>
          <w:color w:val="000000"/>
          <w:sz w:val="44"/>
          <w:szCs w:val="44"/>
          <w:highlight w:val="none"/>
        </w:rPr>
        <w:t>评审办法及评审标准</w:t>
      </w:r>
    </w:p>
    <w:p w14:paraId="21289731">
      <w:pPr>
        <w:pStyle w:val="3"/>
        <w:spacing w:line="440" w:lineRule="exact"/>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lang w:val="en-US" w:eastAsia="zh-CN"/>
        </w:rPr>
        <w:t>一</w:t>
      </w:r>
      <w:r>
        <w:rPr>
          <w:rFonts w:hint="eastAsia" w:ascii="宋体" w:hAnsi="宋体" w:eastAsia="宋体" w:cs="宋体"/>
          <w:b/>
          <w:bCs/>
          <w:color w:val="000000"/>
          <w:sz w:val="21"/>
          <w:szCs w:val="21"/>
          <w:highlight w:val="none"/>
        </w:rPr>
        <w:t>、评定方法</w:t>
      </w:r>
    </w:p>
    <w:p w14:paraId="08234C4B">
      <w:pPr>
        <w:pStyle w:val="3"/>
        <w:spacing w:line="440" w:lineRule="exact"/>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(一)对商务评审和技术（服务）评审合格的响应文件，采用综合评分法进行评审。</w:t>
      </w:r>
    </w:p>
    <w:p w14:paraId="1F128B41">
      <w:pPr>
        <w:pStyle w:val="3"/>
        <w:spacing w:line="440" w:lineRule="exact"/>
        <w:ind w:firstLine="420" w:firstLineChars="200"/>
        <w:rPr>
          <w:rFonts w:hint="eastAsia" w:ascii="宋体" w:hAnsi="宋体" w:eastAsia="宋体" w:cs="宋体"/>
          <w:sz w:val="21"/>
          <w:szCs w:val="21"/>
          <w:highlight w:val="none"/>
        </w:rPr>
      </w:pPr>
      <w:r>
        <w:rPr>
          <w:rFonts w:hint="eastAsia" w:ascii="宋体" w:hAnsi="宋体" w:eastAsia="宋体" w:cs="宋体"/>
          <w:color w:val="000000"/>
          <w:sz w:val="21"/>
          <w:szCs w:val="21"/>
          <w:highlight w:val="none"/>
          <w:lang w:val="en-US" w:eastAsia="zh-CN"/>
        </w:rPr>
        <w:t>评标</w:t>
      </w:r>
      <w:r>
        <w:rPr>
          <w:rFonts w:hint="eastAsia" w:ascii="宋体" w:hAnsi="宋体" w:eastAsia="宋体" w:cs="宋体"/>
          <w:color w:val="000000"/>
          <w:sz w:val="21"/>
          <w:szCs w:val="21"/>
          <w:highlight w:val="none"/>
        </w:rPr>
        <w:t>小组将以</w:t>
      </w:r>
      <w:r>
        <w:rPr>
          <w:rFonts w:hint="eastAsia" w:ascii="宋体" w:hAnsi="宋体" w:eastAsia="宋体" w:cs="宋体"/>
          <w:color w:val="000000"/>
          <w:sz w:val="21"/>
          <w:szCs w:val="21"/>
          <w:highlight w:val="none"/>
          <w:lang w:val="en-US" w:eastAsia="zh-CN"/>
        </w:rPr>
        <w:t>采购需求</w:t>
      </w:r>
      <w:r>
        <w:rPr>
          <w:rFonts w:hint="eastAsia" w:ascii="宋体" w:hAnsi="宋体" w:eastAsia="宋体" w:cs="宋体"/>
          <w:sz w:val="21"/>
          <w:szCs w:val="21"/>
          <w:highlight w:val="none"/>
        </w:rPr>
        <w:t>、响应文件为评定依据，</w:t>
      </w:r>
      <w:r>
        <w:rPr>
          <w:rFonts w:hint="eastAsia" w:ascii="宋体" w:hAnsi="宋体" w:eastAsia="宋体" w:cs="宋体"/>
          <w:bCs/>
          <w:sz w:val="21"/>
          <w:szCs w:val="21"/>
          <w:highlight w:val="none"/>
        </w:rPr>
        <w:t>对供应商的竞标报价、人员配备、方案、业绩等方面内容按百分制打分。</w:t>
      </w:r>
      <w:r>
        <w:rPr>
          <w:rFonts w:hint="eastAsia" w:ascii="宋体" w:hAnsi="宋体" w:eastAsia="宋体" w:cs="宋体"/>
          <w:sz w:val="21"/>
          <w:szCs w:val="21"/>
          <w:highlight w:val="none"/>
        </w:rPr>
        <w:t>以总得分最高的供应商作为成交供应商。</w:t>
      </w:r>
    </w:p>
    <w:p w14:paraId="2875AF69">
      <w:pPr>
        <w:pStyle w:val="3"/>
        <w:spacing w:line="440" w:lineRule="exact"/>
        <w:ind w:firstLine="420" w:firstLineChars="200"/>
        <w:rPr>
          <w:rFonts w:hint="eastAsia" w:ascii="宋体" w:hAnsi="宋体" w:eastAsia="宋体" w:cs="宋体"/>
          <w:bCs/>
          <w:sz w:val="21"/>
          <w:szCs w:val="21"/>
          <w:highlight w:val="none"/>
        </w:rPr>
      </w:pPr>
      <w:r>
        <w:rPr>
          <w:rFonts w:hint="eastAsia" w:ascii="宋体" w:hAnsi="宋体" w:eastAsia="宋体" w:cs="宋体"/>
          <w:sz w:val="21"/>
          <w:szCs w:val="21"/>
          <w:highlight w:val="none"/>
        </w:rPr>
        <w:t>（二）</w:t>
      </w:r>
      <w:r>
        <w:rPr>
          <w:rFonts w:hint="eastAsia" w:ascii="宋体" w:hAnsi="宋体" w:eastAsia="宋体" w:cs="宋体"/>
          <w:bCs/>
          <w:sz w:val="21"/>
          <w:szCs w:val="21"/>
          <w:highlight w:val="none"/>
        </w:rPr>
        <w:t>评标价=</w:t>
      </w:r>
      <w:r>
        <w:rPr>
          <w:rFonts w:hint="eastAsia" w:ascii="宋体" w:hAnsi="宋体" w:eastAsia="宋体" w:cs="宋体"/>
          <w:bCs/>
          <w:sz w:val="21"/>
          <w:szCs w:val="21"/>
          <w:highlight w:val="none"/>
          <w:lang w:val="en-US" w:eastAsia="zh-CN"/>
        </w:rPr>
        <w:t>投标人有效</w:t>
      </w:r>
      <w:r>
        <w:rPr>
          <w:rFonts w:hint="eastAsia" w:ascii="宋体" w:hAnsi="宋体" w:eastAsia="宋体" w:cs="宋体"/>
          <w:bCs/>
          <w:sz w:val="21"/>
          <w:szCs w:val="21"/>
          <w:highlight w:val="none"/>
        </w:rPr>
        <w:t>报价。</w:t>
      </w:r>
    </w:p>
    <w:p w14:paraId="5BCEA1A4">
      <w:pPr>
        <w:pStyle w:val="3"/>
        <w:spacing w:line="440" w:lineRule="exact"/>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（三）计分办法（按四舍五入取至百分位）：</w:t>
      </w:r>
    </w:p>
    <w:p w14:paraId="1C2B1418">
      <w:pPr>
        <w:spacing w:line="400" w:lineRule="exact"/>
        <w:rPr>
          <w:rFonts w:hint="default" w:ascii="Times New Roman" w:hAnsi="Times New Roman" w:eastAsia="宋体" w:cs="Times New Roman"/>
          <w:b/>
          <w:sz w:val="21"/>
          <w:szCs w:val="21"/>
          <w:highlight w:val="none"/>
        </w:rPr>
      </w:pPr>
      <w:r>
        <w:rPr>
          <w:rFonts w:hint="default" w:ascii="Times New Roman" w:hAnsi="Times New Roman" w:eastAsia="宋体" w:cs="Times New Roman"/>
          <w:b/>
          <w:sz w:val="21"/>
          <w:szCs w:val="21"/>
          <w:highlight w:val="none"/>
        </w:rPr>
        <w:t>1</w:t>
      </w:r>
      <w:r>
        <w:rPr>
          <w:rFonts w:hint="default" w:ascii="Times New Roman" w:hAnsi="Times New Roman" w:cs="Times New Roman"/>
          <w:b/>
          <w:sz w:val="21"/>
          <w:szCs w:val="21"/>
          <w:highlight w:val="none"/>
          <w:lang w:eastAsia="zh-CN"/>
        </w:rPr>
        <w:t>、</w:t>
      </w:r>
      <w:r>
        <w:rPr>
          <w:rFonts w:hint="default" w:ascii="Times New Roman" w:hAnsi="Times New Roman" w:eastAsia="宋体" w:cs="Times New Roman"/>
          <w:b/>
          <w:sz w:val="21"/>
          <w:szCs w:val="21"/>
          <w:highlight w:val="none"/>
        </w:rPr>
        <w:t>价格分………………………………………………………………………………………</w:t>
      </w:r>
      <w:r>
        <w:rPr>
          <w:rFonts w:hint="eastAsia" w:ascii="Times New Roman" w:hAnsi="Times New Roman" w:cs="Times New Roman"/>
          <w:b/>
          <w:sz w:val="21"/>
          <w:szCs w:val="21"/>
          <w:highlight w:val="none"/>
          <w:lang w:val="en-US" w:eastAsia="zh-CN"/>
        </w:rPr>
        <w:t>15</w:t>
      </w:r>
      <w:r>
        <w:rPr>
          <w:rFonts w:hint="default" w:ascii="Times New Roman" w:hAnsi="Times New Roman" w:eastAsia="宋体" w:cs="Times New Roman"/>
          <w:b/>
          <w:sz w:val="21"/>
          <w:szCs w:val="21"/>
          <w:highlight w:val="none"/>
        </w:rPr>
        <w:t>分</w:t>
      </w:r>
    </w:p>
    <w:p w14:paraId="20AC9DD9">
      <w:pPr>
        <w:pStyle w:val="7"/>
        <w:spacing w:line="400" w:lineRule="exact"/>
        <w:ind w:firstLine="378" w:firstLineChars="180"/>
        <w:rPr>
          <w:rFonts w:hint="default" w:ascii="Times New Roman" w:hAnsi="Times New Roman" w:eastAsia="宋体" w:cs="Times New Roman"/>
          <w:sz w:val="21"/>
          <w:szCs w:val="21"/>
          <w:highlight w:val="none"/>
        </w:rPr>
      </w:pPr>
      <w:r>
        <w:rPr>
          <w:rFonts w:hint="default" w:ascii="Times New Roman" w:hAnsi="Times New Roman" w:eastAsia="宋体" w:cs="Times New Roman"/>
          <w:sz w:val="21"/>
          <w:szCs w:val="21"/>
          <w:highlight w:val="none"/>
        </w:rPr>
        <w:t>（1）以</w:t>
      </w:r>
      <w:r>
        <w:rPr>
          <w:rFonts w:hint="default" w:ascii="Times New Roman" w:hAnsi="Times New Roman" w:eastAsia="宋体" w:cs="Times New Roman"/>
          <w:sz w:val="21"/>
          <w:szCs w:val="21"/>
          <w:highlight w:val="none"/>
          <w:lang w:eastAsia="zh-CN"/>
        </w:rPr>
        <w:t>通过资格和符合性审查</w:t>
      </w:r>
      <w:r>
        <w:rPr>
          <w:rFonts w:hint="default" w:ascii="Times New Roman" w:hAnsi="Times New Roman" w:eastAsia="宋体" w:cs="Times New Roman"/>
          <w:sz w:val="21"/>
          <w:szCs w:val="21"/>
          <w:highlight w:val="none"/>
        </w:rPr>
        <w:t>的</w:t>
      </w:r>
      <w:r>
        <w:rPr>
          <w:rFonts w:hint="default" w:ascii="Times New Roman" w:hAnsi="Times New Roman" w:eastAsia="宋体" w:cs="Times New Roman"/>
          <w:sz w:val="21"/>
          <w:szCs w:val="21"/>
          <w:highlight w:val="none"/>
          <w:lang w:eastAsia="zh-CN"/>
        </w:rPr>
        <w:t>最低评标报价</w:t>
      </w:r>
      <w:r>
        <w:rPr>
          <w:rFonts w:hint="default" w:ascii="Times New Roman" w:hAnsi="Times New Roman" w:eastAsia="宋体" w:cs="Times New Roman"/>
          <w:sz w:val="21"/>
          <w:szCs w:val="21"/>
          <w:highlight w:val="none"/>
        </w:rPr>
        <w:t>为</w:t>
      </w:r>
      <w:r>
        <w:rPr>
          <w:rFonts w:hint="eastAsia" w:ascii="Times New Roman" w:hAnsi="Times New Roman" w:cs="Times New Roman"/>
          <w:sz w:val="21"/>
          <w:szCs w:val="21"/>
          <w:highlight w:val="none"/>
          <w:lang w:val="en-US" w:eastAsia="zh-CN"/>
        </w:rPr>
        <w:t>15</w:t>
      </w:r>
      <w:r>
        <w:rPr>
          <w:rFonts w:hint="default" w:ascii="Times New Roman" w:hAnsi="Times New Roman" w:eastAsia="宋体" w:cs="Times New Roman"/>
          <w:sz w:val="21"/>
          <w:szCs w:val="21"/>
          <w:highlight w:val="none"/>
        </w:rPr>
        <w:t>分；</w:t>
      </w:r>
    </w:p>
    <w:p w14:paraId="15426C64">
      <w:pPr>
        <w:pStyle w:val="3"/>
        <w:spacing w:line="400" w:lineRule="exact"/>
        <w:ind w:firstLine="2940" w:firstLineChars="1400"/>
        <w:rPr>
          <w:rFonts w:hint="default" w:ascii="Times New Roman" w:hAnsi="Times New Roman" w:eastAsia="宋体" w:cs="Times New Roman"/>
          <w:sz w:val="21"/>
          <w:szCs w:val="21"/>
          <w:highlight w:val="none"/>
        </w:rPr>
      </w:pPr>
      <w:r>
        <w:rPr>
          <w:rFonts w:hint="default" w:ascii="Times New Roman" w:hAnsi="Times New Roman" w:eastAsia="宋体" w:cs="Times New Roman"/>
          <w:sz w:val="21"/>
          <w:szCs w:val="21"/>
          <w:highlight w:val="none"/>
        </w:rPr>
        <w:t>供应商最低评标报价金额（元）</w:t>
      </w:r>
    </w:p>
    <w:p w14:paraId="164208EB">
      <w:pPr>
        <w:pStyle w:val="7"/>
        <w:spacing w:line="400" w:lineRule="exact"/>
        <w:ind w:firstLine="378" w:firstLineChars="180"/>
        <w:rPr>
          <w:rFonts w:hint="default" w:ascii="Times New Roman" w:hAnsi="Times New Roman" w:eastAsia="宋体" w:cs="Times New Roman"/>
          <w:sz w:val="21"/>
          <w:szCs w:val="21"/>
          <w:highlight w:val="none"/>
          <w:shd w:val="clear" w:color="auto" w:fill="FFFF00"/>
        </w:rPr>
      </w:pPr>
      <w:r>
        <w:rPr>
          <w:rFonts w:hint="default" w:ascii="Times New Roman" w:hAnsi="Times New Roman" w:eastAsia="宋体" w:cs="Times New Roman"/>
          <w:sz w:val="21"/>
          <w:szCs w:val="21"/>
          <w:highlight w:val="none"/>
        </w:rPr>
        <mc:AlternateContent>
          <mc:Choice Requires="wps">
            <w:drawing>
              <wp:anchor distT="0" distB="0" distL="114300" distR="114300" simplePos="0" relativeHeight="251659264" behindDoc="0" locked="0" layoutInCell="1" allowOverlap="1">
                <wp:simplePos x="0" y="0"/>
                <wp:positionH relativeFrom="column">
                  <wp:posOffset>1730375</wp:posOffset>
                </wp:positionH>
                <wp:positionV relativeFrom="paragraph">
                  <wp:posOffset>140970</wp:posOffset>
                </wp:positionV>
                <wp:extent cx="1896110" cy="0"/>
                <wp:effectExtent l="0" t="4445" r="0" b="5080"/>
                <wp:wrapNone/>
                <wp:docPr id="1" name="直接连接符 1"/>
                <wp:cNvGraphicFramePr/>
                <a:graphic xmlns:a="http://schemas.openxmlformats.org/drawingml/2006/main">
                  <a:graphicData uri="http://schemas.microsoft.com/office/word/2010/wordprocessingShape">
                    <wps:wsp>
                      <wps:cNvCnPr/>
                      <wps:spPr>
                        <a:xfrm>
                          <a:off x="0" y="0"/>
                          <a:ext cx="1896110" cy="0"/>
                        </a:xfrm>
                        <a:prstGeom prst="line">
                          <a:avLst/>
                        </a:prstGeom>
                        <a:ln w="9360"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136.25pt;margin-top:11.1pt;height:0pt;width:149.3pt;z-index:251659264;mso-width-relative:page;mso-height-relative:page;" filled="f" stroked="t" coordsize="21600,21600" o:gfxdata="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BPY/YvWAAAACQEAAA8AAAAAAAAAAQAgAAAAIgAAAGRycy9kb3ducmV2LnhtbFBL&#10;AQIUABQAAAAIAIdO4kC1pyjS+AEAAPIDAAAOAAAAAAAAAAEAIAAAACUBAABkcnMvZTJvRG9jLnht&#10;bFBLBQYAAAAABgAGAFkBAACPBQAAAAA=&#10;">
                <v:fill on="f" focussize="0,0"/>
                <v:stroke weight="0.737007874015748pt" color="#000000" joinstyle="round"/>
                <v:imagedata o:title=""/>
                <o:lock v:ext="edit" aspectratio="f"/>
              </v:line>
            </w:pict>
          </mc:Fallback>
        </mc:AlternateContent>
      </w:r>
      <w:r>
        <w:rPr>
          <w:rFonts w:hint="default" w:ascii="Times New Roman" w:hAnsi="Times New Roman" w:eastAsia="宋体" w:cs="Times New Roman"/>
          <w:sz w:val="21"/>
          <w:szCs w:val="21"/>
          <w:highlight w:val="none"/>
          <w:lang w:eastAsia="zh-CN"/>
        </w:rPr>
        <w:t>（2）</w:t>
      </w:r>
      <w:r>
        <w:rPr>
          <w:rFonts w:hint="default" w:ascii="Times New Roman" w:hAnsi="Times New Roman" w:eastAsia="宋体" w:cs="Times New Roman"/>
          <w:sz w:val="21"/>
          <w:szCs w:val="21"/>
          <w:highlight w:val="none"/>
        </w:rPr>
        <w:t xml:space="preserve">某供应商价格分 =        </w:t>
      </w:r>
      <w:r>
        <w:rPr>
          <w:rFonts w:hint="default" w:ascii="Times New Roman" w:hAnsi="Times New Roman" w:eastAsia="宋体" w:cs="Times New Roman"/>
          <w:sz w:val="21"/>
          <w:szCs w:val="21"/>
          <w:highlight w:val="none"/>
          <w:lang w:val="en-US" w:eastAsia="zh-CN"/>
        </w:rPr>
        <w:t xml:space="preserve">                        </w:t>
      </w:r>
      <w:r>
        <w:rPr>
          <w:rFonts w:hint="default" w:ascii="Times New Roman" w:hAnsi="Times New Roman" w:eastAsia="宋体" w:cs="Times New Roman"/>
          <w:sz w:val="21"/>
          <w:szCs w:val="21"/>
          <w:highlight w:val="none"/>
        </w:rPr>
        <w:t>×</w:t>
      </w:r>
      <w:r>
        <w:rPr>
          <w:rFonts w:hint="eastAsia" w:ascii="Times New Roman" w:hAnsi="Times New Roman" w:cs="Times New Roman"/>
          <w:sz w:val="21"/>
          <w:szCs w:val="21"/>
          <w:highlight w:val="none"/>
          <w:lang w:val="en-US" w:eastAsia="zh-CN"/>
        </w:rPr>
        <w:t>15</w:t>
      </w:r>
      <w:r>
        <w:rPr>
          <w:rFonts w:hint="default" w:ascii="Times New Roman" w:hAnsi="Times New Roman" w:eastAsia="宋体" w:cs="Times New Roman"/>
          <w:bCs/>
          <w:sz w:val="21"/>
          <w:szCs w:val="21"/>
          <w:highlight w:val="none"/>
        </w:rPr>
        <w:t>分</w:t>
      </w:r>
    </w:p>
    <w:p w14:paraId="677949E7">
      <w:pPr>
        <w:tabs>
          <w:tab w:val="left" w:pos="6172"/>
        </w:tabs>
        <w:spacing w:line="400" w:lineRule="exact"/>
        <w:ind w:left="412" w:hanging="206"/>
        <w:rPr>
          <w:rFonts w:ascii="Times New Roman" w:hAnsi="Times New Roman"/>
          <w:szCs w:val="21"/>
          <w:highlight w:val="none"/>
        </w:rPr>
      </w:pPr>
      <w:r>
        <w:rPr>
          <w:rFonts w:hint="default" w:ascii="Times New Roman" w:hAnsi="Times New Roman" w:eastAsia="宋体" w:cs="Times New Roman"/>
          <w:sz w:val="21"/>
          <w:szCs w:val="21"/>
          <w:highlight w:val="none"/>
        </w:rPr>
        <w:t xml:space="preserve">                          某供应商评标报价金额（元）</w:t>
      </w:r>
    </w:p>
    <w:p w14:paraId="2EA03EAA">
      <w:pPr>
        <w:spacing w:line="396" w:lineRule="exact"/>
        <w:outlineLvl w:val="1"/>
        <w:rPr>
          <w:rFonts w:hint="default" w:ascii="Times New Roman" w:hAnsi="Times New Roman"/>
          <w:highlight w:val="none"/>
        </w:rPr>
      </w:pPr>
      <w:r>
        <w:rPr>
          <w:rFonts w:hint="default" w:ascii="Times New Roman" w:hAnsi="Times New Roman"/>
          <w:b/>
          <w:szCs w:val="21"/>
          <w:highlight w:val="none"/>
        </w:rPr>
        <w:t>2、</w:t>
      </w:r>
      <w:r>
        <w:rPr>
          <w:rFonts w:hint="default" w:ascii="Times New Roman" w:hAnsi="Times New Roman"/>
          <w:b/>
          <w:szCs w:val="21"/>
          <w:highlight w:val="none"/>
          <w:lang w:val="en-US" w:eastAsia="zh-CN"/>
        </w:rPr>
        <w:t>技术</w:t>
      </w:r>
      <w:r>
        <w:rPr>
          <w:rFonts w:hint="default" w:ascii="Times New Roman" w:hAnsi="Times New Roman"/>
          <w:b/>
          <w:szCs w:val="21"/>
          <w:highlight w:val="none"/>
        </w:rPr>
        <w:t>分………………………………………………………………………………………</w:t>
      </w:r>
      <w:r>
        <w:rPr>
          <w:rFonts w:hint="eastAsia" w:ascii="Times New Roman" w:hAnsi="Times New Roman"/>
          <w:b/>
          <w:szCs w:val="21"/>
          <w:highlight w:val="none"/>
          <w:lang w:val="en-US" w:eastAsia="zh-CN"/>
        </w:rPr>
        <w:t>45</w:t>
      </w:r>
      <w:r>
        <w:rPr>
          <w:rFonts w:hint="default" w:ascii="Times New Roman" w:hAnsi="Times New Roman"/>
          <w:b/>
          <w:szCs w:val="21"/>
          <w:highlight w:val="none"/>
        </w:rPr>
        <w:t>分</w:t>
      </w:r>
    </w:p>
    <w:p w14:paraId="4EDD76AE">
      <w:pPr>
        <w:spacing w:line="440" w:lineRule="exact"/>
        <w:ind w:firstLine="422" w:firstLineChars="200"/>
        <w:rPr>
          <w:rFonts w:hint="default" w:ascii="Times New Roman" w:hAnsi="Times New Roman" w:eastAsia="宋体" w:cs="Times New Roman"/>
          <w:bCs/>
          <w:color w:val="auto"/>
          <w:sz w:val="21"/>
          <w:szCs w:val="21"/>
          <w:highlight w:val="none"/>
        </w:rPr>
      </w:pPr>
      <w:r>
        <w:rPr>
          <w:rFonts w:hint="default" w:ascii="Times New Roman" w:hAnsi="Times New Roman" w:eastAsia="宋体" w:cs="Times New Roman"/>
          <w:b/>
          <w:color w:val="auto"/>
          <w:sz w:val="21"/>
          <w:szCs w:val="21"/>
          <w:highlight w:val="none"/>
        </w:rPr>
        <w:t>（1）</w:t>
      </w:r>
      <w:r>
        <w:rPr>
          <w:rFonts w:hint="default" w:ascii="Times New Roman" w:hAnsi="Times New Roman" w:eastAsia="宋体" w:cs="Times New Roman"/>
          <w:b/>
          <w:color w:val="auto"/>
          <w:sz w:val="21"/>
          <w:szCs w:val="21"/>
          <w:highlight w:val="none"/>
          <w:lang w:eastAsia="zh-CN"/>
        </w:rPr>
        <w:t>运维服务技术方案分（</w:t>
      </w:r>
      <w:r>
        <w:rPr>
          <w:rFonts w:hint="eastAsia" w:ascii="Times New Roman" w:hAnsi="Times New Roman" w:cs="Times New Roman"/>
          <w:b/>
          <w:color w:val="auto"/>
          <w:sz w:val="21"/>
          <w:szCs w:val="21"/>
          <w:highlight w:val="none"/>
          <w:lang w:val="en-US" w:eastAsia="zh-CN"/>
        </w:rPr>
        <w:t>15</w:t>
      </w:r>
      <w:r>
        <w:rPr>
          <w:rFonts w:hint="default" w:ascii="Times New Roman" w:hAnsi="Times New Roman" w:eastAsia="宋体" w:cs="Times New Roman"/>
          <w:b/>
          <w:color w:val="auto"/>
          <w:sz w:val="21"/>
          <w:szCs w:val="21"/>
          <w:highlight w:val="none"/>
          <w:lang w:eastAsia="zh-CN"/>
        </w:rPr>
        <w:t>分）</w:t>
      </w:r>
    </w:p>
    <w:p w14:paraId="45F9FDBE">
      <w:pPr>
        <w:spacing w:line="440" w:lineRule="exact"/>
        <w:ind w:firstLine="420" w:firstLineChars="200"/>
        <w:rPr>
          <w:rFonts w:hint="default" w:ascii="Times New Roman" w:hAnsi="Times New Roman"/>
          <w:b w:val="0"/>
          <w:bCs w:val="0"/>
          <w:highlight w:val="none"/>
        </w:rPr>
      </w:pPr>
      <w:r>
        <w:rPr>
          <w:rFonts w:hint="default" w:ascii="Times New Roman" w:hAnsi="Times New Roman"/>
          <w:b w:val="0"/>
          <w:bCs w:val="0"/>
          <w:highlight w:val="none"/>
        </w:rPr>
        <w:t>一档（</w:t>
      </w:r>
      <w:r>
        <w:rPr>
          <w:rFonts w:hint="eastAsia" w:ascii="Times New Roman" w:hAnsi="Times New Roman"/>
          <w:b w:val="0"/>
          <w:bCs w:val="0"/>
          <w:highlight w:val="none"/>
          <w:lang w:val="en-US" w:eastAsia="zh-CN"/>
        </w:rPr>
        <w:t>5</w:t>
      </w:r>
      <w:r>
        <w:rPr>
          <w:rFonts w:hint="default" w:ascii="Times New Roman" w:hAnsi="Times New Roman"/>
          <w:b w:val="0"/>
          <w:bCs w:val="0"/>
          <w:highlight w:val="none"/>
        </w:rPr>
        <w:t>分）：供应商对技术方案、项目合理化设计方案表述不够明确、清晰，没有体现经济性、合理性和先进性；方案基本合理，针对性一般，基本满足采购文件要求。整体评价一般。</w:t>
      </w:r>
    </w:p>
    <w:p w14:paraId="027FCD76">
      <w:pPr>
        <w:spacing w:line="440" w:lineRule="exact"/>
        <w:ind w:firstLine="420" w:firstLineChars="200"/>
        <w:rPr>
          <w:rFonts w:hint="default" w:ascii="Times New Roman" w:hAnsi="Times New Roman"/>
          <w:b w:val="0"/>
          <w:bCs w:val="0"/>
          <w:highlight w:val="none"/>
        </w:rPr>
      </w:pPr>
      <w:r>
        <w:rPr>
          <w:rFonts w:hint="default" w:ascii="Times New Roman" w:hAnsi="Times New Roman"/>
          <w:b w:val="0"/>
          <w:bCs w:val="0"/>
          <w:highlight w:val="none"/>
        </w:rPr>
        <w:t>二档（</w:t>
      </w:r>
      <w:r>
        <w:rPr>
          <w:rFonts w:hint="eastAsia" w:ascii="Times New Roman" w:hAnsi="Times New Roman"/>
          <w:b w:val="0"/>
          <w:bCs w:val="0"/>
          <w:highlight w:val="none"/>
          <w:lang w:val="en-US" w:eastAsia="zh-CN"/>
        </w:rPr>
        <w:t>10</w:t>
      </w:r>
      <w:r>
        <w:rPr>
          <w:rFonts w:hint="default" w:ascii="Times New Roman" w:hAnsi="Times New Roman"/>
          <w:b w:val="0"/>
          <w:bCs w:val="0"/>
          <w:highlight w:val="none"/>
        </w:rPr>
        <w:t>分）：供应商对技术方案、项目合理化建议表述比较明确清晰，内容比较全面，经济性、合理性和先进性不够明显，方案较合理，具有一定的针对性。整体评价良好。</w:t>
      </w:r>
    </w:p>
    <w:p w14:paraId="254AA92E">
      <w:pPr>
        <w:spacing w:line="440" w:lineRule="exact"/>
        <w:ind w:firstLine="420" w:firstLineChars="200"/>
        <w:rPr>
          <w:rFonts w:hint="default" w:ascii="Times New Roman" w:hAnsi="Times New Roman"/>
          <w:b w:val="0"/>
          <w:bCs w:val="0"/>
          <w:highlight w:val="none"/>
        </w:rPr>
      </w:pPr>
      <w:r>
        <w:rPr>
          <w:rFonts w:hint="default" w:ascii="Times New Roman" w:hAnsi="Times New Roman"/>
          <w:b w:val="0"/>
          <w:bCs w:val="0"/>
          <w:highlight w:val="none"/>
        </w:rPr>
        <w:t>三档（1</w:t>
      </w:r>
      <w:r>
        <w:rPr>
          <w:rFonts w:hint="eastAsia" w:ascii="Times New Roman" w:hAnsi="Times New Roman"/>
          <w:b w:val="0"/>
          <w:bCs w:val="0"/>
          <w:highlight w:val="none"/>
          <w:lang w:val="en-US" w:eastAsia="zh-CN"/>
        </w:rPr>
        <w:t>5</w:t>
      </w:r>
      <w:r>
        <w:rPr>
          <w:rFonts w:hint="default" w:ascii="Times New Roman" w:hAnsi="Times New Roman"/>
          <w:b w:val="0"/>
          <w:bCs w:val="0"/>
          <w:highlight w:val="none"/>
        </w:rPr>
        <w:t>分）：供应商对技术方案、项目合理化建议表述清晰、体现经济性、合理性和先进性，方案可行、详细、操作性强，有专项针对本项目情况的分析，完全满足采购文件要求，整体评价优秀。</w:t>
      </w:r>
    </w:p>
    <w:p w14:paraId="036C92FB">
      <w:pPr>
        <w:spacing w:line="440" w:lineRule="exact"/>
        <w:ind w:firstLine="420" w:firstLineChars="200"/>
        <w:rPr>
          <w:rFonts w:hint="default" w:ascii="Times New Roman" w:hAnsi="Times New Roman"/>
          <w:b w:val="0"/>
          <w:bCs w:val="0"/>
          <w:highlight w:val="none"/>
        </w:rPr>
      </w:pPr>
      <w:r>
        <w:rPr>
          <w:rFonts w:hint="default" w:ascii="Times New Roman" w:hAnsi="Times New Roman"/>
          <w:b w:val="0"/>
          <w:bCs w:val="0"/>
          <w:highlight w:val="none"/>
        </w:rPr>
        <w:t>注：未提供相关内容方案不得分。</w:t>
      </w:r>
    </w:p>
    <w:p w14:paraId="46A2D921">
      <w:pPr>
        <w:spacing w:line="440" w:lineRule="exact"/>
        <w:ind w:firstLine="422" w:firstLineChars="200"/>
        <w:rPr>
          <w:rFonts w:hint="default" w:ascii="Times New Roman" w:hAnsi="Times New Roman"/>
          <w:b/>
          <w:bCs/>
          <w:highlight w:val="none"/>
        </w:rPr>
      </w:pPr>
      <w:r>
        <w:rPr>
          <w:rFonts w:hint="eastAsia" w:ascii="Times New Roman" w:hAnsi="Times New Roman"/>
          <w:b/>
          <w:bCs/>
          <w:highlight w:val="none"/>
          <w:lang w:eastAsia="zh-CN"/>
        </w:rPr>
        <w:t>（</w:t>
      </w:r>
      <w:r>
        <w:rPr>
          <w:rFonts w:hint="eastAsia" w:ascii="Times New Roman" w:hAnsi="Times New Roman"/>
          <w:b/>
          <w:bCs/>
          <w:highlight w:val="none"/>
          <w:lang w:val="en-US" w:eastAsia="zh-CN"/>
        </w:rPr>
        <w:t>2</w:t>
      </w:r>
      <w:r>
        <w:rPr>
          <w:rFonts w:hint="eastAsia" w:ascii="Times New Roman" w:hAnsi="Times New Roman"/>
          <w:b/>
          <w:bCs/>
          <w:highlight w:val="none"/>
          <w:lang w:eastAsia="zh-CN"/>
        </w:rPr>
        <w:t>）</w:t>
      </w:r>
      <w:r>
        <w:rPr>
          <w:rFonts w:hint="default" w:ascii="Times New Roman" w:hAnsi="Times New Roman"/>
          <w:b/>
          <w:bCs/>
          <w:highlight w:val="none"/>
        </w:rPr>
        <w:t>项目运维服务预算编制分（</w:t>
      </w:r>
      <w:r>
        <w:rPr>
          <w:rFonts w:hint="eastAsia" w:ascii="Times New Roman" w:hAnsi="Times New Roman"/>
          <w:b/>
          <w:bCs/>
          <w:highlight w:val="none"/>
          <w:lang w:val="en-US" w:eastAsia="zh-CN"/>
        </w:rPr>
        <w:t>15</w:t>
      </w:r>
      <w:r>
        <w:rPr>
          <w:rFonts w:hint="default" w:ascii="Times New Roman" w:hAnsi="Times New Roman"/>
          <w:b/>
          <w:bCs/>
          <w:highlight w:val="none"/>
        </w:rPr>
        <w:t>分）</w:t>
      </w:r>
    </w:p>
    <w:p w14:paraId="5D97C8F7">
      <w:pPr>
        <w:keepNext w:val="0"/>
        <w:keepLines w:val="0"/>
        <w:pageBreakBefore w:val="0"/>
        <w:widowControl w:val="0"/>
        <w:kinsoku/>
        <w:wordWrap/>
        <w:overflowPunct/>
        <w:topLinePunct w:val="0"/>
        <w:autoSpaceDE/>
        <w:autoSpaceDN/>
        <w:bidi w:val="0"/>
        <w:adjustRightInd/>
        <w:snapToGrid/>
        <w:spacing w:line="396" w:lineRule="exact"/>
        <w:ind w:firstLine="420" w:firstLineChars="200"/>
        <w:textAlignment w:val="auto"/>
        <w:outlineLvl w:val="1"/>
        <w:rPr>
          <w:rFonts w:hint="default" w:ascii="Times New Roman" w:hAnsi="Times New Roman"/>
          <w:b w:val="0"/>
          <w:bCs w:val="0"/>
          <w:highlight w:val="none"/>
        </w:rPr>
      </w:pPr>
      <w:r>
        <w:rPr>
          <w:rFonts w:hint="default" w:ascii="Times New Roman" w:hAnsi="Times New Roman"/>
          <w:b w:val="0"/>
          <w:bCs w:val="0"/>
          <w:highlight w:val="none"/>
        </w:rPr>
        <w:t>一档（</w:t>
      </w:r>
      <w:r>
        <w:rPr>
          <w:rFonts w:hint="eastAsia" w:ascii="Times New Roman" w:hAnsi="Times New Roman"/>
          <w:b w:val="0"/>
          <w:bCs w:val="0"/>
          <w:highlight w:val="none"/>
          <w:lang w:val="en-US" w:eastAsia="zh-CN"/>
        </w:rPr>
        <w:t>5</w:t>
      </w:r>
      <w:r>
        <w:rPr>
          <w:rFonts w:hint="default" w:ascii="Times New Roman" w:hAnsi="Times New Roman"/>
          <w:b w:val="0"/>
          <w:bCs w:val="0"/>
          <w:highlight w:val="none"/>
        </w:rPr>
        <w:t>分）：供应商提供有项目采购预算政策依据、编制方法、编制内容等内容描述简单，符合项目评审及项目建设要求；</w:t>
      </w:r>
    </w:p>
    <w:p w14:paraId="0800A94D">
      <w:pPr>
        <w:keepNext w:val="0"/>
        <w:keepLines w:val="0"/>
        <w:pageBreakBefore w:val="0"/>
        <w:widowControl w:val="0"/>
        <w:kinsoku/>
        <w:wordWrap/>
        <w:overflowPunct/>
        <w:topLinePunct w:val="0"/>
        <w:autoSpaceDE/>
        <w:autoSpaceDN/>
        <w:bidi w:val="0"/>
        <w:adjustRightInd/>
        <w:snapToGrid/>
        <w:spacing w:line="396" w:lineRule="exact"/>
        <w:ind w:firstLine="420" w:firstLineChars="200"/>
        <w:textAlignment w:val="auto"/>
        <w:outlineLvl w:val="1"/>
        <w:rPr>
          <w:rFonts w:hint="default" w:ascii="Times New Roman" w:hAnsi="Times New Roman"/>
          <w:b w:val="0"/>
          <w:bCs w:val="0"/>
          <w:highlight w:val="none"/>
        </w:rPr>
      </w:pPr>
      <w:r>
        <w:rPr>
          <w:rFonts w:hint="default" w:ascii="Times New Roman" w:hAnsi="Times New Roman"/>
          <w:b w:val="0"/>
          <w:bCs w:val="0"/>
          <w:highlight w:val="none"/>
        </w:rPr>
        <w:t>二档（</w:t>
      </w:r>
      <w:r>
        <w:rPr>
          <w:rFonts w:hint="eastAsia" w:ascii="Times New Roman" w:hAnsi="Times New Roman"/>
          <w:b w:val="0"/>
          <w:bCs w:val="0"/>
          <w:highlight w:val="none"/>
          <w:lang w:val="en-US" w:eastAsia="zh-CN"/>
        </w:rPr>
        <w:t>10</w:t>
      </w:r>
      <w:r>
        <w:rPr>
          <w:rFonts w:hint="default" w:ascii="Times New Roman" w:hAnsi="Times New Roman"/>
          <w:b w:val="0"/>
          <w:bCs w:val="0"/>
          <w:highlight w:val="none"/>
        </w:rPr>
        <w:t>分）：在一档的基础上，供应商提供有项目采购预算各项费用构成、概预算使用工具等内容描述清晰、明确，方案符合项目实际需求，完整、可行；</w:t>
      </w:r>
    </w:p>
    <w:p w14:paraId="520E610C">
      <w:pPr>
        <w:keepNext w:val="0"/>
        <w:keepLines w:val="0"/>
        <w:pageBreakBefore w:val="0"/>
        <w:widowControl w:val="0"/>
        <w:kinsoku/>
        <w:wordWrap/>
        <w:overflowPunct/>
        <w:topLinePunct w:val="0"/>
        <w:autoSpaceDE/>
        <w:autoSpaceDN/>
        <w:bidi w:val="0"/>
        <w:adjustRightInd/>
        <w:snapToGrid/>
        <w:spacing w:line="396" w:lineRule="exact"/>
        <w:ind w:firstLine="420" w:firstLineChars="200"/>
        <w:textAlignment w:val="auto"/>
        <w:outlineLvl w:val="1"/>
        <w:rPr>
          <w:rFonts w:hint="default" w:ascii="Times New Roman" w:hAnsi="Times New Roman"/>
          <w:b w:val="0"/>
          <w:bCs w:val="0"/>
          <w:highlight w:val="none"/>
        </w:rPr>
      </w:pPr>
      <w:r>
        <w:rPr>
          <w:rFonts w:hint="default" w:ascii="Times New Roman" w:hAnsi="Times New Roman"/>
          <w:b w:val="0"/>
          <w:bCs w:val="0"/>
          <w:highlight w:val="none"/>
        </w:rPr>
        <w:t>三档（1</w:t>
      </w:r>
      <w:r>
        <w:rPr>
          <w:rFonts w:hint="eastAsia" w:ascii="Times New Roman" w:hAnsi="Times New Roman"/>
          <w:b w:val="0"/>
          <w:bCs w:val="0"/>
          <w:highlight w:val="none"/>
          <w:lang w:val="en-US" w:eastAsia="zh-CN"/>
        </w:rPr>
        <w:t>5</w:t>
      </w:r>
      <w:r>
        <w:rPr>
          <w:rFonts w:hint="default" w:ascii="Times New Roman" w:hAnsi="Times New Roman"/>
          <w:b w:val="0"/>
          <w:bCs w:val="0"/>
          <w:highlight w:val="none"/>
        </w:rPr>
        <w:t>分）：在二档的基础上，供应商能结合项目实际需求，依据相关标准要求套用造价定额，编制概预算书框架等内容，方案详细全面、可操作性强，预算针对性强，各项费用措施齐全。</w:t>
      </w:r>
    </w:p>
    <w:p w14:paraId="37C1E8D5">
      <w:pPr>
        <w:keepNext w:val="0"/>
        <w:keepLines w:val="0"/>
        <w:pageBreakBefore w:val="0"/>
        <w:widowControl w:val="0"/>
        <w:kinsoku/>
        <w:wordWrap/>
        <w:overflowPunct/>
        <w:topLinePunct w:val="0"/>
        <w:autoSpaceDE/>
        <w:autoSpaceDN/>
        <w:bidi w:val="0"/>
        <w:adjustRightInd/>
        <w:snapToGrid/>
        <w:spacing w:line="396" w:lineRule="exact"/>
        <w:ind w:firstLine="420" w:firstLineChars="200"/>
        <w:textAlignment w:val="auto"/>
        <w:outlineLvl w:val="1"/>
        <w:rPr>
          <w:rFonts w:hint="default" w:ascii="Times New Roman" w:hAnsi="Times New Roman"/>
          <w:b w:val="0"/>
          <w:bCs w:val="0"/>
          <w:highlight w:val="none"/>
        </w:rPr>
      </w:pPr>
      <w:r>
        <w:rPr>
          <w:rFonts w:hint="default" w:ascii="Times New Roman" w:hAnsi="Times New Roman"/>
          <w:b w:val="0"/>
          <w:bCs w:val="0"/>
          <w:highlight w:val="none"/>
        </w:rPr>
        <w:t>注：未提供相关内容方案不得分。</w:t>
      </w:r>
    </w:p>
    <w:p w14:paraId="3AB0DC59">
      <w:pPr>
        <w:keepNext w:val="0"/>
        <w:keepLines w:val="0"/>
        <w:pageBreakBefore w:val="0"/>
        <w:widowControl w:val="0"/>
        <w:kinsoku/>
        <w:wordWrap/>
        <w:overflowPunct/>
        <w:topLinePunct w:val="0"/>
        <w:autoSpaceDE/>
        <w:autoSpaceDN/>
        <w:bidi w:val="0"/>
        <w:adjustRightInd/>
        <w:snapToGrid/>
        <w:spacing w:line="396" w:lineRule="exact"/>
        <w:ind w:firstLine="422" w:firstLineChars="200"/>
        <w:textAlignment w:val="auto"/>
        <w:outlineLvl w:val="1"/>
        <w:rPr>
          <w:rFonts w:hint="default" w:ascii="Times New Roman" w:hAnsi="Times New Roman"/>
          <w:b/>
          <w:bCs/>
          <w:highlight w:val="none"/>
        </w:rPr>
      </w:pPr>
      <w:r>
        <w:rPr>
          <w:rFonts w:hint="default" w:ascii="Times New Roman" w:hAnsi="Times New Roman"/>
          <w:b/>
          <w:bCs/>
          <w:highlight w:val="none"/>
        </w:rPr>
        <w:t>（3）项目服务保障方案分（1</w:t>
      </w:r>
      <w:r>
        <w:rPr>
          <w:rFonts w:hint="eastAsia" w:ascii="Times New Roman" w:hAnsi="Times New Roman"/>
          <w:b/>
          <w:bCs/>
          <w:highlight w:val="none"/>
          <w:lang w:val="en-US" w:eastAsia="zh-CN"/>
        </w:rPr>
        <w:t>5</w:t>
      </w:r>
      <w:r>
        <w:rPr>
          <w:rFonts w:hint="default" w:ascii="Times New Roman" w:hAnsi="Times New Roman"/>
          <w:b/>
          <w:bCs/>
          <w:highlight w:val="none"/>
        </w:rPr>
        <w:t>分）</w:t>
      </w:r>
    </w:p>
    <w:p w14:paraId="317C1525">
      <w:pPr>
        <w:keepNext w:val="0"/>
        <w:keepLines w:val="0"/>
        <w:pageBreakBefore w:val="0"/>
        <w:widowControl w:val="0"/>
        <w:kinsoku/>
        <w:wordWrap/>
        <w:overflowPunct/>
        <w:topLinePunct w:val="0"/>
        <w:autoSpaceDE/>
        <w:autoSpaceDN/>
        <w:bidi w:val="0"/>
        <w:adjustRightInd/>
        <w:snapToGrid/>
        <w:spacing w:line="396" w:lineRule="exact"/>
        <w:ind w:firstLine="420" w:firstLineChars="200"/>
        <w:textAlignment w:val="auto"/>
        <w:outlineLvl w:val="1"/>
        <w:rPr>
          <w:rFonts w:hint="default" w:ascii="Times New Roman" w:hAnsi="Times New Roman"/>
          <w:b w:val="0"/>
          <w:bCs w:val="0"/>
          <w:highlight w:val="none"/>
        </w:rPr>
      </w:pPr>
      <w:r>
        <w:rPr>
          <w:rFonts w:hint="default" w:ascii="Times New Roman" w:hAnsi="Times New Roman"/>
          <w:b w:val="0"/>
          <w:bCs w:val="0"/>
          <w:highlight w:val="none"/>
        </w:rPr>
        <w:t>一档（</w:t>
      </w:r>
      <w:r>
        <w:rPr>
          <w:rFonts w:hint="eastAsia" w:ascii="Times New Roman" w:hAnsi="Times New Roman"/>
          <w:b w:val="0"/>
          <w:bCs w:val="0"/>
          <w:highlight w:val="none"/>
          <w:lang w:val="en-US" w:eastAsia="zh-CN"/>
        </w:rPr>
        <w:t>5</w:t>
      </w:r>
      <w:r>
        <w:rPr>
          <w:rFonts w:hint="default" w:ascii="Times New Roman" w:hAnsi="Times New Roman"/>
          <w:b w:val="0"/>
          <w:bCs w:val="0"/>
          <w:highlight w:val="none"/>
        </w:rPr>
        <w:t>分）：供应商提供有服务保障目标、任务等内容及后期服务保障方案描述简单，有基本的本地化服务、技术支持保障措施的；</w:t>
      </w:r>
    </w:p>
    <w:p w14:paraId="0B073EC7">
      <w:pPr>
        <w:keepNext w:val="0"/>
        <w:keepLines w:val="0"/>
        <w:pageBreakBefore w:val="0"/>
        <w:widowControl w:val="0"/>
        <w:kinsoku/>
        <w:wordWrap/>
        <w:overflowPunct/>
        <w:topLinePunct w:val="0"/>
        <w:autoSpaceDE/>
        <w:autoSpaceDN/>
        <w:bidi w:val="0"/>
        <w:adjustRightInd/>
        <w:snapToGrid/>
        <w:spacing w:line="396" w:lineRule="exact"/>
        <w:ind w:firstLine="420" w:firstLineChars="200"/>
        <w:textAlignment w:val="auto"/>
        <w:outlineLvl w:val="1"/>
        <w:rPr>
          <w:rFonts w:hint="default" w:ascii="Times New Roman" w:hAnsi="Times New Roman"/>
          <w:b w:val="0"/>
          <w:bCs w:val="0"/>
          <w:highlight w:val="none"/>
        </w:rPr>
      </w:pPr>
      <w:r>
        <w:rPr>
          <w:rFonts w:hint="default" w:ascii="Times New Roman" w:hAnsi="Times New Roman"/>
          <w:b w:val="0"/>
          <w:bCs w:val="0"/>
          <w:highlight w:val="none"/>
        </w:rPr>
        <w:t>二档（</w:t>
      </w:r>
      <w:r>
        <w:rPr>
          <w:rFonts w:hint="eastAsia" w:ascii="Times New Roman" w:hAnsi="Times New Roman"/>
          <w:b w:val="0"/>
          <w:bCs w:val="0"/>
          <w:highlight w:val="none"/>
          <w:lang w:val="en-US" w:eastAsia="zh-CN"/>
        </w:rPr>
        <w:t>10</w:t>
      </w:r>
      <w:r>
        <w:rPr>
          <w:rFonts w:hint="default" w:ascii="Times New Roman" w:hAnsi="Times New Roman"/>
          <w:b w:val="0"/>
          <w:bCs w:val="0"/>
          <w:highlight w:val="none"/>
        </w:rPr>
        <w:t>分）：在一档的基础上，供应商提供的方案有项目组织计划、进度计划及后续服务承诺、服务内容及服务流程，内容描述清晰，方案合理、可行、完整；</w:t>
      </w:r>
    </w:p>
    <w:p w14:paraId="0B9A26A4">
      <w:pPr>
        <w:keepNext w:val="0"/>
        <w:keepLines w:val="0"/>
        <w:pageBreakBefore w:val="0"/>
        <w:widowControl w:val="0"/>
        <w:kinsoku/>
        <w:wordWrap/>
        <w:overflowPunct/>
        <w:topLinePunct w:val="0"/>
        <w:autoSpaceDE/>
        <w:autoSpaceDN/>
        <w:bidi w:val="0"/>
        <w:adjustRightInd/>
        <w:snapToGrid/>
        <w:spacing w:line="396" w:lineRule="exact"/>
        <w:ind w:firstLine="420" w:firstLineChars="200"/>
        <w:textAlignment w:val="auto"/>
        <w:outlineLvl w:val="1"/>
        <w:rPr>
          <w:rFonts w:hint="default" w:ascii="Times New Roman" w:hAnsi="Times New Roman"/>
          <w:b w:val="0"/>
          <w:bCs w:val="0"/>
          <w:highlight w:val="none"/>
        </w:rPr>
      </w:pPr>
      <w:r>
        <w:rPr>
          <w:rFonts w:hint="default" w:ascii="Times New Roman" w:hAnsi="Times New Roman"/>
          <w:b w:val="0"/>
          <w:bCs w:val="0"/>
          <w:highlight w:val="none"/>
        </w:rPr>
        <w:t>三档（1</w:t>
      </w:r>
      <w:r>
        <w:rPr>
          <w:rFonts w:hint="eastAsia" w:ascii="Times New Roman" w:hAnsi="Times New Roman"/>
          <w:b w:val="0"/>
          <w:bCs w:val="0"/>
          <w:highlight w:val="none"/>
          <w:lang w:val="en-US" w:eastAsia="zh-CN"/>
        </w:rPr>
        <w:t>5</w:t>
      </w:r>
      <w:r>
        <w:rPr>
          <w:rFonts w:hint="default" w:ascii="Times New Roman" w:hAnsi="Times New Roman"/>
          <w:b w:val="0"/>
          <w:bCs w:val="0"/>
          <w:highlight w:val="none"/>
        </w:rPr>
        <w:t>分）：在二档的基础上，供应商提供的方案有明确的管理措施、应急预案及后续服务响应与处置、服务体系与</w:t>
      </w:r>
      <w:r>
        <w:rPr>
          <w:rFonts w:hint="eastAsia" w:ascii="Times New Roman" w:hAnsi="Times New Roman"/>
          <w:b w:val="0"/>
          <w:bCs w:val="0"/>
          <w:highlight w:val="none"/>
          <w:lang w:eastAsia="zh-CN"/>
        </w:rPr>
        <w:t>措施</w:t>
      </w:r>
      <w:r>
        <w:rPr>
          <w:rFonts w:hint="default" w:ascii="Times New Roman" w:hAnsi="Times New Roman"/>
          <w:b w:val="0"/>
          <w:bCs w:val="0"/>
          <w:highlight w:val="none"/>
        </w:rPr>
        <w:t>等，内容描述详细全面、各项措施合理。</w:t>
      </w:r>
    </w:p>
    <w:p w14:paraId="1D2E0522">
      <w:pPr>
        <w:keepNext w:val="0"/>
        <w:keepLines w:val="0"/>
        <w:pageBreakBefore w:val="0"/>
        <w:widowControl w:val="0"/>
        <w:kinsoku/>
        <w:wordWrap/>
        <w:overflowPunct/>
        <w:topLinePunct w:val="0"/>
        <w:autoSpaceDE/>
        <w:autoSpaceDN/>
        <w:bidi w:val="0"/>
        <w:adjustRightInd/>
        <w:snapToGrid/>
        <w:spacing w:line="396" w:lineRule="exact"/>
        <w:ind w:firstLine="420" w:firstLineChars="200"/>
        <w:textAlignment w:val="auto"/>
        <w:outlineLvl w:val="1"/>
        <w:rPr>
          <w:rFonts w:hint="default" w:ascii="Times New Roman" w:hAnsi="Times New Roman"/>
          <w:b w:val="0"/>
          <w:bCs w:val="0"/>
          <w:highlight w:val="none"/>
        </w:rPr>
      </w:pPr>
      <w:r>
        <w:rPr>
          <w:rFonts w:hint="default" w:ascii="Times New Roman" w:hAnsi="Times New Roman"/>
          <w:b w:val="0"/>
          <w:bCs w:val="0"/>
          <w:highlight w:val="none"/>
        </w:rPr>
        <w:t>注：未提供相关内容方案不得分。</w:t>
      </w:r>
    </w:p>
    <w:p w14:paraId="16F46B06">
      <w:pPr>
        <w:spacing w:line="396" w:lineRule="exact"/>
        <w:outlineLvl w:val="1"/>
        <w:rPr>
          <w:rFonts w:hint="default" w:ascii="Times New Roman" w:hAnsi="Times New Roman"/>
          <w:b/>
          <w:szCs w:val="21"/>
          <w:highlight w:val="none"/>
        </w:rPr>
      </w:pPr>
      <w:r>
        <w:rPr>
          <w:rFonts w:hint="default" w:ascii="Times New Roman" w:hAnsi="Times New Roman"/>
          <w:b/>
          <w:szCs w:val="21"/>
          <w:highlight w:val="none"/>
        </w:rPr>
        <w:t>3、</w:t>
      </w:r>
      <w:r>
        <w:rPr>
          <w:rFonts w:hint="default" w:ascii="Times New Roman" w:hAnsi="Times New Roman"/>
          <w:b/>
          <w:szCs w:val="21"/>
          <w:highlight w:val="none"/>
          <w:lang w:eastAsia="zh-CN"/>
        </w:rPr>
        <w:t>人员配置方案分</w:t>
      </w:r>
      <w:r>
        <w:rPr>
          <w:rFonts w:hint="default" w:ascii="Times New Roman" w:hAnsi="Times New Roman"/>
          <w:b/>
          <w:szCs w:val="21"/>
          <w:highlight w:val="none"/>
        </w:rPr>
        <w:t>…………………………………………………………………………</w:t>
      </w:r>
      <w:r>
        <w:rPr>
          <w:rFonts w:hint="eastAsia" w:ascii="Times New Roman" w:hAnsi="Times New Roman"/>
          <w:b/>
          <w:szCs w:val="21"/>
          <w:highlight w:val="none"/>
          <w:lang w:val="en-US" w:eastAsia="zh-CN"/>
        </w:rPr>
        <w:t>33</w:t>
      </w:r>
      <w:r>
        <w:rPr>
          <w:rFonts w:hint="default" w:ascii="Times New Roman" w:hAnsi="Times New Roman"/>
          <w:b/>
          <w:szCs w:val="21"/>
          <w:highlight w:val="none"/>
        </w:rPr>
        <w:t>分</w:t>
      </w:r>
    </w:p>
    <w:p w14:paraId="6B1EDA19">
      <w:pPr>
        <w:spacing w:line="440" w:lineRule="exact"/>
        <w:ind w:firstLine="422" w:firstLineChars="200"/>
        <w:rPr>
          <w:rFonts w:hint="eastAsia" w:ascii="Times New Roman" w:hAnsi="Times New Roman" w:cs="Times New Roman"/>
          <w:b/>
          <w:bCs/>
          <w:color w:val="auto"/>
          <w:sz w:val="21"/>
          <w:highlight w:val="none"/>
          <w:lang w:val="en-US" w:eastAsia="zh-CN"/>
        </w:rPr>
      </w:pPr>
      <w:r>
        <w:rPr>
          <w:rFonts w:hint="eastAsia" w:ascii="Times New Roman" w:hAnsi="Times New Roman" w:cs="Times New Roman"/>
          <w:b/>
          <w:bCs/>
          <w:color w:val="auto"/>
          <w:sz w:val="21"/>
          <w:highlight w:val="none"/>
          <w:lang w:val="en-US" w:eastAsia="zh-CN"/>
        </w:rPr>
        <w:t>（1）项目经理（8分）</w:t>
      </w:r>
    </w:p>
    <w:p w14:paraId="44C19F7D">
      <w:pPr>
        <w:spacing w:line="440" w:lineRule="exact"/>
        <w:ind w:firstLine="420" w:firstLineChars="200"/>
        <w:rPr>
          <w:rFonts w:hint="eastAsia" w:ascii="Times New Roman" w:hAnsi="Times New Roman" w:cs="Times New Roman"/>
          <w:bCs w:val="0"/>
          <w:color w:val="auto"/>
          <w:sz w:val="21"/>
          <w:highlight w:val="none"/>
          <w:lang w:val="en-US" w:eastAsia="zh-CN"/>
        </w:rPr>
      </w:pPr>
      <w:r>
        <w:rPr>
          <w:rFonts w:hint="eastAsia" w:ascii="Times New Roman" w:hAnsi="Times New Roman" w:cs="Times New Roman"/>
          <w:bCs w:val="0"/>
          <w:color w:val="auto"/>
          <w:sz w:val="21"/>
          <w:highlight w:val="none"/>
          <w:lang w:val="en-US" w:eastAsia="zh-CN"/>
        </w:rPr>
        <w:t>拟投入本项目的项目经理具有一级注册建造师（通信与广电工程）证书的同时，具备以下资质经验的：</w:t>
      </w:r>
    </w:p>
    <w:p w14:paraId="76D9546E">
      <w:pPr>
        <w:spacing w:line="440" w:lineRule="exact"/>
        <w:ind w:firstLine="420" w:firstLineChars="200"/>
        <w:rPr>
          <w:rFonts w:hint="eastAsia" w:ascii="Times New Roman" w:hAnsi="Times New Roman" w:cs="Times New Roman"/>
          <w:bCs w:val="0"/>
          <w:color w:val="auto"/>
          <w:sz w:val="21"/>
          <w:highlight w:val="none"/>
          <w:lang w:val="en-US" w:eastAsia="zh-CN"/>
        </w:rPr>
      </w:pPr>
      <w:r>
        <w:rPr>
          <w:rFonts w:hint="eastAsia" w:ascii="Times New Roman" w:hAnsi="Times New Roman" w:cs="Times New Roman"/>
          <w:bCs w:val="0"/>
          <w:color w:val="auto"/>
          <w:sz w:val="21"/>
          <w:highlight w:val="none"/>
          <w:lang w:val="en-US" w:eastAsia="zh-CN"/>
        </w:rPr>
        <w:t>①具有中华人民共和国咨询工程师（投资）证书（专业：电子、信息工程（含通信、广电、信息化））的得3分；</w:t>
      </w:r>
    </w:p>
    <w:p w14:paraId="5D46F82E">
      <w:pPr>
        <w:spacing w:line="440" w:lineRule="exact"/>
        <w:ind w:firstLine="420" w:firstLineChars="200"/>
        <w:rPr>
          <w:rFonts w:hint="eastAsia" w:ascii="Times New Roman" w:hAnsi="Times New Roman" w:cs="Times New Roman"/>
          <w:bCs w:val="0"/>
          <w:color w:val="auto"/>
          <w:sz w:val="21"/>
          <w:highlight w:val="none"/>
          <w:lang w:val="en-US" w:eastAsia="zh-CN"/>
        </w:rPr>
      </w:pPr>
      <w:r>
        <w:rPr>
          <w:rFonts w:hint="eastAsia" w:ascii="Times New Roman" w:hAnsi="Times New Roman" w:cs="Times New Roman"/>
          <w:bCs w:val="0"/>
          <w:color w:val="auto"/>
          <w:sz w:val="21"/>
          <w:highlight w:val="none"/>
          <w:lang w:val="en-US" w:eastAsia="zh-CN"/>
        </w:rPr>
        <w:t>②具有高级工程师（计算机类或通信工程类或工程类）职称证书的得3分；</w:t>
      </w:r>
    </w:p>
    <w:p w14:paraId="017F344D">
      <w:pPr>
        <w:spacing w:line="440" w:lineRule="exact"/>
        <w:ind w:firstLine="420" w:firstLineChars="200"/>
        <w:rPr>
          <w:rFonts w:hint="eastAsia" w:ascii="Times New Roman" w:hAnsi="Times New Roman" w:cs="Times New Roman"/>
          <w:bCs w:val="0"/>
          <w:color w:val="auto"/>
          <w:sz w:val="21"/>
          <w:highlight w:val="none"/>
          <w:lang w:val="en-US" w:eastAsia="zh-CN"/>
        </w:rPr>
      </w:pPr>
      <w:r>
        <w:rPr>
          <w:rFonts w:hint="eastAsia" w:ascii="Times New Roman" w:hAnsi="Times New Roman" w:cs="Times New Roman"/>
          <w:bCs w:val="0"/>
          <w:color w:val="auto"/>
          <w:sz w:val="21"/>
          <w:highlight w:val="none"/>
          <w:lang w:val="en-US" w:eastAsia="zh-CN"/>
        </w:rPr>
        <w:t>③具有一级注册造价工程师证书的得2分。</w:t>
      </w:r>
    </w:p>
    <w:p w14:paraId="3D4B8C58">
      <w:pPr>
        <w:spacing w:line="440" w:lineRule="exact"/>
        <w:ind w:firstLine="420" w:firstLineChars="200"/>
        <w:rPr>
          <w:rFonts w:hint="eastAsia" w:ascii="Times New Roman" w:hAnsi="Times New Roman" w:cs="Times New Roman"/>
          <w:bCs w:val="0"/>
          <w:color w:val="auto"/>
          <w:sz w:val="21"/>
          <w:highlight w:val="none"/>
          <w:lang w:val="en-US" w:eastAsia="zh-CN"/>
        </w:rPr>
      </w:pPr>
      <w:r>
        <w:rPr>
          <w:rFonts w:hint="eastAsia" w:ascii="Times New Roman" w:hAnsi="Times New Roman" w:cs="Times New Roman"/>
          <w:bCs w:val="0"/>
          <w:color w:val="auto"/>
          <w:sz w:val="21"/>
          <w:highlight w:val="none"/>
          <w:lang w:val="en-US" w:eastAsia="zh-CN"/>
        </w:rPr>
        <w:t>（同类型证书只记一次分，且在响应文件中提供证书复印件并加盖供应商公章，同时需在《项目实施人员一览表》中明确标明项目经理的职务，否则不得分）。</w:t>
      </w:r>
    </w:p>
    <w:p w14:paraId="4D217F8A">
      <w:pPr>
        <w:spacing w:line="440" w:lineRule="exact"/>
        <w:ind w:firstLine="422" w:firstLineChars="200"/>
        <w:rPr>
          <w:rFonts w:hint="eastAsia" w:ascii="Times New Roman" w:hAnsi="Times New Roman" w:cs="Times New Roman"/>
          <w:b/>
          <w:bCs/>
          <w:color w:val="auto"/>
          <w:sz w:val="21"/>
          <w:highlight w:val="none"/>
          <w:lang w:val="en-US" w:eastAsia="zh-CN"/>
        </w:rPr>
      </w:pPr>
      <w:r>
        <w:rPr>
          <w:rFonts w:hint="eastAsia" w:ascii="Times New Roman" w:hAnsi="Times New Roman" w:cs="Times New Roman"/>
          <w:b/>
          <w:bCs/>
          <w:color w:val="auto"/>
          <w:sz w:val="21"/>
          <w:highlight w:val="none"/>
          <w:lang w:val="en-US" w:eastAsia="zh-CN"/>
        </w:rPr>
        <w:t>（2）技术负责人（6分）</w:t>
      </w:r>
    </w:p>
    <w:p w14:paraId="4E5EBA4C">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default" w:ascii="Times New Roman" w:hAnsi="Times New Roman" w:eastAsia="宋体" w:cs="Times New Roman"/>
          <w:bCs w:val="0"/>
          <w:color w:val="auto"/>
          <w:sz w:val="21"/>
          <w:highlight w:val="none"/>
          <w:lang w:eastAsia="zh-CN"/>
        </w:rPr>
        <w:t>拟投入本项目的技术负责人具有高级信息系统项目管理师的同时，具备以下资质经验的：</w:t>
      </w:r>
    </w:p>
    <w:p w14:paraId="438BD9FE">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default" w:ascii="Times New Roman" w:hAnsi="Times New Roman" w:eastAsia="宋体" w:cs="Times New Roman"/>
          <w:bCs w:val="0"/>
          <w:color w:val="auto"/>
          <w:sz w:val="21"/>
          <w:highlight w:val="none"/>
          <w:lang w:eastAsia="zh-CN"/>
        </w:rPr>
        <w:t>①持有咨询工程师（投资）证书（专业：电子、信息工程（含通信、广电、信息化））的得3分；</w:t>
      </w:r>
    </w:p>
    <w:p w14:paraId="3BB75094">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default" w:ascii="Times New Roman" w:hAnsi="Times New Roman" w:eastAsia="宋体" w:cs="Times New Roman"/>
          <w:bCs w:val="0"/>
          <w:color w:val="auto"/>
          <w:sz w:val="21"/>
          <w:highlight w:val="none"/>
          <w:lang w:eastAsia="zh-CN"/>
        </w:rPr>
        <w:t>②具有高级工程师（计算机类或通信工程类或工程类）职称证书的得3分。</w:t>
      </w:r>
    </w:p>
    <w:p w14:paraId="6DA9E579">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default" w:ascii="Times New Roman" w:hAnsi="Times New Roman" w:eastAsia="宋体" w:cs="Times New Roman"/>
          <w:bCs w:val="0"/>
          <w:color w:val="auto"/>
          <w:sz w:val="21"/>
          <w:highlight w:val="none"/>
          <w:lang w:eastAsia="zh-CN"/>
        </w:rPr>
        <w:t>（同类型证书只记一次分，响应文件中提供证书复印件并加盖供应商公章，同时需在《项目实施人员一览表》中明确标明技术负责人的职务，否则不得分。</w:t>
      </w:r>
    </w:p>
    <w:p w14:paraId="4679E8EB">
      <w:pPr>
        <w:spacing w:line="440" w:lineRule="exact"/>
        <w:ind w:firstLine="422" w:firstLineChars="200"/>
        <w:rPr>
          <w:rFonts w:hint="eastAsia" w:ascii="Times New Roman" w:hAnsi="Times New Roman" w:cs="Times New Roman"/>
          <w:b/>
          <w:bCs/>
          <w:color w:val="auto"/>
          <w:sz w:val="21"/>
          <w:highlight w:val="none"/>
          <w:lang w:val="en-US" w:eastAsia="zh-CN"/>
        </w:rPr>
      </w:pPr>
      <w:r>
        <w:rPr>
          <w:rFonts w:hint="eastAsia" w:ascii="Times New Roman" w:hAnsi="Times New Roman" w:cs="Times New Roman"/>
          <w:b/>
          <w:bCs/>
          <w:color w:val="auto"/>
          <w:sz w:val="21"/>
          <w:highlight w:val="none"/>
          <w:lang w:val="en-US" w:eastAsia="zh-CN"/>
        </w:rPr>
        <w:t>（3）概预算编制负责人（6分）</w:t>
      </w:r>
    </w:p>
    <w:p w14:paraId="459B3608">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default" w:ascii="Times New Roman" w:hAnsi="Times New Roman" w:eastAsia="宋体" w:cs="Times New Roman"/>
          <w:bCs w:val="0"/>
          <w:color w:val="auto"/>
          <w:sz w:val="21"/>
          <w:highlight w:val="none"/>
          <w:lang w:eastAsia="zh-CN"/>
        </w:rPr>
        <w:t>拟投入本项目的概预算编制负责人具有一级注册造价工程师证书的同时，具备以下资质经验：</w:t>
      </w:r>
    </w:p>
    <w:p w14:paraId="77A6478F">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default" w:ascii="Times New Roman" w:hAnsi="Times New Roman" w:eastAsia="宋体" w:cs="Times New Roman"/>
          <w:bCs w:val="0"/>
          <w:color w:val="auto"/>
          <w:sz w:val="21"/>
          <w:highlight w:val="none"/>
          <w:lang w:eastAsia="zh-CN"/>
        </w:rPr>
        <w:t>①具备一级注册建造师（通信与广电工程）证书的得2分；</w:t>
      </w:r>
    </w:p>
    <w:p w14:paraId="6A9E3609">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default" w:ascii="Times New Roman" w:hAnsi="Times New Roman" w:eastAsia="宋体" w:cs="Times New Roman"/>
          <w:bCs w:val="0"/>
          <w:color w:val="auto"/>
          <w:sz w:val="21"/>
          <w:highlight w:val="none"/>
          <w:lang w:eastAsia="zh-CN"/>
        </w:rPr>
        <w:t>②持有咨询工程师（投资）证书（专业：电子、信息工程（含通信、广电、信息化））的得2分；</w:t>
      </w:r>
    </w:p>
    <w:p w14:paraId="355F90C1">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default" w:ascii="Times New Roman" w:hAnsi="Times New Roman" w:eastAsia="宋体" w:cs="Times New Roman"/>
          <w:bCs w:val="0"/>
          <w:color w:val="auto"/>
          <w:sz w:val="21"/>
          <w:highlight w:val="none"/>
          <w:lang w:eastAsia="zh-CN"/>
        </w:rPr>
        <w:t>③具备高级工程师（计算机类或通信工程类或工程类）职称证书的得2分。</w:t>
      </w:r>
    </w:p>
    <w:p w14:paraId="7F4F6EF8">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default" w:ascii="Times New Roman" w:hAnsi="Times New Roman" w:eastAsia="宋体" w:cs="Times New Roman"/>
          <w:bCs w:val="0"/>
          <w:color w:val="auto"/>
          <w:sz w:val="21"/>
          <w:highlight w:val="none"/>
          <w:lang w:eastAsia="zh-CN"/>
        </w:rPr>
        <w:t>（响应文件中提供证书复印件并加盖供应商公章，同时需在《项目实施人员一览表》中明确标明</w:t>
      </w:r>
      <w:r>
        <w:rPr>
          <w:rFonts w:hint="eastAsia" w:ascii="Times New Roman" w:hAnsi="Times New Roman" w:cs="Times New Roman"/>
          <w:bCs w:val="0"/>
          <w:color w:val="auto"/>
          <w:sz w:val="21"/>
          <w:highlight w:val="none"/>
          <w:lang w:eastAsia="zh-CN"/>
        </w:rPr>
        <w:t>该</w:t>
      </w:r>
      <w:r>
        <w:rPr>
          <w:rFonts w:hint="default" w:ascii="Times New Roman" w:hAnsi="Times New Roman" w:eastAsia="宋体" w:cs="Times New Roman"/>
          <w:bCs w:val="0"/>
          <w:color w:val="auto"/>
          <w:sz w:val="21"/>
          <w:highlight w:val="none"/>
          <w:lang w:eastAsia="zh-CN"/>
        </w:rPr>
        <w:t>预算编制负责人的职务，否则不得分）</w:t>
      </w:r>
    </w:p>
    <w:p w14:paraId="13586217">
      <w:pPr>
        <w:spacing w:line="440" w:lineRule="exact"/>
        <w:ind w:firstLine="422" w:firstLineChars="200"/>
        <w:rPr>
          <w:rFonts w:hint="default" w:ascii="Times New Roman" w:hAnsi="Times New Roman" w:eastAsia="宋体" w:cs="Times New Roman"/>
          <w:b/>
          <w:bCs/>
          <w:color w:val="auto"/>
          <w:sz w:val="21"/>
          <w:highlight w:val="none"/>
          <w:lang w:eastAsia="zh-CN"/>
        </w:rPr>
      </w:pPr>
      <w:r>
        <w:rPr>
          <w:rFonts w:hint="eastAsia" w:ascii="Times New Roman" w:hAnsi="Times New Roman" w:cs="Times New Roman"/>
          <w:b/>
          <w:bCs/>
          <w:color w:val="auto"/>
          <w:sz w:val="21"/>
          <w:highlight w:val="none"/>
          <w:lang w:eastAsia="zh-CN"/>
        </w:rPr>
        <w:t>（</w:t>
      </w:r>
      <w:r>
        <w:rPr>
          <w:rFonts w:hint="eastAsia" w:ascii="Times New Roman" w:hAnsi="Times New Roman" w:cs="Times New Roman"/>
          <w:b/>
          <w:bCs/>
          <w:color w:val="auto"/>
          <w:sz w:val="21"/>
          <w:highlight w:val="none"/>
          <w:lang w:val="en-US" w:eastAsia="zh-CN"/>
        </w:rPr>
        <w:t>4</w:t>
      </w:r>
      <w:r>
        <w:rPr>
          <w:rFonts w:hint="eastAsia" w:ascii="Times New Roman" w:hAnsi="Times New Roman" w:cs="Times New Roman"/>
          <w:b/>
          <w:bCs/>
          <w:color w:val="auto"/>
          <w:sz w:val="21"/>
          <w:highlight w:val="none"/>
          <w:lang w:eastAsia="zh-CN"/>
        </w:rPr>
        <w:t>）拟投入本项目的项目组其他成员（13分）</w:t>
      </w:r>
    </w:p>
    <w:p w14:paraId="67152AC1">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default" w:ascii="Times New Roman" w:hAnsi="Times New Roman" w:eastAsia="宋体" w:cs="Times New Roman"/>
          <w:bCs w:val="0"/>
          <w:color w:val="auto"/>
          <w:sz w:val="21"/>
          <w:highlight w:val="none"/>
          <w:lang w:eastAsia="zh-CN"/>
        </w:rPr>
        <w:t>拟投入本项目的项目组其他成员（除项目经理、技术负责人、概预算编制负责人外）：</w:t>
      </w:r>
    </w:p>
    <w:p w14:paraId="7282AC9C">
      <w:pPr>
        <w:spacing w:line="440" w:lineRule="exact"/>
        <w:ind w:firstLine="420" w:firstLineChars="200"/>
        <w:rPr>
          <w:rFonts w:hint="default" w:ascii="Times New Roman" w:hAnsi="Times New Roman" w:eastAsia="宋体" w:cs="Times New Roman"/>
          <w:bCs w:val="0"/>
          <w:strike/>
          <w:color w:val="auto"/>
          <w:sz w:val="21"/>
          <w:highlight w:val="none"/>
          <w:lang w:eastAsia="zh-CN"/>
        </w:rPr>
      </w:pPr>
      <w:r>
        <w:rPr>
          <w:rFonts w:hint="default" w:ascii="Times New Roman" w:hAnsi="Times New Roman" w:eastAsia="宋体" w:cs="Times New Roman"/>
          <w:bCs w:val="0"/>
          <w:color w:val="auto"/>
          <w:sz w:val="21"/>
          <w:highlight w:val="none"/>
          <w:lang w:eastAsia="zh-CN"/>
        </w:rPr>
        <w:t>①持有中华人民共和国咨询工程师（投资）证书（专业：电子、信息工程（含通信、广电、信息化））的，每人得1分，满分</w:t>
      </w:r>
      <w:r>
        <w:rPr>
          <w:rFonts w:hint="eastAsia" w:ascii="Times New Roman" w:hAnsi="Times New Roman" w:cs="Times New Roman"/>
          <w:bCs w:val="0"/>
          <w:color w:val="auto"/>
          <w:sz w:val="21"/>
          <w:highlight w:val="none"/>
          <w:lang w:val="en-US" w:eastAsia="zh-CN"/>
        </w:rPr>
        <w:t>5分</w:t>
      </w:r>
      <w:r>
        <w:rPr>
          <w:rFonts w:hint="default" w:ascii="Times New Roman" w:hAnsi="Times New Roman" w:eastAsia="宋体" w:cs="Times New Roman"/>
          <w:bCs w:val="0"/>
          <w:color w:val="auto"/>
          <w:sz w:val="21"/>
          <w:highlight w:val="none"/>
          <w:lang w:eastAsia="zh-CN"/>
        </w:rPr>
        <w:t>；（响应文件中提供证书复印件并加盖供应商公章，原件现场备查）</w:t>
      </w:r>
    </w:p>
    <w:p w14:paraId="2772371B">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eastAsia" w:ascii="Times New Roman" w:hAnsi="Times New Roman" w:cs="Times New Roman"/>
          <w:bCs w:val="0"/>
          <w:color w:val="auto"/>
          <w:sz w:val="21"/>
          <w:highlight w:val="none"/>
          <w:lang w:eastAsia="zh-CN"/>
        </w:rPr>
        <w:t>②</w:t>
      </w:r>
      <w:r>
        <w:rPr>
          <w:rFonts w:hint="default" w:ascii="Times New Roman" w:hAnsi="Times New Roman" w:eastAsia="宋体" w:cs="Times New Roman"/>
          <w:bCs w:val="0"/>
          <w:color w:val="auto"/>
          <w:sz w:val="21"/>
          <w:highlight w:val="none"/>
          <w:lang w:eastAsia="zh-CN"/>
        </w:rPr>
        <w:t>具备一级注册建造师（通信与广电工程）证书的，每人得1分，满分</w:t>
      </w:r>
      <w:r>
        <w:rPr>
          <w:rFonts w:hint="default" w:ascii="Times New Roman" w:hAnsi="Times New Roman" w:eastAsia="宋体" w:cs="Times New Roman"/>
          <w:bCs w:val="0"/>
          <w:strike w:val="0"/>
          <w:dstrike w:val="0"/>
          <w:color w:val="auto"/>
          <w:sz w:val="21"/>
          <w:highlight w:val="none"/>
          <w:lang w:eastAsia="zh-CN"/>
        </w:rPr>
        <w:t>4分</w:t>
      </w:r>
      <w:r>
        <w:rPr>
          <w:rFonts w:hint="default" w:ascii="Times New Roman" w:hAnsi="Times New Roman" w:eastAsia="宋体" w:cs="Times New Roman"/>
          <w:bCs w:val="0"/>
          <w:color w:val="auto"/>
          <w:sz w:val="21"/>
          <w:highlight w:val="none"/>
          <w:lang w:eastAsia="zh-CN"/>
        </w:rPr>
        <w:t>；（响应文件中提供证书复印件并加盖供应商公章，原件现场备查）</w:t>
      </w:r>
    </w:p>
    <w:p w14:paraId="3FD48B7E">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default" w:ascii="Times New Roman" w:hAnsi="Times New Roman" w:eastAsia="宋体" w:cs="Times New Roman"/>
          <w:bCs w:val="0"/>
          <w:color w:val="auto"/>
          <w:sz w:val="21"/>
          <w:highlight w:val="none"/>
          <w:lang w:eastAsia="zh-CN"/>
        </w:rPr>
        <w:t>③具备注册信息安全专业人员证书（CISP）的，每人得1分，满分</w:t>
      </w:r>
      <w:r>
        <w:rPr>
          <w:rFonts w:hint="default" w:ascii="Times New Roman" w:hAnsi="Times New Roman" w:eastAsia="宋体" w:cs="Times New Roman"/>
          <w:bCs w:val="0"/>
          <w:strike w:val="0"/>
          <w:dstrike w:val="0"/>
          <w:color w:val="auto"/>
          <w:sz w:val="21"/>
          <w:highlight w:val="none"/>
          <w:lang w:eastAsia="zh-CN"/>
        </w:rPr>
        <w:t>4分</w:t>
      </w:r>
      <w:r>
        <w:rPr>
          <w:rFonts w:hint="default" w:ascii="Times New Roman" w:hAnsi="Times New Roman" w:eastAsia="宋体" w:cs="Times New Roman"/>
          <w:bCs w:val="0"/>
          <w:color w:val="auto"/>
          <w:sz w:val="21"/>
          <w:highlight w:val="none"/>
          <w:lang w:eastAsia="zh-CN"/>
        </w:rPr>
        <w:t>。（响应文件中提供证书复印件并加盖供应商公章，原件现场备查）</w:t>
      </w:r>
    </w:p>
    <w:p w14:paraId="4DB84E10">
      <w:pPr>
        <w:spacing w:line="440" w:lineRule="exact"/>
        <w:ind w:firstLine="422" w:firstLineChars="200"/>
        <w:rPr>
          <w:rFonts w:hint="default" w:ascii="Times New Roman" w:hAnsi="Times New Roman" w:eastAsia="宋体" w:cs="Times New Roman"/>
          <w:b/>
          <w:bCs/>
          <w:color w:val="auto"/>
          <w:sz w:val="21"/>
          <w:highlight w:val="none"/>
          <w:lang w:eastAsia="zh-CN"/>
        </w:rPr>
      </w:pPr>
      <w:r>
        <w:rPr>
          <w:rFonts w:hint="default" w:ascii="Times New Roman" w:hAnsi="Times New Roman" w:eastAsia="宋体" w:cs="Times New Roman"/>
          <w:b/>
          <w:bCs/>
          <w:color w:val="auto"/>
          <w:sz w:val="21"/>
          <w:highlight w:val="none"/>
          <w:lang w:eastAsia="zh-CN"/>
        </w:rPr>
        <w:t>注：</w:t>
      </w:r>
    </w:p>
    <w:p w14:paraId="4A767586">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default" w:ascii="Times New Roman" w:hAnsi="Times New Roman" w:eastAsia="宋体" w:cs="Times New Roman"/>
          <w:bCs w:val="0"/>
          <w:color w:val="auto"/>
          <w:sz w:val="21"/>
          <w:highlight w:val="none"/>
          <w:lang w:eastAsia="zh-CN"/>
        </w:rPr>
        <w:t>1.拟投入本项目的项目经理、技术负责人、概预算编制负责人均不能为同一人；</w:t>
      </w:r>
    </w:p>
    <w:p w14:paraId="56D3288C">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default" w:ascii="Times New Roman" w:hAnsi="Times New Roman" w:eastAsia="宋体" w:cs="Times New Roman"/>
          <w:bCs w:val="0"/>
          <w:color w:val="auto"/>
          <w:sz w:val="21"/>
          <w:highlight w:val="none"/>
          <w:lang w:eastAsia="zh-CN"/>
        </w:rPr>
        <w:t>2.拟投入本项目的以上人员必须是供应商在职在岗正式员工（非退休），</w:t>
      </w:r>
      <w:bookmarkStart w:id="0" w:name="_GoBack"/>
      <w:r>
        <w:rPr>
          <w:rFonts w:hint="default" w:ascii="Times New Roman" w:hAnsi="Times New Roman" w:eastAsia="宋体" w:cs="Times New Roman"/>
          <w:bCs w:val="0"/>
          <w:color w:val="auto"/>
          <w:sz w:val="21"/>
          <w:highlight w:val="none"/>
          <w:lang w:eastAsia="zh-CN"/>
        </w:rPr>
        <w:t>响应</w:t>
      </w:r>
      <w:bookmarkEnd w:id="0"/>
      <w:r>
        <w:rPr>
          <w:rFonts w:hint="default" w:ascii="Times New Roman" w:hAnsi="Times New Roman" w:eastAsia="宋体" w:cs="Times New Roman"/>
          <w:bCs w:val="0"/>
          <w:color w:val="auto"/>
          <w:sz w:val="21"/>
          <w:highlight w:val="none"/>
          <w:lang w:eastAsia="zh-CN"/>
        </w:rPr>
        <w:t>文件需提供证书证明材料复印件、项目实施人员劳动合同复印件或事业单位编制证明复印件并加盖单位公章，且以上证书均要求提供有效期内的证书，否则不计分；</w:t>
      </w:r>
    </w:p>
    <w:p w14:paraId="1C5EF673">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default" w:ascii="Times New Roman" w:hAnsi="Times New Roman" w:eastAsia="宋体" w:cs="Times New Roman"/>
          <w:bCs w:val="0"/>
          <w:color w:val="auto"/>
          <w:sz w:val="21"/>
          <w:highlight w:val="none"/>
          <w:lang w:eastAsia="zh-CN"/>
        </w:rPr>
        <w:t>3.拟投入人员资质证书需在响应文件中提供证书复印件并加盖供应商公章，其中注册造价师或一级造价工程师证书、一级注册建造师（通信与广电工程）证书需提供全国建筑市场监管公共服务平台注册人员查询截图并加盖供应商公章，原件现场备查。</w:t>
      </w:r>
    </w:p>
    <w:p w14:paraId="47C75947">
      <w:pPr>
        <w:spacing w:line="440" w:lineRule="exact"/>
        <w:ind w:firstLine="420" w:firstLineChars="200"/>
        <w:rPr>
          <w:rFonts w:hint="default" w:ascii="Times New Roman" w:hAnsi="Times New Roman" w:eastAsia="宋体" w:cs="Times New Roman"/>
          <w:bCs w:val="0"/>
          <w:color w:val="auto"/>
          <w:sz w:val="21"/>
          <w:highlight w:val="none"/>
          <w:lang w:eastAsia="zh-CN"/>
        </w:rPr>
      </w:pPr>
      <w:r>
        <w:rPr>
          <w:rFonts w:hint="default" w:ascii="Times New Roman" w:hAnsi="Times New Roman" w:eastAsia="宋体" w:cs="Times New Roman"/>
          <w:bCs w:val="0"/>
          <w:color w:val="auto"/>
          <w:sz w:val="21"/>
          <w:highlight w:val="none"/>
          <w:lang w:eastAsia="zh-CN"/>
        </w:rPr>
        <w:t>4.同一人员具有多项证书的，只计其中一项。</w:t>
      </w:r>
    </w:p>
    <w:p w14:paraId="6D6590F8">
      <w:pPr>
        <w:spacing w:line="396" w:lineRule="exact"/>
        <w:ind w:firstLine="0" w:firstLineChars="0"/>
        <w:outlineLvl w:val="1"/>
        <w:rPr>
          <w:rFonts w:hint="default" w:ascii="Times New Roman" w:hAnsi="Times New Roman" w:eastAsia="仿宋" w:cs="Times New Roman"/>
          <w:b/>
          <w:color w:val="auto"/>
          <w:sz w:val="24"/>
          <w:highlight w:val="none"/>
        </w:rPr>
      </w:pPr>
      <w:r>
        <w:rPr>
          <w:rFonts w:ascii="Times New Roman" w:hAnsi="Times New Roman"/>
          <w:b/>
          <w:szCs w:val="21"/>
          <w:highlight w:val="none"/>
        </w:rPr>
        <w:t>4</w:t>
      </w:r>
      <w:r>
        <w:rPr>
          <w:rFonts w:hint="default" w:ascii="Times New Roman" w:hAnsi="Times New Roman"/>
          <w:b/>
          <w:szCs w:val="21"/>
          <w:highlight w:val="none"/>
        </w:rPr>
        <w:t>、</w:t>
      </w:r>
      <w:r>
        <w:rPr>
          <w:rFonts w:hint="eastAsia" w:ascii="Times New Roman" w:hAnsi="Times New Roman"/>
          <w:b/>
          <w:szCs w:val="21"/>
          <w:highlight w:val="none"/>
          <w:lang w:eastAsia="zh-CN"/>
        </w:rPr>
        <w:t>信誉</w:t>
      </w:r>
      <w:r>
        <w:rPr>
          <w:rFonts w:hint="default" w:ascii="Times New Roman" w:hAnsi="Times New Roman"/>
          <w:b/>
          <w:szCs w:val="21"/>
          <w:highlight w:val="none"/>
        </w:rPr>
        <w:t>业绩分………………………………………………………………………………</w:t>
      </w:r>
      <w:r>
        <w:rPr>
          <w:rFonts w:hint="eastAsia" w:ascii="Times New Roman" w:hAnsi="Times New Roman"/>
          <w:b/>
          <w:szCs w:val="21"/>
          <w:highlight w:val="none"/>
          <w:lang w:val="en-US" w:eastAsia="zh-CN"/>
        </w:rPr>
        <w:t>7</w:t>
      </w:r>
      <w:r>
        <w:rPr>
          <w:rFonts w:hint="default" w:ascii="Times New Roman" w:hAnsi="Times New Roman"/>
          <w:b/>
          <w:szCs w:val="21"/>
          <w:highlight w:val="none"/>
        </w:rPr>
        <w:t>分</w:t>
      </w:r>
    </w:p>
    <w:p w14:paraId="247D8E8E">
      <w:pPr>
        <w:spacing w:line="396" w:lineRule="exact"/>
        <w:ind w:firstLine="420" w:firstLineChars="200"/>
        <w:outlineLvl w:val="1"/>
        <w:rPr>
          <w:rFonts w:hint="default" w:ascii="Times New Roman" w:hAnsi="Times New Roman" w:cs="Times New Roman"/>
          <w:color w:val="auto"/>
          <w:sz w:val="21"/>
          <w:highlight w:val="none"/>
          <w:lang w:val="en-US" w:eastAsia="zh-CN"/>
        </w:rPr>
      </w:pPr>
      <w:r>
        <w:rPr>
          <w:rFonts w:hint="default" w:ascii="Times New Roman" w:hAnsi="Times New Roman" w:eastAsia="宋体" w:cs="Times New Roman"/>
          <w:bCs w:val="0"/>
          <w:color w:val="auto"/>
          <w:sz w:val="21"/>
          <w:highlight w:val="none"/>
          <w:lang w:eastAsia="zh-CN"/>
        </w:rPr>
        <w:t>①</w:t>
      </w:r>
      <w:r>
        <w:rPr>
          <w:rFonts w:hint="eastAsia" w:ascii="Times New Roman" w:hAnsi="Times New Roman" w:cs="Times New Roman"/>
          <w:color w:val="auto"/>
          <w:sz w:val="21"/>
          <w:highlight w:val="none"/>
          <w:lang w:val="en-US" w:eastAsia="zh-CN"/>
        </w:rPr>
        <w:t>供应商具备《工程咨询资信评价证书》（业务：电子、信息工程（含通信、广电、信息化））的，甲级得3分，乙级得1分，满分3分。</w:t>
      </w:r>
    </w:p>
    <w:p w14:paraId="3AD95158">
      <w:pPr>
        <w:spacing w:line="396" w:lineRule="exact"/>
        <w:ind w:firstLine="420" w:firstLineChars="200"/>
        <w:outlineLvl w:val="1"/>
        <w:rPr>
          <w:rFonts w:hint="eastAsia" w:ascii="Times New Roman" w:hAnsi="Times New Roman" w:cs="Times New Roman"/>
          <w:color w:val="auto"/>
          <w:sz w:val="21"/>
          <w:highlight w:val="none"/>
          <w:lang w:val="en-US" w:eastAsia="zh-CN"/>
        </w:rPr>
      </w:pPr>
      <w:r>
        <w:rPr>
          <w:rFonts w:hint="default" w:ascii="Times New Roman" w:hAnsi="Times New Roman" w:eastAsia="宋体" w:cs="Times New Roman"/>
          <w:bCs w:val="0"/>
          <w:color w:val="auto"/>
          <w:sz w:val="21"/>
          <w:highlight w:val="none"/>
          <w:lang w:eastAsia="zh-CN"/>
        </w:rPr>
        <w:t>②</w:t>
      </w:r>
      <w:r>
        <w:rPr>
          <w:rFonts w:hint="eastAsia" w:ascii="Times New Roman" w:hAnsi="Times New Roman" w:cs="Times New Roman"/>
          <w:bCs w:val="0"/>
          <w:color w:val="auto"/>
          <w:sz w:val="21"/>
          <w:highlight w:val="none"/>
          <w:lang w:eastAsia="zh-CN"/>
        </w:rPr>
        <w:t>供应商</w:t>
      </w:r>
      <w:r>
        <w:rPr>
          <w:rFonts w:hint="eastAsia" w:ascii="Times New Roman" w:hAnsi="Times New Roman" w:cs="Times New Roman"/>
          <w:color w:val="auto"/>
          <w:sz w:val="21"/>
          <w:highlight w:val="none"/>
          <w:lang w:val="en-US" w:eastAsia="zh-CN"/>
        </w:rPr>
        <w:t>提供2022年1月1日以来同类项目业绩的，每提供一个得0.5分，满分4分。</w:t>
      </w:r>
    </w:p>
    <w:p w14:paraId="6453727D">
      <w:pPr>
        <w:spacing w:line="396" w:lineRule="exact"/>
        <w:outlineLvl w:val="1"/>
        <w:rPr>
          <w:rFonts w:hint="eastAsia" w:ascii="Times New Roman" w:hAnsi="Times New Roman" w:cs="Times New Roman"/>
          <w:color w:val="auto"/>
          <w:sz w:val="21"/>
          <w:highlight w:val="none"/>
          <w:lang w:val="en-US" w:eastAsia="zh-CN"/>
        </w:rPr>
      </w:pPr>
      <w:r>
        <w:rPr>
          <w:rFonts w:hint="eastAsia" w:ascii="Times New Roman" w:hAnsi="Times New Roman" w:cs="Times New Roman"/>
          <w:color w:val="auto"/>
          <w:sz w:val="21"/>
          <w:highlight w:val="none"/>
          <w:lang w:val="en-US" w:eastAsia="zh-CN"/>
        </w:rPr>
        <w:t>注：同一项目不重复计分；需提供委托合同相关证明材料（需包含合同首页、签字盖章页所在页复印件）或中标（成交）通知书复印件或项目下达文件复印件或项目验收证明等证明材料并加盖单位公章，否则不计分。</w:t>
      </w:r>
    </w:p>
    <w:p w14:paraId="2D40B19D">
      <w:pPr>
        <w:spacing w:line="396" w:lineRule="exact"/>
        <w:ind w:firstLine="0" w:firstLineChars="0"/>
        <w:rPr>
          <w:rFonts w:hint="default" w:ascii="Times New Roman" w:hAnsi="Times New Roman"/>
          <w:b/>
          <w:szCs w:val="21"/>
          <w:highlight w:val="none"/>
        </w:rPr>
      </w:pPr>
      <w:r>
        <w:rPr>
          <w:rFonts w:hint="eastAsia" w:ascii="Times New Roman" w:hAnsi="Times New Roman"/>
          <w:b/>
          <w:szCs w:val="21"/>
          <w:highlight w:val="none"/>
          <w:lang w:val="en-US" w:eastAsia="zh-CN"/>
        </w:rPr>
        <w:t>5</w:t>
      </w:r>
      <w:r>
        <w:rPr>
          <w:rFonts w:hint="default" w:ascii="Times New Roman" w:hAnsi="Times New Roman"/>
          <w:b/>
          <w:szCs w:val="21"/>
          <w:highlight w:val="none"/>
        </w:rPr>
        <w:t>、总得分=1+2+3+4</w:t>
      </w:r>
    </w:p>
    <w:p w14:paraId="7D05971A">
      <w:pPr>
        <w:adjustRightInd w:val="0"/>
        <w:snapToGrid w:val="0"/>
        <w:spacing w:line="440" w:lineRule="exact"/>
        <w:rPr>
          <w:rFonts w:ascii="宋体" w:hAnsi="宋体"/>
          <w:b/>
          <w:szCs w:val="21"/>
          <w:highlight w:val="none"/>
        </w:rPr>
      </w:pPr>
      <w:r>
        <w:rPr>
          <w:rFonts w:hint="eastAsia" w:ascii="宋体" w:hAnsi="宋体"/>
          <w:b/>
          <w:szCs w:val="21"/>
          <w:highlight w:val="none"/>
          <w:lang w:val="en-US" w:eastAsia="zh-CN"/>
        </w:rPr>
        <w:t>四</w:t>
      </w:r>
      <w:r>
        <w:rPr>
          <w:rFonts w:hint="eastAsia" w:ascii="宋体" w:hAnsi="宋体"/>
          <w:b/>
          <w:szCs w:val="21"/>
          <w:highlight w:val="none"/>
        </w:rPr>
        <w:t>、</w:t>
      </w:r>
      <w:r>
        <w:rPr>
          <w:rFonts w:hint="eastAsia" w:ascii="宋体" w:hAnsi="宋体"/>
          <w:b/>
          <w:szCs w:val="21"/>
          <w:highlight w:val="none"/>
          <w:lang w:val="en-US" w:eastAsia="zh-CN"/>
        </w:rPr>
        <w:t>成交</w:t>
      </w:r>
      <w:r>
        <w:rPr>
          <w:rFonts w:hint="eastAsia" w:ascii="宋体" w:hAnsi="宋体"/>
          <w:b/>
          <w:szCs w:val="21"/>
          <w:highlight w:val="none"/>
        </w:rPr>
        <w:t>候选人推荐原则</w:t>
      </w:r>
    </w:p>
    <w:p w14:paraId="570B1563">
      <w:pPr>
        <w:spacing w:line="420" w:lineRule="exact"/>
        <w:ind w:firstLine="315" w:firstLineChars="150"/>
        <w:rPr>
          <w:rFonts w:hint="eastAsia" w:ascii="宋体" w:hAnsi="宋体"/>
          <w:b/>
          <w:bCs/>
          <w:szCs w:val="21"/>
          <w:highlight w:val="none"/>
        </w:rPr>
      </w:pPr>
      <w:r>
        <w:rPr>
          <w:rFonts w:hint="eastAsia" w:ascii="宋体" w:hAnsi="宋体"/>
          <w:bCs/>
          <w:szCs w:val="21"/>
          <w:highlight w:val="none"/>
        </w:rPr>
        <w:t>（一）</w:t>
      </w:r>
      <w:r>
        <w:rPr>
          <w:rFonts w:hint="eastAsia" w:ascii="宋体" w:hAnsi="宋体" w:eastAsia="宋体" w:cs="宋体"/>
          <w:color w:val="000000"/>
          <w:sz w:val="21"/>
          <w:szCs w:val="21"/>
          <w:highlight w:val="none"/>
          <w:lang w:val="en-US" w:eastAsia="zh-CN"/>
        </w:rPr>
        <w:t>评标小组</w:t>
      </w:r>
      <w:r>
        <w:rPr>
          <w:rFonts w:hint="eastAsia" w:ascii="宋体" w:hAnsi="宋体"/>
          <w:bCs/>
          <w:szCs w:val="21"/>
          <w:highlight w:val="none"/>
        </w:rPr>
        <w:t>将根据得分由高到低排列次序（得分相同时，以</w:t>
      </w:r>
      <w:r>
        <w:rPr>
          <w:rFonts w:hint="eastAsia" w:ascii="宋体" w:hAnsi="宋体"/>
          <w:bCs/>
          <w:szCs w:val="21"/>
          <w:highlight w:val="none"/>
          <w:lang w:val="en-US" w:eastAsia="zh-CN"/>
        </w:rPr>
        <w:t>最后</w:t>
      </w:r>
      <w:r>
        <w:rPr>
          <w:rFonts w:hint="eastAsia" w:ascii="宋体" w:hAnsi="宋体"/>
          <w:bCs/>
          <w:szCs w:val="21"/>
          <w:highlight w:val="none"/>
        </w:rPr>
        <w:t>报价由低到高顺序排列；得分相同且</w:t>
      </w:r>
      <w:r>
        <w:rPr>
          <w:rFonts w:hint="eastAsia" w:ascii="宋体" w:hAnsi="宋体"/>
          <w:bCs/>
          <w:szCs w:val="21"/>
          <w:highlight w:val="none"/>
          <w:lang w:val="en-US" w:eastAsia="zh-CN"/>
        </w:rPr>
        <w:t>最后</w:t>
      </w:r>
      <w:r>
        <w:rPr>
          <w:rFonts w:hint="eastAsia" w:ascii="宋体" w:hAnsi="宋体"/>
          <w:bCs/>
          <w:szCs w:val="21"/>
          <w:highlight w:val="none"/>
        </w:rPr>
        <w:t>报价相同的，按技术指标优劣顺序排列）并推荐</w:t>
      </w:r>
      <w:r>
        <w:rPr>
          <w:rFonts w:hint="eastAsia" w:ascii="宋体" w:hAnsi="宋体"/>
          <w:bCs/>
          <w:szCs w:val="21"/>
          <w:highlight w:val="none"/>
          <w:lang w:val="en-US" w:eastAsia="zh-CN"/>
        </w:rPr>
        <w:t>成交</w:t>
      </w:r>
      <w:r>
        <w:rPr>
          <w:rFonts w:hint="eastAsia" w:ascii="宋体" w:hAnsi="宋体"/>
          <w:bCs/>
          <w:szCs w:val="21"/>
          <w:highlight w:val="none"/>
        </w:rPr>
        <w:t>候选供应商。采购单位应当确定</w:t>
      </w:r>
      <w:r>
        <w:rPr>
          <w:rFonts w:hint="eastAsia" w:ascii="宋体" w:hAnsi="宋体" w:eastAsia="宋体" w:cs="宋体"/>
          <w:color w:val="000000"/>
          <w:sz w:val="21"/>
          <w:szCs w:val="21"/>
          <w:highlight w:val="none"/>
          <w:lang w:val="en-US" w:eastAsia="zh-CN"/>
        </w:rPr>
        <w:t>评标</w:t>
      </w:r>
      <w:r>
        <w:rPr>
          <w:rFonts w:hint="eastAsia" w:ascii="宋体" w:hAnsi="宋体"/>
          <w:bCs/>
          <w:szCs w:val="21"/>
          <w:highlight w:val="none"/>
          <w:lang w:val="en-US" w:eastAsia="zh-CN"/>
        </w:rPr>
        <w:t>小组</w:t>
      </w:r>
      <w:r>
        <w:rPr>
          <w:rFonts w:hint="eastAsia" w:ascii="宋体" w:hAnsi="宋体"/>
          <w:bCs/>
          <w:szCs w:val="21"/>
          <w:highlight w:val="none"/>
        </w:rPr>
        <w:t>推荐排名第一的</w:t>
      </w:r>
      <w:r>
        <w:rPr>
          <w:rFonts w:hint="eastAsia" w:ascii="宋体" w:hAnsi="宋体"/>
          <w:bCs/>
          <w:szCs w:val="21"/>
          <w:highlight w:val="none"/>
          <w:lang w:val="en-US" w:eastAsia="zh-CN"/>
        </w:rPr>
        <w:t>成交</w:t>
      </w:r>
      <w:r>
        <w:rPr>
          <w:rFonts w:hint="eastAsia" w:ascii="宋体" w:hAnsi="宋体"/>
          <w:bCs/>
          <w:szCs w:val="21"/>
          <w:highlight w:val="none"/>
        </w:rPr>
        <w:t>候选人为</w:t>
      </w:r>
      <w:r>
        <w:rPr>
          <w:rFonts w:hint="eastAsia" w:ascii="宋体" w:hAnsi="宋体"/>
          <w:bCs/>
          <w:szCs w:val="21"/>
          <w:highlight w:val="none"/>
          <w:lang w:val="en-US" w:eastAsia="zh-CN"/>
        </w:rPr>
        <w:t>成交供应商</w:t>
      </w:r>
      <w:r>
        <w:rPr>
          <w:rFonts w:hint="eastAsia" w:ascii="宋体" w:hAnsi="宋体"/>
          <w:bCs/>
          <w:szCs w:val="21"/>
          <w:highlight w:val="none"/>
        </w:rPr>
        <w:t>。排名第一的</w:t>
      </w:r>
      <w:r>
        <w:rPr>
          <w:rFonts w:hint="eastAsia" w:ascii="宋体" w:hAnsi="宋体"/>
          <w:bCs/>
          <w:szCs w:val="21"/>
          <w:highlight w:val="none"/>
          <w:lang w:val="en-US" w:eastAsia="zh-CN"/>
        </w:rPr>
        <w:t>成交</w:t>
      </w:r>
      <w:r>
        <w:rPr>
          <w:rFonts w:hint="eastAsia" w:ascii="宋体" w:hAnsi="宋体"/>
          <w:bCs/>
          <w:szCs w:val="21"/>
          <w:highlight w:val="none"/>
        </w:rPr>
        <w:t>候选人放弃中标、因不可抗力提出不能履行合同，或者</w:t>
      </w:r>
      <w:r>
        <w:rPr>
          <w:rFonts w:hint="eastAsia" w:ascii="宋体" w:hAnsi="宋体"/>
          <w:bCs/>
          <w:szCs w:val="21"/>
          <w:highlight w:val="none"/>
          <w:lang w:val="en-US" w:eastAsia="zh-CN"/>
        </w:rPr>
        <w:t>询价</w:t>
      </w:r>
      <w:r>
        <w:rPr>
          <w:rFonts w:hint="eastAsia" w:ascii="宋体" w:hAnsi="宋体"/>
          <w:bCs/>
          <w:szCs w:val="21"/>
          <w:highlight w:val="none"/>
        </w:rPr>
        <w:t>文件规定应当提交质量保证金而在规定的期限内未能提交的，采购单位可以确定排名第二的</w:t>
      </w:r>
      <w:r>
        <w:rPr>
          <w:rFonts w:hint="eastAsia" w:ascii="宋体" w:hAnsi="宋体"/>
          <w:bCs/>
          <w:szCs w:val="21"/>
          <w:highlight w:val="none"/>
          <w:lang w:val="en-US" w:eastAsia="zh-CN"/>
        </w:rPr>
        <w:t>成交</w:t>
      </w:r>
      <w:r>
        <w:rPr>
          <w:rFonts w:hint="eastAsia" w:ascii="宋体" w:hAnsi="宋体"/>
          <w:bCs/>
          <w:szCs w:val="21"/>
          <w:highlight w:val="none"/>
        </w:rPr>
        <w:t>候选人为</w:t>
      </w:r>
      <w:r>
        <w:rPr>
          <w:rFonts w:hint="eastAsia" w:ascii="宋体" w:hAnsi="宋体"/>
          <w:bCs/>
          <w:szCs w:val="21"/>
          <w:highlight w:val="none"/>
          <w:lang w:val="en-US" w:eastAsia="zh-CN"/>
        </w:rPr>
        <w:t>成交供应商</w:t>
      </w:r>
      <w:r>
        <w:rPr>
          <w:rFonts w:hint="eastAsia" w:ascii="宋体" w:hAnsi="宋体"/>
          <w:bCs/>
          <w:szCs w:val="21"/>
          <w:highlight w:val="none"/>
        </w:rPr>
        <w:t>。排名第二的</w:t>
      </w:r>
      <w:r>
        <w:rPr>
          <w:rFonts w:hint="eastAsia" w:ascii="宋体" w:hAnsi="宋体"/>
          <w:bCs/>
          <w:szCs w:val="21"/>
          <w:highlight w:val="none"/>
          <w:lang w:val="en-US" w:eastAsia="zh-CN"/>
        </w:rPr>
        <w:t>成交</w:t>
      </w:r>
      <w:r>
        <w:rPr>
          <w:rFonts w:hint="eastAsia" w:ascii="宋体" w:hAnsi="宋体"/>
          <w:bCs/>
          <w:szCs w:val="21"/>
          <w:highlight w:val="none"/>
        </w:rPr>
        <w:t>候选人因前款规定的同样原因不能签订合同的，采购单位可以确定排名第三的</w:t>
      </w:r>
      <w:r>
        <w:rPr>
          <w:rFonts w:hint="eastAsia" w:ascii="宋体" w:hAnsi="宋体"/>
          <w:bCs/>
          <w:szCs w:val="21"/>
          <w:highlight w:val="none"/>
          <w:lang w:val="en-US" w:eastAsia="zh-CN"/>
        </w:rPr>
        <w:t>成交</w:t>
      </w:r>
      <w:r>
        <w:rPr>
          <w:rFonts w:hint="eastAsia" w:ascii="宋体" w:hAnsi="宋体"/>
          <w:bCs/>
          <w:szCs w:val="21"/>
          <w:highlight w:val="none"/>
        </w:rPr>
        <w:t>候选人为</w:t>
      </w:r>
      <w:r>
        <w:rPr>
          <w:rFonts w:hint="eastAsia" w:ascii="宋体" w:hAnsi="宋体"/>
          <w:bCs/>
          <w:szCs w:val="21"/>
          <w:highlight w:val="none"/>
          <w:lang w:val="en-US" w:eastAsia="zh-CN"/>
        </w:rPr>
        <w:t>成交供应商</w:t>
      </w:r>
      <w:r>
        <w:rPr>
          <w:rFonts w:hint="eastAsia" w:ascii="宋体" w:hAnsi="宋体"/>
          <w:bCs/>
          <w:szCs w:val="21"/>
          <w:highlight w:val="none"/>
        </w:rPr>
        <w:t>，其余以此类推</w:t>
      </w:r>
      <w:r>
        <w:rPr>
          <w:rFonts w:hint="eastAsia" w:ascii="宋体" w:hAnsi="宋体"/>
          <w:b/>
          <w:bCs/>
          <w:szCs w:val="21"/>
          <w:highlight w:val="none"/>
        </w:rPr>
        <w:t>。采购人也可以决定重新采购。</w:t>
      </w:r>
    </w:p>
    <w:p w14:paraId="3C778E76">
      <w:pPr>
        <w:spacing w:line="420" w:lineRule="exact"/>
        <w:ind w:firstLine="315" w:firstLineChars="150"/>
        <w:rPr>
          <w:rFonts w:hint="eastAsia" w:ascii="Times New Roman" w:hAnsi="Times New Roman" w:eastAsia="宋体" w:cs="Times New Roman"/>
          <w:b w:val="0"/>
          <w:bCs w:val="0"/>
          <w:i w:val="0"/>
          <w:iCs w:val="0"/>
          <w:caps w:val="0"/>
          <w:color w:val="000000"/>
          <w:spacing w:val="0"/>
          <w:sz w:val="32"/>
          <w:szCs w:val="32"/>
          <w:highlight w:val="none"/>
          <w:shd w:val="clear" w:color="auto" w:fill="FFFFFF"/>
          <w:lang w:eastAsia="zh-CN"/>
        </w:rPr>
        <w:sectPr>
          <w:footerReference r:id="rId3" w:type="default"/>
          <w:pgSz w:w="11906" w:h="16838"/>
          <w:pgMar w:top="1440" w:right="1361" w:bottom="1701" w:left="1474" w:header="851" w:footer="992" w:gutter="0"/>
          <w:pgNumType w:fmt="decimal"/>
          <w:cols w:space="720" w:num="1"/>
          <w:docGrid w:type="lines" w:linePitch="312" w:charSpace="0"/>
        </w:sectPr>
      </w:pPr>
      <w:r>
        <w:rPr>
          <w:rFonts w:hint="eastAsia" w:ascii="宋体" w:hAnsi="宋体" w:eastAsia="宋体"/>
          <w:highlight w:val="none"/>
        </w:rPr>
        <w:t>（二）</w:t>
      </w:r>
      <w:r>
        <w:rPr>
          <w:rFonts w:hint="eastAsia" w:ascii="宋体" w:hAnsi="宋体" w:eastAsia="宋体" w:cs="宋体"/>
          <w:color w:val="000000"/>
          <w:sz w:val="21"/>
          <w:szCs w:val="21"/>
          <w:highlight w:val="none"/>
          <w:lang w:val="en-US" w:eastAsia="zh-CN"/>
        </w:rPr>
        <w:t>评标</w:t>
      </w:r>
      <w:r>
        <w:rPr>
          <w:rFonts w:hint="eastAsia" w:ascii="宋体" w:hAnsi="宋体" w:eastAsia="宋体"/>
          <w:highlight w:val="none"/>
          <w:lang w:val="en-US" w:eastAsia="zh-CN"/>
        </w:rPr>
        <w:t>小组</w:t>
      </w:r>
      <w:r>
        <w:rPr>
          <w:rFonts w:hint="eastAsia" w:ascii="宋体" w:hAnsi="宋体" w:eastAsia="宋体"/>
          <w:highlight w:val="none"/>
        </w:rPr>
        <w:t>认为，某竞标人的有效</w:t>
      </w:r>
      <w:r>
        <w:rPr>
          <w:rFonts w:hint="eastAsia" w:ascii="宋体" w:hAnsi="宋体" w:eastAsia="宋体"/>
          <w:highlight w:val="none"/>
          <w:lang w:val="en-US" w:eastAsia="zh-CN"/>
        </w:rPr>
        <w:t>最后</w:t>
      </w:r>
      <w:r>
        <w:rPr>
          <w:rFonts w:hint="eastAsia" w:ascii="宋体" w:hAnsi="宋体" w:eastAsia="宋体"/>
          <w:highlight w:val="none"/>
        </w:rPr>
        <w:t>报价或者某些分项报价明显不合理或者低于成本，有可能影响服务质量和不能诚信履约的，应要求其在规定的期限内提供书面文件予以解释说明，并提交相关证明材料，</w:t>
      </w:r>
      <w:r>
        <w:rPr>
          <w:rFonts w:hint="eastAsia" w:ascii="宋体" w:hAnsi="宋体" w:eastAsia="宋体"/>
          <w:b/>
          <w:bCs/>
          <w:highlight w:val="none"/>
        </w:rPr>
        <w:t>否则，评标</w:t>
      </w:r>
      <w:r>
        <w:rPr>
          <w:rFonts w:hint="eastAsia" w:ascii="宋体" w:hAnsi="宋体"/>
          <w:b/>
          <w:bCs/>
          <w:highlight w:val="none"/>
          <w:lang w:eastAsia="zh-CN"/>
        </w:rPr>
        <w:t>小组</w:t>
      </w:r>
      <w:r>
        <w:rPr>
          <w:rFonts w:hint="eastAsia" w:ascii="宋体" w:hAnsi="宋体" w:eastAsia="宋体"/>
          <w:b/>
          <w:bCs/>
          <w:highlight w:val="none"/>
        </w:rPr>
        <w:t>不推荐该竞标人为</w:t>
      </w:r>
      <w:r>
        <w:rPr>
          <w:rFonts w:hint="eastAsia" w:ascii="宋体" w:hAnsi="宋体" w:eastAsia="宋体"/>
          <w:b/>
          <w:bCs/>
          <w:highlight w:val="none"/>
          <w:lang w:val="en-US" w:eastAsia="zh-CN"/>
        </w:rPr>
        <w:t>成交</w:t>
      </w:r>
      <w:r>
        <w:rPr>
          <w:rFonts w:hint="eastAsia" w:ascii="宋体" w:hAnsi="宋体" w:eastAsia="宋体"/>
          <w:b/>
          <w:bCs/>
          <w:highlight w:val="none"/>
        </w:rPr>
        <w:t>候选人</w:t>
      </w:r>
    </w:p>
    <w:p w14:paraId="06275581"/>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252285">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E315C34">
                          <w:pPr>
                            <w:pStyle w:val="4"/>
                          </w:pPr>
                          <w:r>
                            <w:t xml:space="preserve">— </w:t>
                          </w: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r>
                            <w:rPr>
                              <w:sz w:val="24"/>
                              <w:szCs w:val="24"/>
                            </w:rPr>
                            <w:t xml:space="preserve"> </w:t>
                          </w:r>
                          <w: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4E315C34">
                    <w:pPr>
                      <w:pStyle w:val="4"/>
                    </w:pPr>
                    <w:r>
                      <w:t xml:space="preserve">— </w:t>
                    </w: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r>
                      <w:rPr>
                        <w:sz w:val="24"/>
                        <w:szCs w:val="24"/>
                      </w:rPr>
                      <w:t xml:space="preserve"> </w:t>
                    </w:r>
                    <w: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9C50F68"/>
    <w:rsid w:val="09C50F68"/>
    <w:rsid w:val="7BCD2F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w:basedOn w:val="1"/>
    <w:next w:val="1"/>
    <w:qFormat/>
    <w:uiPriority w:val="0"/>
    <w:pPr>
      <w:spacing w:after="120"/>
    </w:pPr>
  </w:style>
  <w:style w:type="paragraph" w:styleId="3">
    <w:name w:val="Plain Text"/>
    <w:basedOn w:val="1"/>
    <w:next w:val="1"/>
    <w:qFormat/>
    <w:uiPriority w:val="0"/>
    <w:rPr>
      <w:rFonts w:ascii="宋体" w:hAnsi="Courier New"/>
      <w:szCs w:val="20"/>
    </w:rPr>
  </w:style>
  <w:style w:type="paragraph" w:styleId="4">
    <w:name w:val="footer"/>
    <w:basedOn w:val="1"/>
    <w:unhideWhenUsed/>
    <w:qFormat/>
    <w:uiPriority w:val="99"/>
    <w:pPr>
      <w:tabs>
        <w:tab w:val="center" w:pos="4153"/>
        <w:tab w:val="right" w:pos="8306"/>
      </w:tabs>
      <w:snapToGrid w:val="0"/>
      <w:jc w:val="left"/>
    </w:pPr>
    <w:rPr>
      <w:sz w:val="18"/>
      <w:szCs w:val="18"/>
    </w:rPr>
  </w:style>
  <w:style w:type="paragraph" w:customStyle="1" w:styleId="7">
    <w:name w:val="纯文本1"/>
    <w:basedOn w:val="1"/>
    <w:qFormat/>
    <w:uiPriority w:val="0"/>
    <w:pPr>
      <w:suppressAutoHyphens/>
    </w:pPr>
    <w:rPr>
      <w:rFonts w:ascii="宋体" w:hAnsi="宋体" w:eastAsia="宋体" w:cs="Calibri"/>
      <w:kern w:val="1"/>
      <w:sz w:val="20"/>
      <w:szCs w:val="21"/>
      <w:lang w:eastAsia="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2025-06-20T07:35:00Z</dcterms:created>
  <dc:creator></dc:creator>
  <cp:lastModifiedBy></cp:lastModifiedBy>
  <dcterms:modified xsi:type="dcterms:W3CDTF">2025-06-20T07:38:44Z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F9A50DB6DCE94BD286F290E34D344E00_11</vt:lpwstr>
  </property>
  <property fmtid="{D5CDD505-2E9C-101B-9397-08002B2CF9AE}" pid="4" name="KSOTemplateDocerSaveRecord">
    <vt:lpwstr>eyJoZGlkIjoiZGNhN2YyZTk1NWZhOTUwODI2Y2E1YWI4OTUxN2E1OGYiLCJ1c2VySWQiOiIzMDI3OTUwMTgifQ==</vt:lpwstr>
  </property>
</Properties>
</file>