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D82647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黑体" w:hAnsi="黑体" w:eastAsia="黑体" w:cs="黑体"/>
          <w:color w:val="auto"/>
          <w:sz w:val="28"/>
          <w:szCs w:val="28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auto"/>
          <w:sz w:val="28"/>
          <w:szCs w:val="28"/>
          <w:highlight w:val="none"/>
          <w:lang w:val="en-US" w:eastAsia="zh-CN"/>
        </w:rPr>
        <w:t>附件1</w:t>
      </w:r>
    </w:p>
    <w:p w14:paraId="1FBD7096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32"/>
          <w:szCs w:val="32"/>
          <w:highlight w:val="none"/>
          <w:lang w:val="en-US" w:eastAsia="zh-CN"/>
        </w:rPr>
        <w:t>采购需求</w:t>
      </w:r>
    </w:p>
    <w:tbl>
      <w:tblPr>
        <w:tblStyle w:val="6"/>
        <w:tblW w:w="895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8"/>
        <w:gridCol w:w="652"/>
        <w:gridCol w:w="7125"/>
      </w:tblGrid>
      <w:tr w14:paraId="219DC2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55" w:type="dxa"/>
            <w:gridSpan w:val="3"/>
            <w:vAlign w:val="center"/>
          </w:tcPr>
          <w:p w14:paraId="437EB1C0">
            <w:pPr>
              <w:spacing w:line="360" w:lineRule="auto"/>
              <w:rPr>
                <w:color w:val="auto"/>
                <w:szCs w:val="21"/>
                <w:highlight w:val="none"/>
              </w:rPr>
            </w:pPr>
            <w:r>
              <w:rPr>
                <w:rFonts w:hint="eastAsia"/>
                <w:b/>
                <w:bCs/>
                <w:color w:val="auto"/>
                <w:szCs w:val="21"/>
                <w:highlight w:val="none"/>
              </w:rPr>
              <w:t>一、项目要求</w:t>
            </w:r>
          </w:p>
        </w:tc>
      </w:tr>
      <w:tr w14:paraId="41B0FA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78" w:type="dxa"/>
            <w:vAlign w:val="center"/>
          </w:tcPr>
          <w:p w14:paraId="28C9A602">
            <w:pPr>
              <w:spacing w:line="360" w:lineRule="auto"/>
              <w:jc w:val="center"/>
              <w:rPr>
                <w:color w:val="auto"/>
                <w:szCs w:val="21"/>
                <w:highlight w:val="none"/>
              </w:rPr>
            </w:pPr>
            <w:r>
              <w:rPr>
                <w:rFonts w:hint="eastAsia"/>
                <w:b/>
                <w:color w:val="auto"/>
                <w:szCs w:val="21"/>
                <w:highlight w:val="none"/>
              </w:rPr>
              <w:t>名称</w:t>
            </w:r>
          </w:p>
        </w:tc>
        <w:tc>
          <w:tcPr>
            <w:tcW w:w="652" w:type="dxa"/>
            <w:vAlign w:val="center"/>
          </w:tcPr>
          <w:p w14:paraId="3F402CF1">
            <w:pPr>
              <w:spacing w:line="360" w:lineRule="auto"/>
              <w:jc w:val="center"/>
              <w:rPr>
                <w:color w:val="auto"/>
                <w:szCs w:val="21"/>
                <w:highlight w:val="none"/>
              </w:rPr>
            </w:pPr>
            <w:r>
              <w:rPr>
                <w:rFonts w:hint="eastAsia"/>
                <w:b/>
                <w:color w:val="auto"/>
                <w:szCs w:val="21"/>
                <w:highlight w:val="none"/>
              </w:rPr>
              <w:t>数量</w:t>
            </w:r>
          </w:p>
        </w:tc>
        <w:tc>
          <w:tcPr>
            <w:tcW w:w="7125" w:type="dxa"/>
            <w:vAlign w:val="center"/>
          </w:tcPr>
          <w:p w14:paraId="5C83A969">
            <w:pPr>
              <w:spacing w:line="360" w:lineRule="auto"/>
              <w:jc w:val="center"/>
              <w:rPr>
                <w:rFonts w:hint="eastAsia" w:eastAsia="宋体"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eastAsia"/>
                <w:b/>
                <w:bCs/>
                <w:color w:val="auto"/>
                <w:szCs w:val="21"/>
                <w:highlight w:val="none"/>
                <w:lang w:val="en-US"/>
              </w:rPr>
              <w:t>需求</w:t>
            </w:r>
            <w:r>
              <w:rPr>
                <w:rFonts w:hint="eastAsia"/>
                <w:b/>
                <w:bCs/>
                <w:color w:val="auto"/>
                <w:szCs w:val="21"/>
                <w:highlight w:val="none"/>
                <w:lang w:val="en-US" w:eastAsia="zh-CN"/>
              </w:rPr>
              <w:t>内容</w:t>
            </w:r>
          </w:p>
        </w:tc>
      </w:tr>
      <w:tr w14:paraId="441F5E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34" w:hRule="atLeast"/>
          <w:jc w:val="center"/>
        </w:trPr>
        <w:tc>
          <w:tcPr>
            <w:tcW w:w="1178" w:type="dxa"/>
            <w:vAlign w:val="center"/>
          </w:tcPr>
          <w:p w14:paraId="0818D43B">
            <w:pPr>
              <w:pStyle w:val="3"/>
              <w:ind w:left="0" w:leftChars="0" w:firstLine="0" w:firstLineChars="0"/>
              <w:jc w:val="left"/>
              <w:rPr>
                <w:rFonts w:hint="eastAsia" w:eastAsia="宋体"/>
                <w:color w:val="auto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自动监控中心维修维护</w:t>
            </w:r>
            <w:r>
              <w:rPr>
                <w:rFonts w:hint="eastAsia"/>
                <w:color w:val="auto"/>
                <w:highlight w:val="none"/>
                <w:lang w:val="en-US" w:eastAsia="zh-CN"/>
              </w:rPr>
              <w:t>项目</w:t>
            </w:r>
          </w:p>
        </w:tc>
        <w:tc>
          <w:tcPr>
            <w:tcW w:w="652" w:type="dxa"/>
            <w:vAlign w:val="center"/>
          </w:tcPr>
          <w:p w14:paraId="796B2904">
            <w:pPr>
              <w:spacing w:line="360" w:lineRule="auto"/>
              <w:jc w:val="center"/>
              <w:rPr>
                <w:rFonts w:hint="default" w:eastAsia="宋体"/>
                <w:color w:val="auto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highlight w:val="none"/>
                <w:lang w:val="en-US" w:eastAsia="zh-CN"/>
              </w:rPr>
              <w:t>1项</w:t>
            </w:r>
          </w:p>
        </w:tc>
        <w:tc>
          <w:tcPr>
            <w:tcW w:w="7125" w:type="dxa"/>
            <w:vAlign w:val="top"/>
          </w:tcPr>
          <w:p w14:paraId="23DF7724">
            <w:pPr>
              <w:pStyle w:val="3"/>
              <w:spacing w:line="440" w:lineRule="exact"/>
              <w:ind w:left="0" w:leftChars="0" w:firstLine="0" w:firstLineChars="0"/>
              <w:jc w:val="both"/>
              <w:rPr>
                <w:rFonts w:hint="eastAsia"/>
                <w:b/>
                <w:bCs/>
                <w:color w:val="auto"/>
                <w:szCs w:val="21"/>
                <w:highlight w:val="none"/>
              </w:rPr>
            </w:pPr>
            <w:r>
              <w:rPr>
                <w:rFonts w:hint="eastAsia"/>
                <w:b/>
                <w:bCs/>
                <w:color w:val="auto"/>
                <w:szCs w:val="21"/>
                <w:highlight w:val="none"/>
                <w:lang w:val="en-US" w:eastAsia="zh-CN"/>
              </w:rPr>
              <w:t xml:space="preserve">     一、</w:t>
            </w:r>
            <w:r>
              <w:rPr>
                <w:rFonts w:hint="eastAsia"/>
                <w:b/>
                <w:bCs/>
                <w:color w:val="auto"/>
                <w:szCs w:val="21"/>
                <w:highlight w:val="none"/>
              </w:rPr>
              <w:t>项目概况</w:t>
            </w:r>
          </w:p>
          <w:p w14:paraId="79E1AF35">
            <w:pPr>
              <w:pStyle w:val="3"/>
              <w:spacing w:line="440" w:lineRule="exact"/>
              <w:jc w:val="both"/>
              <w:rPr>
                <w:rFonts w:hint="eastAsia"/>
                <w:b/>
                <w:bCs/>
                <w:color w:val="auto"/>
                <w:szCs w:val="21"/>
                <w:highlight w:val="none"/>
              </w:rPr>
            </w:pPr>
            <w:r>
              <w:rPr>
                <w:rFonts w:hint="eastAsia"/>
                <w:b/>
                <w:bCs/>
                <w:color w:val="auto"/>
                <w:szCs w:val="21"/>
                <w:highlight w:val="none"/>
                <w:lang w:eastAsia="zh-CN"/>
              </w:rPr>
              <w:t>（一）</w:t>
            </w:r>
            <w:r>
              <w:rPr>
                <w:rFonts w:hint="eastAsia"/>
                <w:b/>
                <w:bCs/>
                <w:color w:val="auto"/>
                <w:szCs w:val="21"/>
                <w:highlight w:val="none"/>
              </w:rPr>
              <w:t>项目名称</w:t>
            </w:r>
          </w:p>
          <w:p w14:paraId="4CBB2CA6">
            <w:pPr>
              <w:pStyle w:val="3"/>
              <w:spacing w:line="440" w:lineRule="exact"/>
              <w:jc w:val="both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val="en-US" w:eastAsia="zh-CN" w:bidi="ar"/>
              </w:rPr>
              <w:t>茅尾海立体智能综合监测基地二期建设</w:t>
            </w:r>
          </w:p>
          <w:p w14:paraId="2F99D71C">
            <w:pPr>
              <w:pStyle w:val="3"/>
              <w:spacing w:line="440" w:lineRule="exact"/>
              <w:jc w:val="both"/>
              <w:rPr>
                <w:rFonts w:hint="eastAsia"/>
                <w:b/>
                <w:bCs/>
                <w:color w:val="auto"/>
                <w:szCs w:val="21"/>
                <w:highlight w:val="none"/>
              </w:rPr>
            </w:pPr>
            <w:r>
              <w:rPr>
                <w:rFonts w:hint="eastAsia"/>
                <w:b/>
                <w:bCs/>
                <w:color w:val="auto"/>
                <w:szCs w:val="21"/>
                <w:highlight w:val="none"/>
                <w:lang w:val="en-US" w:eastAsia="zh-CN"/>
              </w:rPr>
              <w:t>（二）</w:t>
            </w:r>
            <w:r>
              <w:rPr>
                <w:rFonts w:hint="eastAsia"/>
                <w:b/>
                <w:bCs/>
                <w:color w:val="auto"/>
                <w:szCs w:val="21"/>
                <w:highlight w:val="none"/>
              </w:rPr>
              <w:t>项目内容</w:t>
            </w:r>
          </w:p>
          <w:p w14:paraId="43AFA4F7">
            <w:pPr>
              <w:pStyle w:val="3"/>
              <w:spacing w:line="440" w:lineRule="exact"/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Cs w:val="21"/>
                <w:highlight w:val="none"/>
                <w:lang w:val="en-US" w:eastAsia="zh-CN"/>
              </w:rPr>
              <w:t>为加快茅尾海立体智能综合监测基地的全面建成，</w:t>
            </w:r>
            <w:r>
              <w:rPr>
                <w:rFonts w:hint="eastAsia" w:asciiTheme="minorEastAsia" w:hAnsiTheme="minorEastAsia" w:eastAsiaTheme="minorEastAsia" w:cstheme="minorEastAsia"/>
                <w:bCs w:val="0"/>
                <w:color w:val="auto"/>
                <w:sz w:val="21"/>
                <w:szCs w:val="21"/>
                <w:highlight w:val="none"/>
                <w:lang w:val="en-US" w:eastAsia="zh-CN" w:bidi="ar"/>
              </w:rPr>
              <w:t>拟开展茅尾海立体智能综合监测基地二期工程采购工作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Cs w:val="21"/>
                <w:highlight w:val="none"/>
                <w:lang w:val="en-US" w:eastAsia="zh-CN"/>
              </w:rPr>
              <w:t>，采购内容如下：</w:t>
            </w:r>
          </w:p>
          <w:p w14:paraId="401F10C9">
            <w:pPr>
              <w:pStyle w:val="3"/>
              <w:numPr>
                <w:ilvl w:val="0"/>
                <w:numId w:val="1"/>
              </w:numPr>
              <w:spacing w:line="440" w:lineRule="exact"/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采购二层护栏和楼梯。</w:t>
            </w:r>
          </w:p>
          <w:p w14:paraId="51EFA2D0">
            <w:pPr>
              <w:pStyle w:val="3"/>
              <w:numPr>
                <w:ilvl w:val="0"/>
                <w:numId w:val="1"/>
              </w:numPr>
              <w:spacing w:line="440" w:lineRule="exact"/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定制实验室主体</w:t>
            </w:r>
          </w:p>
          <w:p w14:paraId="5E8443E6">
            <w:pPr>
              <w:pStyle w:val="3"/>
              <w:numPr>
                <w:ilvl w:val="0"/>
                <w:numId w:val="1"/>
              </w:numPr>
              <w:spacing w:line="440" w:lineRule="exact"/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进行主体装修</w:t>
            </w:r>
          </w:p>
          <w:p w14:paraId="0536FE28">
            <w:pPr>
              <w:pStyle w:val="3"/>
              <w:numPr>
                <w:ilvl w:val="0"/>
                <w:numId w:val="1"/>
              </w:numPr>
              <w:spacing w:line="440" w:lineRule="exact"/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进行二楼平台建设。</w:t>
            </w:r>
          </w:p>
          <w:p w14:paraId="48F1D0CB">
            <w:pPr>
              <w:pStyle w:val="3"/>
              <w:numPr>
                <w:ilvl w:val="0"/>
                <w:numId w:val="1"/>
              </w:numPr>
              <w:spacing w:line="440" w:lineRule="exact"/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进行基地站房及周边附属绿化设施建设。</w:t>
            </w:r>
          </w:p>
          <w:p w14:paraId="70002494">
            <w:pPr>
              <w:pStyle w:val="3"/>
              <w:numPr>
                <w:ilvl w:val="0"/>
                <w:numId w:val="1"/>
              </w:numPr>
              <w:spacing w:line="440" w:lineRule="exact"/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szCs w:val="24"/>
                <w:lang w:val="en-US" w:eastAsia="zh-CN"/>
              </w:rPr>
              <w:t>进行基地围墙建设。</w:t>
            </w:r>
          </w:p>
          <w:p w14:paraId="09D44FCC">
            <w:pPr>
              <w:pStyle w:val="3"/>
              <w:spacing w:line="440" w:lineRule="exact"/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Cs w:val="21"/>
                <w:highlight w:val="none"/>
                <w:lang w:val="en-US" w:eastAsia="zh-CN"/>
              </w:rPr>
              <w:t>具体维修维护内容详见附表1。</w:t>
            </w:r>
          </w:p>
          <w:p w14:paraId="0CC58C6E">
            <w:pPr>
              <w:pStyle w:val="3"/>
              <w:spacing w:line="440" w:lineRule="exact"/>
              <w:jc w:val="both"/>
              <w:rPr>
                <w:rFonts w:hint="eastAsia"/>
                <w:b/>
                <w:bCs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/>
                <w:b/>
                <w:bCs/>
                <w:color w:val="auto"/>
                <w:sz w:val="21"/>
                <w:szCs w:val="21"/>
                <w:highlight w:val="none"/>
                <w:lang w:eastAsia="zh-CN"/>
              </w:rPr>
              <w:t>（三）工作要求</w:t>
            </w:r>
          </w:p>
          <w:p w14:paraId="026D3D6B">
            <w:pPr>
              <w:pStyle w:val="3"/>
              <w:spacing w:line="440" w:lineRule="exact"/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1、</w:t>
            </w:r>
            <w:r>
              <w:rPr>
                <w:rFonts w:hint="eastAsia"/>
                <w:lang w:eastAsia="zh-CN"/>
              </w:rPr>
              <w:t>乙方根据</w:t>
            </w:r>
            <w:r>
              <w:rPr>
                <w:rFonts w:hint="eastAsia"/>
                <w:lang w:val="en-US" w:eastAsia="zh-CN"/>
              </w:rPr>
              <w:t>设计图纸等内容</w:t>
            </w:r>
            <w:r>
              <w:rPr>
                <w:rFonts w:hint="eastAsia"/>
                <w:lang w:eastAsia="zh-CN"/>
              </w:rPr>
              <w:t>编制项目的施工方案，报经甲方同意后方可开始项目施工。</w:t>
            </w:r>
            <w:r>
              <w:rPr>
                <w:rFonts w:hint="eastAsia"/>
                <w:lang w:val="en-US" w:eastAsia="zh-CN"/>
              </w:rPr>
              <w:t xml:space="preserve"> </w:t>
            </w:r>
          </w:p>
          <w:p w14:paraId="632F6E50">
            <w:pPr>
              <w:pStyle w:val="3"/>
              <w:spacing w:line="440" w:lineRule="exact"/>
              <w:jc w:val="both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2、</w:t>
            </w:r>
            <w:r>
              <w:rPr>
                <w:rFonts w:hint="eastAsia"/>
                <w:lang w:val="en-US" w:eastAsia="zh-CN"/>
              </w:rPr>
              <w:t>项目完成日期</w:t>
            </w:r>
            <w:r>
              <w:rPr>
                <w:rFonts w:hint="default"/>
                <w:lang w:val="en-US" w:eastAsia="zh-CN"/>
              </w:rPr>
              <w:t>以甲方签具验收报告书之日为准</w:t>
            </w:r>
            <w:r>
              <w:rPr>
                <w:rFonts w:hint="eastAsia"/>
                <w:lang w:val="en-US" w:eastAsia="zh-CN"/>
              </w:rPr>
              <w:t>。</w:t>
            </w:r>
          </w:p>
          <w:p w14:paraId="4D7BE8F0">
            <w:pPr>
              <w:pStyle w:val="3"/>
              <w:spacing w:line="440" w:lineRule="exact"/>
              <w:jc w:val="both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  <w:r>
              <w:rPr>
                <w:rFonts w:hint="default"/>
                <w:lang w:val="en-US" w:eastAsia="zh-CN"/>
              </w:rPr>
              <w:t>、在施工工期内如遇下列情况，经双方协商，以</w:t>
            </w:r>
            <w:r>
              <w:rPr>
                <w:rFonts w:hint="eastAsia"/>
                <w:color w:val="auto"/>
                <w:lang w:val="en-US" w:eastAsia="zh-CN"/>
              </w:rPr>
              <w:t>甲方出具的书面通知</w:t>
            </w:r>
            <w:r>
              <w:rPr>
                <w:rFonts w:hint="default"/>
                <w:lang w:val="en-US" w:eastAsia="zh-CN"/>
              </w:rPr>
              <w:t>为准，工期方可顺延</w:t>
            </w:r>
            <w:r>
              <w:rPr>
                <w:rFonts w:hint="eastAsia"/>
                <w:lang w:val="en-US" w:eastAsia="zh-CN"/>
              </w:rPr>
              <w:t>，</w:t>
            </w:r>
            <w:r>
              <w:rPr>
                <w:rFonts w:hint="default"/>
                <w:lang w:val="en-US" w:eastAsia="zh-CN"/>
              </w:rPr>
              <w:t>除此之外，工期均不得顺延：</w:t>
            </w:r>
          </w:p>
          <w:p w14:paraId="2DC4BA60">
            <w:pPr>
              <w:pStyle w:val="3"/>
              <w:spacing w:line="440" w:lineRule="exact"/>
              <w:jc w:val="both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（1）合同履行中发生重大设计变更（变更</w:t>
            </w:r>
            <w:r>
              <w:rPr>
                <w:rFonts w:hint="eastAsia"/>
                <w:lang w:val="en-US" w:eastAsia="zh-CN"/>
              </w:rPr>
              <w:t>范围</w:t>
            </w:r>
            <w:r>
              <w:rPr>
                <w:rFonts w:hint="default"/>
                <w:lang w:val="en-US" w:eastAsia="zh-CN"/>
              </w:rPr>
              <w:t>超过</w:t>
            </w:r>
            <w:r>
              <w:rPr>
                <w:rFonts w:hint="eastAsia"/>
                <w:lang w:val="en-US" w:eastAsia="zh-CN"/>
              </w:rPr>
              <w:t>原设计</w:t>
            </w:r>
            <w:r>
              <w:rPr>
                <w:rFonts w:hint="default"/>
                <w:lang w:val="en-US" w:eastAsia="zh-CN"/>
              </w:rPr>
              <w:t>的 10 %）直接影响施工进度；</w:t>
            </w:r>
          </w:p>
          <w:p w14:paraId="6EEDBA71">
            <w:pPr>
              <w:pStyle w:val="3"/>
              <w:spacing w:line="440" w:lineRule="exact"/>
              <w:jc w:val="both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（2）不可抗力因素；</w:t>
            </w:r>
          </w:p>
          <w:p w14:paraId="72A7E7C8">
            <w:pPr>
              <w:pStyle w:val="3"/>
              <w:spacing w:line="440" w:lineRule="exact"/>
              <w:jc w:val="both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（3）乙方</w:t>
            </w:r>
            <w:r>
              <w:rPr>
                <w:rFonts w:hint="eastAsia"/>
                <w:lang w:val="en-US" w:eastAsia="zh-CN"/>
              </w:rPr>
              <w:t>需要甲方提供材料</w:t>
            </w:r>
            <w:r>
              <w:rPr>
                <w:rFonts w:hint="default"/>
                <w:lang w:val="en-US" w:eastAsia="zh-CN"/>
              </w:rPr>
              <w:t>而甲方材料供应不及时的；</w:t>
            </w:r>
          </w:p>
          <w:p w14:paraId="527CC951">
            <w:pPr>
              <w:pStyle w:val="3"/>
              <w:spacing w:line="440" w:lineRule="exact"/>
              <w:jc w:val="both"/>
              <w:rPr>
                <w:rFonts w:hint="eastAsia"/>
                <w:b/>
                <w:bCs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default"/>
                <w:lang w:val="en-US" w:eastAsia="zh-CN"/>
              </w:rPr>
              <w:t>（4）甲方同意顺延工期的其他原因。</w:t>
            </w:r>
          </w:p>
        </w:tc>
      </w:tr>
      <w:tr w14:paraId="46CA19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55" w:type="dxa"/>
            <w:gridSpan w:val="3"/>
            <w:vAlign w:val="center"/>
          </w:tcPr>
          <w:p w14:paraId="5FB373D9">
            <w:pPr>
              <w:spacing w:line="360" w:lineRule="auto"/>
              <w:rPr>
                <w:b/>
                <w:color w:val="auto"/>
                <w:szCs w:val="21"/>
                <w:highlight w:val="none"/>
              </w:rPr>
            </w:pPr>
            <w:r>
              <w:rPr>
                <w:rFonts w:hint="eastAsia"/>
                <w:b/>
                <w:bCs/>
                <w:color w:val="auto"/>
                <w:szCs w:val="21"/>
                <w:highlight w:val="none"/>
              </w:rPr>
              <w:t>二、商务要求</w:t>
            </w:r>
          </w:p>
        </w:tc>
      </w:tr>
      <w:tr w14:paraId="0171A0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55" w:type="dxa"/>
            <w:gridSpan w:val="3"/>
            <w:vAlign w:val="center"/>
          </w:tcPr>
          <w:p w14:paraId="0C4F6FFD">
            <w:pPr>
              <w:numPr>
                <w:ilvl w:val="0"/>
                <w:numId w:val="0"/>
              </w:numPr>
              <w:ind w:firstLine="422" w:firstLineChars="200"/>
              <w:rPr>
                <w:rFonts w:hint="eastAsia"/>
                <w:b/>
                <w:color w:val="auto"/>
                <w:szCs w:val="21"/>
                <w:highlight w:val="none"/>
              </w:rPr>
            </w:pPr>
          </w:p>
          <w:p w14:paraId="06CD4FBB">
            <w:pPr>
              <w:numPr>
                <w:ilvl w:val="0"/>
                <w:numId w:val="0"/>
              </w:numPr>
              <w:spacing w:line="440" w:lineRule="exact"/>
              <w:ind w:firstLine="422" w:firstLineChars="200"/>
              <w:rPr>
                <w:b/>
                <w:color w:val="auto"/>
                <w:szCs w:val="21"/>
                <w:highlight w:val="none"/>
              </w:rPr>
            </w:pPr>
            <w:r>
              <w:rPr>
                <w:rFonts w:hint="eastAsia"/>
                <w:b/>
                <w:color w:val="auto"/>
                <w:szCs w:val="21"/>
                <w:highlight w:val="none"/>
              </w:rPr>
              <w:t>1、报价要求</w:t>
            </w:r>
          </w:p>
          <w:p w14:paraId="427BC143">
            <w:pPr>
              <w:numPr>
                <w:ilvl w:val="0"/>
                <w:numId w:val="0"/>
              </w:numPr>
              <w:spacing w:line="440" w:lineRule="exact"/>
              <w:ind w:firstLine="420" w:firstLineChars="200"/>
              <w:rPr>
                <w:rFonts w:hint="eastAsia"/>
                <w:color w:val="auto"/>
                <w:szCs w:val="21"/>
                <w:highlight w:val="none"/>
              </w:rPr>
            </w:pPr>
            <w:r>
              <w:rPr>
                <w:rFonts w:hint="eastAsia"/>
                <w:color w:val="auto"/>
                <w:szCs w:val="21"/>
                <w:highlight w:val="none"/>
              </w:rPr>
              <w:t>本项目实行总承包报价，报价为采购人指定服务范围内的全部价格，至少包括：</w:t>
            </w:r>
          </w:p>
          <w:p w14:paraId="2B5486E8">
            <w:pPr>
              <w:numPr>
                <w:ilvl w:val="0"/>
                <w:numId w:val="0"/>
              </w:numPr>
              <w:spacing w:line="440" w:lineRule="exact"/>
              <w:ind w:firstLine="420" w:firstLineChars="200"/>
              <w:rPr>
                <w:rFonts w:hint="eastAsia"/>
                <w:color w:val="auto"/>
                <w:szCs w:val="21"/>
                <w:highlight w:val="none"/>
              </w:rPr>
            </w:pP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（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）</w:t>
            </w:r>
            <w:r>
              <w:rPr>
                <w:rFonts w:hint="eastAsia"/>
                <w:color w:val="auto"/>
                <w:szCs w:val="21"/>
                <w:highlight w:val="none"/>
              </w:rPr>
              <w:t>服务的价格（包括人工、材料、设备等）；</w:t>
            </w:r>
          </w:p>
          <w:p w14:paraId="00CF012B">
            <w:pPr>
              <w:numPr>
                <w:ilvl w:val="0"/>
                <w:numId w:val="0"/>
              </w:numPr>
              <w:spacing w:line="440" w:lineRule="exact"/>
              <w:ind w:leftChars="200"/>
              <w:rPr>
                <w:rFonts w:hint="eastAsia"/>
                <w:color w:val="auto"/>
                <w:szCs w:val="21"/>
                <w:highlight w:val="none"/>
              </w:rPr>
            </w:pP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（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）</w:t>
            </w:r>
            <w:r>
              <w:rPr>
                <w:rFonts w:hint="eastAsia"/>
                <w:color w:val="auto"/>
                <w:szCs w:val="21"/>
                <w:highlight w:val="none"/>
              </w:rPr>
              <w:t>必要的保险费用和各项税金；</w:t>
            </w:r>
          </w:p>
          <w:p w14:paraId="0742D824">
            <w:pPr>
              <w:numPr>
                <w:ilvl w:val="0"/>
                <w:numId w:val="0"/>
              </w:numPr>
              <w:spacing w:line="440" w:lineRule="exact"/>
              <w:ind w:leftChars="200"/>
              <w:rPr>
                <w:color w:val="auto"/>
                <w:szCs w:val="21"/>
                <w:highlight w:val="none"/>
              </w:rPr>
            </w:pPr>
            <w:r>
              <w:rPr>
                <w:rFonts w:hint="eastAsia"/>
                <w:color w:val="auto"/>
                <w:szCs w:val="21"/>
                <w:highlight w:val="none"/>
              </w:rPr>
              <w:t>（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eastAsia"/>
                <w:color w:val="auto"/>
                <w:szCs w:val="21"/>
                <w:highlight w:val="none"/>
              </w:rPr>
              <w:t>）与本项目有关的其他一切费用。</w:t>
            </w:r>
          </w:p>
          <w:p w14:paraId="15D5CDEC">
            <w:pPr>
              <w:numPr>
                <w:ilvl w:val="0"/>
                <w:numId w:val="0"/>
              </w:numPr>
              <w:spacing w:line="440" w:lineRule="exact"/>
              <w:ind w:firstLine="420" w:firstLineChars="200"/>
              <w:rPr>
                <w:rFonts w:hint="eastAsia"/>
                <w:color w:val="auto"/>
                <w:szCs w:val="21"/>
                <w:highlight w:val="none"/>
              </w:rPr>
            </w:pPr>
            <w:r>
              <w:rPr>
                <w:rFonts w:hint="eastAsia"/>
                <w:color w:val="auto"/>
                <w:szCs w:val="21"/>
                <w:highlight w:val="none"/>
              </w:rPr>
              <w:t>采购人不再支付成交价格以外的任何费用。</w:t>
            </w:r>
          </w:p>
          <w:p w14:paraId="38098C68">
            <w:pPr>
              <w:numPr>
                <w:ilvl w:val="0"/>
                <w:numId w:val="0"/>
              </w:numPr>
              <w:spacing w:line="440" w:lineRule="exact"/>
              <w:ind w:firstLine="422" w:firstLineChars="200"/>
              <w:rPr>
                <w:rFonts w:hint="default" w:eastAsia="宋体"/>
                <w:b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b/>
                <w:color w:val="auto"/>
                <w:szCs w:val="21"/>
                <w:highlight w:val="none"/>
              </w:rPr>
              <w:t>2、项目服务时间</w:t>
            </w:r>
            <w:r>
              <w:rPr>
                <w:rFonts w:hint="eastAsia"/>
                <w:b/>
                <w:color w:val="auto"/>
                <w:szCs w:val="21"/>
                <w:highlight w:val="none"/>
                <w:lang w:val="en-US" w:eastAsia="zh-CN"/>
              </w:rPr>
              <w:t>及服务地点</w:t>
            </w:r>
          </w:p>
          <w:p w14:paraId="7207C9B8">
            <w:pPr>
              <w:spacing w:line="440" w:lineRule="exact"/>
              <w:ind w:firstLine="420" w:firstLineChars="200"/>
              <w:rPr>
                <w:rFonts w:hint="eastAsia"/>
                <w:color w:val="auto"/>
                <w:szCs w:val="21"/>
                <w:highlight w:val="none"/>
              </w:rPr>
            </w:pPr>
            <w:r>
              <w:rPr>
                <w:rFonts w:hint="eastAsia"/>
                <w:color w:val="auto"/>
                <w:szCs w:val="21"/>
                <w:highlight w:val="none"/>
                <w:lang w:eastAsia="zh-CN"/>
              </w:rPr>
              <w:t>项目服务时间以合同</w:t>
            </w:r>
            <w:r>
              <w:rPr>
                <w:rFonts w:hint="eastAsia"/>
                <w:color w:val="auto"/>
                <w:szCs w:val="21"/>
                <w:highlight w:val="none"/>
              </w:rPr>
              <w:t>为准。</w:t>
            </w:r>
          </w:p>
          <w:p w14:paraId="383C484C">
            <w:pPr>
              <w:pStyle w:val="4"/>
              <w:spacing w:line="440" w:lineRule="exact"/>
              <w:rPr>
                <w:color w:val="auto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服务地点：</w:t>
            </w:r>
            <w:r>
              <w:rPr>
                <w:rFonts w:hint="eastAsia"/>
                <w:sz w:val="21"/>
                <w:szCs w:val="21"/>
                <w:highlight w:val="none"/>
                <w:lang w:eastAsia="zh-CN"/>
              </w:rPr>
              <w:t>广西北海市海城区公园路</w:t>
            </w: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49号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。</w:t>
            </w:r>
          </w:p>
          <w:p w14:paraId="3D34A63E">
            <w:pPr>
              <w:spacing w:line="440" w:lineRule="exact"/>
              <w:ind w:firstLine="422" w:firstLineChars="200"/>
              <w:rPr>
                <w:rFonts w:hint="default" w:eastAsia="宋体"/>
                <w:b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b/>
                <w:color w:val="auto"/>
                <w:szCs w:val="21"/>
                <w:highlight w:val="none"/>
              </w:rPr>
              <w:t>3</w:t>
            </w:r>
            <w:r>
              <w:rPr>
                <w:rFonts w:hint="eastAsia"/>
                <w:b/>
                <w:color w:val="auto"/>
                <w:szCs w:val="21"/>
                <w:highlight w:val="none"/>
              </w:rPr>
              <w:t>、交付</w:t>
            </w:r>
            <w:r>
              <w:rPr>
                <w:rFonts w:hint="eastAsia"/>
                <w:b/>
                <w:color w:val="auto"/>
                <w:szCs w:val="21"/>
                <w:highlight w:val="none"/>
                <w:lang w:val="en-US" w:eastAsia="zh-CN"/>
              </w:rPr>
              <w:t>地点和验收</w:t>
            </w:r>
          </w:p>
          <w:p w14:paraId="6EB7E510">
            <w:pPr>
              <w:spacing w:line="440" w:lineRule="exact"/>
              <w:ind w:firstLine="420" w:firstLineChars="200"/>
              <w:rPr>
                <w:rFonts w:hint="eastAsia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交付地点：广西壮族自治区海洋环境监测中心站。</w:t>
            </w:r>
          </w:p>
          <w:p w14:paraId="60C56980">
            <w:pPr>
              <w:pStyle w:val="4"/>
              <w:spacing w:line="440" w:lineRule="exact"/>
              <w:rPr>
                <w:color w:val="auto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验收方式：项目完成后，乙方通知甲方代表进行验收，甲方自接到验收通知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15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个工作日内组织验收。甲方对乙方提交的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维修维护成果和验收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材料进行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现场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审定，符合合同、询价公告、采购需求、项目报价单及承诺规定的要求的，由甲方出具验收报告书由双方签署并加盖甲方公章，甲乙双方各执一份。</w:t>
            </w:r>
          </w:p>
          <w:p w14:paraId="6322CB96">
            <w:pPr>
              <w:spacing w:line="440" w:lineRule="exact"/>
              <w:ind w:firstLine="422" w:firstLineChars="200"/>
              <w:rPr>
                <w:b/>
                <w:color w:val="auto"/>
                <w:szCs w:val="21"/>
                <w:highlight w:val="none"/>
              </w:rPr>
            </w:pPr>
            <w:r>
              <w:rPr>
                <w:b/>
                <w:color w:val="auto"/>
                <w:szCs w:val="21"/>
                <w:highlight w:val="none"/>
              </w:rPr>
              <w:t>4</w:t>
            </w:r>
            <w:r>
              <w:rPr>
                <w:rFonts w:hint="eastAsia"/>
                <w:b/>
                <w:color w:val="auto"/>
                <w:szCs w:val="21"/>
                <w:highlight w:val="none"/>
              </w:rPr>
              <w:t>、合同签订时间</w:t>
            </w:r>
          </w:p>
          <w:p w14:paraId="568223FF">
            <w:pPr>
              <w:spacing w:line="440" w:lineRule="exact"/>
              <w:ind w:firstLine="420" w:firstLineChars="200"/>
              <w:rPr>
                <w:color w:val="auto"/>
                <w:szCs w:val="21"/>
                <w:highlight w:val="none"/>
              </w:rPr>
            </w:pPr>
            <w:r>
              <w:rPr>
                <w:rFonts w:hint="eastAsia"/>
                <w:color w:val="auto"/>
                <w:szCs w:val="21"/>
                <w:highlight w:val="none"/>
              </w:rPr>
              <w:t>自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项目</w:t>
            </w:r>
            <w:r>
              <w:rPr>
                <w:rFonts w:hint="eastAsia"/>
                <w:color w:val="auto"/>
                <w:szCs w:val="21"/>
                <w:highlight w:val="none"/>
              </w:rPr>
              <w:t>成交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公告</w:t>
            </w:r>
            <w:r>
              <w:rPr>
                <w:rFonts w:hint="eastAsia"/>
                <w:color w:val="auto"/>
                <w:szCs w:val="21"/>
                <w:highlight w:val="none"/>
              </w:rPr>
              <w:t>发出之日起</w:t>
            </w:r>
            <w:r>
              <w:rPr>
                <w:color w:val="auto"/>
                <w:szCs w:val="21"/>
                <w:highlight w:val="none"/>
              </w:rPr>
              <w:t>5</w:t>
            </w: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个工作</w:t>
            </w:r>
            <w:r>
              <w:rPr>
                <w:rFonts w:hint="eastAsia"/>
                <w:color w:val="auto"/>
                <w:szCs w:val="21"/>
                <w:highlight w:val="none"/>
              </w:rPr>
              <w:t>日内。</w:t>
            </w:r>
          </w:p>
          <w:p w14:paraId="18EC2FC3">
            <w:pPr>
              <w:spacing w:line="440" w:lineRule="exact"/>
              <w:ind w:firstLine="422" w:firstLineChars="200"/>
              <w:rPr>
                <w:b/>
                <w:color w:val="auto"/>
                <w:szCs w:val="21"/>
                <w:highlight w:val="none"/>
              </w:rPr>
            </w:pPr>
            <w:r>
              <w:rPr>
                <w:b/>
                <w:color w:val="auto"/>
                <w:szCs w:val="21"/>
                <w:highlight w:val="none"/>
              </w:rPr>
              <w:t>5</w:t>
            </w:r>
            <w:r>
              <w:rPr>
                <w:rFonts w:hint="eastAsia"/>
                <w:b/>
                <w:color w:val="auto"/>
                <w:szCs w:val="21"/>
                <w:highlight w:val="none"/>
              </w:rPr>
              <w:t>、付款条件</w:t>
            </w:r>
          </w:p>
          <w:p w14:paraId="6D61C8F1">
            <w:pPr>
              <w:pStyle w:val="4"/>
              <w:spacing w:line="440" w:lineRule="exact"/>
              <w:ind w:left="0" w:firstLine="420" w:firstLineChars="200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（1）合同签订后，乙方在5个工作日内提交支付申请和发票，甲方收到乙方的支付申请和发票后15个工作日内向乙方支付合同总金额的50％。</w:t>
            </w:r>
          </w:p>
          <w:p w14:paraId="6A3A232D">
            <w:pPr>
              <w:pStyle w:val="4"/>
              <w:spacing w:line="440" w:lineRule="exact"/>
              <w:ind w:left="0" w:firstLine="420" w:firstLineChars="200"/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（2）乙方按合同要求完成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施工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工作经甲方验收完成后，向甲方提交支付申请和合同尾款发票，甲方收到发票后15个工作日内支付合同尾款。</w:t>
            </w:r>
          </w:p>
        </w:tc>
      </w:tr>
    </w:tbl>
    <w:p w14:paraId="3399B4F8"/>
    <w:p w14:paraId="5F31700E">
      <w:pPr>
        <w:pStyle w:val="2"/>
      </w:pPr>
    </w:p>
    <w:p w14:paraId="4F7C7664">
      <w:pPr>
        <w:pStyle w:val="2"/>
      </w:pPr>
    </w:p>
    <w:p w14:paraId="6BF19846">
      <w:pPr>
        <w:pStyle w:val="2"/>
      </w:pPr>
    </w:p>
    <w:p w14:paraId="30BD8FE3">
      <w:pPr>
        <w:pStyle w:val="2"/>
      </w:pPr>
    </w:p>
    <w:p w14:paraId="26325F10">
      <w:pPr>
        <w:pStyle w:val="2"/>
      </w:pPr>
    </w:p>
    <w:p w14:paraId="774D5405">
      <w:pPr>
        <w:pStyle w:val="2"/>
      </w:pPr>
    </w:p>
    <w:p w14:paraId="551BE6D4">
      <w:pPr>
        <w:pStyle w:val="2"/>
      </w:pPr>
    </w:p>
    <w:p w14:paraId="47B9296D">
      <w:pPr>
        <w:pStyle w:val="2"/>
      </w:pPr>
    </w:p>
    <w:p w14:paraId="1A6C65B6">
      <w:pPr>
        <w:pStyle w:val="2"/>
      </w:pPr>
    </w:p>
    <w:p w14:paraId="47B57FD0">
      <w:pPr>
        <w:pStyle w:val="2"/>
      </w:pPr>
    </w:p>
    <w:p w14:paraId="67A1DA6F">
      <w:pPr>
        <w:pStyle w:val="2"/>
      </w:pPr>
    </w:p>
    <w:p w14:paraId="518ACA0B">
      <w:pPr>
        <w:pStyle w:val="2"/>
      </w:pPr>
    </w:p>
    <w:p w14:paraId="514EC5FC">
      <w:pPr>
        <w:pStyle w:val="2"/>
      </w:pPr>
    </w:p>
    <w:p w14:paraId="27157B53">
      <w:pPr>
        <w:pStyle w:val="2"/>
        <w:spacing w:line="360" w:lineRule="auto"/>
        <w:jc w:val="center"/>
        <w:rPr>
          <w:rFonts w:hint="default" w:eastAsia="宋体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eastAsia="zh-CN"/>
        </w:rPr>
        <w:t>附表</w:t>
      </w:r>
      <w:r>
        <w:rPr>
          <w:rFonts w:hint="eastAsia"/>
          <w:b/>
          <w:bCs/>
          <w:sz w:val="28"/>
          <w:szCs w:val="28"/>
          <w:lang w:val="en-US" w:eastAsia="zh-CN"/>
        </w:rPr>
        <w:t>1：</w:t>
      </w:r>
      <w:r>
        <w:rPr>
          <w:rFonts w:hint="default" w:ascii="Calibri" w:hAnsi="Calibri" w:eastAsia="宋体" w:cs="Times New Roman"/>
          <w:b/>
          <w:bCs/>
          <w:color w:val="auto"/>
          <w:sz w:val="28"/>
          <w:szCs w:val="28"/>
          <w:highlight w:val="none"/>
          <w:lang w:val="en-US" w:eastAsia="zh-CN"/>
        </w:rPr>
        <w:t>茅尾海立体智能综合监测基地</w:t>
      </w:r>
      <w:r>
        <w:rPr>
          <w:rFonts w:hint="eastAsia" w:eastAsia="宋体" w:cs="Times New Roman"/>
          <w:b/>
          <w:bCs/>
          <w:sz w:val="28"/>
          <w:szCs w:val="28"/>
          <w:lang w:val="en-US" w:eastAsia="zh-CN"/>
        </w:rPr>
        <w:t>二期建设内容</w:t>
      </w:r>
      <w:r>
        <w:rPr>
          <w:rFonts w:hint="eastAsia"/>
          <w:b/>
          <w:bCs/>
          <w:sz w:val="28"/>
          <w:szCs w:val="28"/>
          <w:lang w:val="en-US" w:eastAsia="zh-CN"/>
        </w:rPr>
        <w:t>表</w:t>
      </w:r>
    </w:p>
    <w:tbl>
      <w:tblPr>
        <w:tblStyle w:val="6"/>
        <w:tblW w:w="8336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1006"/>
        <w:gridCol w:w="2211"/>
        <w:gridCol w:w="1011"/>
        <w:gridCol w:w="1084"/>
        <w:gridCol w:w="3024"/>
      </w:tblGrid>
      <w:tr w14:paraId="218B8F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auto"/>
        </w:tblPrEx>
        <w:trPr>
          <w:trHeight w:val="340" w:hRule="atLeast"/>
          <w:tblHeader/>
          <w:jc w:val="center"/>
        </w:trPr>
        <w:tc>
          <w:tcPr>
            <w:tcW w:w="1006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13CC9E6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b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b/>
                <w:color w:val="000000"/>
                <w:kern w:val="0"/>
                <w:szCs w:val="21"/>
                <w:highlight w:val="none"/>
                <w:lang w:bidi="ar"/>
              </w:rPr>
              <w:t>序号</w:t>
            </w:r>
          </w:p>
        </w:tc>
        <w:tc>
          <w:tcPr>
            <w:tcW w:w="2211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F5F3F2E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b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b/>
                <w:color w:val="000000"/>
                <w:kern w:val="0"/>
                <w:szCs w:val="21"/>
                <w:highlight w:val="none"/>
                <w:lang w:bidi="ar"/>
              </w:rPr>
              <w:t>费用名称</w:t>
            </w:r>
          </w:p>
        </w:tc>
        <w:tc>
          <w:tcPr>
            <w:tcW w:w="1011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90C0A06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b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b/>
                <w:color w:val="000000"/>
                <w:kern w:val="0"/>
                <w:szCs w:val="21"/>
                <w:highlight w:val="none"/>
                <w:lang w:bidi="ar"/>
              </w:rPr>
              <w:t>单位</w:t>
            </w:r>
          </w:p>
        </w:tc>
        <w:tc>
          <w:tcPr>
            <w:tcW w:w="1084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01A2584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b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b/>
                <w:color w:val="000000"/>
                <w:kern w:val="0"/>
                <w:szCs w:val="21"/>
                <w:highlight w:val="none"/>
                <w:lang w:bidi="ar"/>
              </w:rPr>
              <w:t>数量</w:t>
            </w:r>
          </w:p>
        </w:tc>
        <w:tc>
          <w:tcPr>
            <w:tcW w:w="3024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7C279D8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b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b/>
                <w:color w:val="000000"/>
                <w:kern w:val="0"/>
                <w:szCs w:val="21"/>
                <w:highlight w:val="none"/>
                <w:lang w:bidi="ar"/>
              </w:rPr>
              <w:t>备注</w:t>
            </w:r>
          </w:p>
        </w:tc>
      </w:tr>
      <w:tr w14:paraId="1A5771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40" w:hRule="atLeast"/>
          <w:tblHeader/>
          <w:jc w:val="center"/>
        </w:trPr>
        <w:tc>
          <w:tcPr>
            <w:tcW w:w="1006" w:type="dxa"/>
            <w:vMerge w:val="continue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D0042B8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</w:p>
        </w:tc>
        <w:tc>
          <w:tcPr>
            <w:tcW w:w="2211" w:type="dxa"/>
            <w:vMerge w:val="continue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4F28BAB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</w:p>
        </w:tc>
        <w:tc>
          <w:tcPr>
            <w:tcW w:w="1011" w:type="dxa"/>
            <w:vMerge w:val="continue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BDA571A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</w:p>
        </w:tc>
        <w:tc>
          <w:tcPr>
            <w:tcW w:w="1084" w:type="dxa"/>
            <w:vMerge w:val="continue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2F3EC2E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</w:p>
        </w:tc>
        <w:tc>
          <w:tcPr>
            <w:tcW w:w="3024" w:type="dxa"/>
            <w:vMerge w:val="continue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8E862F9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</w:p>
        </w:tc>
      </w:tr>
      <w:tr w14:paraId="7301B8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69" w:hRule="atLeast"/>
          <w:jc w:val="center"/>
        </w:trPr>
        <w:tc>
          <w:tcPr>
            <w:tcW w:w="1006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B8468DF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2211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5A667F7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二层护栏和楼梯</w:t>
            </w:r>
          </w:p>
        </w:tc>
        <w:tc>
          <w:tcPr>
            <w:tcW w:w="1011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8186368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m</w:t>
            </w:r>
          </w:p>
        </w:tc>
        <w:tc>
          <w:tcPr>
            <w:tcW w:w="1084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5EF5106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60</w:t>
            </w:r>
          </w:p>
        </w:tc>
        <w:tc>
          <w:tcPr>
            <w:tcW w:w="3024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1F93D7F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铁艺</w:t>
            </w:r>
          </w:p>
        </w:tc>
      </w:tr>
      <w:tr w14:paraId="438C5F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69" w:hRule="atLeast"/>
          <w:jc w:val="center"/>
        </w:trPr>
        <w:tc>
          <w:tcPr>
            <w:tcW w:w="1006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35B50E3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szCs w:val="21"/>
                <w:highlight w:val="none"/>
                <w:lang w:bidi="ar"/>
              </w:rPr>
              <w:t>2</w:t>
            </w:r>
          </w:p>
        </w:tc>
        <w:tc>
          <w:tcPr>
            <w:tcW w:w="2211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51F6404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定制实验室主体</w:t>
            </w:r>
          </w:p>
        </w:tc>
        <w:tc>
          <w:tcPr>
            <w:tcW w:w="1011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6377FDE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个</w:t>
            </w:r>
          </w:p>
        </w:tc>
        <w:tc>
          <w:tcPr>
            <w:tcW w:w="1084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1D7A5EB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2</w:t>
            </w:r>
          </w:p>
        </w:tc>
        <w:tc>
          <w:tcPr>
            <w:tcW w:w="3024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42149C7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3*6*3m定制集装式箱体</w:t>
            </w:r>
          </w:p>
        </w:tc>
      </w:tr>
      <w:tr w14:paraId="33A320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738" w:hRule="atLeast"/>
          <w:jc w:val="center"/>
        </w:trPr>
        <w:tc>
          <w:tcPr>
            <w:tcW w:w="1006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74B1775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szCs w:val="21"/>
                <w:highlight w:val="none"/>
                <w:lang w:bidi="ar"/>
              </w:rPr>
              <w:t>3</w:t>
            </w:r>
          </w:p>
        </w:tc>
        <w:tc>
          <w:tcPr>
            <w:tcW w:w="2211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DEDF3F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主体装修</w:t>
            </w:r>
          </w:p>
        </w:tc>
        <w:tc>
          <w:tcPr>
            <w:tcW w:w="1011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6D92066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m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vertAlign w:val="superscript"/>
                <w:lang w:bidi="ar"/>
              </w:rPr>
              <w:t>2</w:t>
            </w:r>
          </w:p>
        </w:tc>
        <w:tc>
          <w:tcPr>
            <w:tcW w:w="1084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D5AC749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2</w:t>
            </w:r>
          </w:p>
        </w:tc>
        <w:tc>
          <w:tcPr>
            <w:tcW w:w="3024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3ADAA84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内墙板、吊顶、插座、外墙、窗帘等</w:t>
            </w:r>
          </w:p>
        </w:tc>
      </w:tr>
      <w:tr w14:paraId="36E88F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00" w:hRule="atLeast"/>
          <w:jc w:val="center"/>
        </w:trPr>
        <w:tc>
          <w:tcPr>
            <w:tcW w:w="1006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D5D83D9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szCs w:val="21"/>
                <w:highlight w:val="none"/>
                <w:lang w:bidi="ar"/>
              </w:rPr>
              <w:t>4</w:t>
            </w:r>
          </w:p>
        </w:tc>
        <w:tc>
          <w:tcPr>
            <w:tcW w:w="2211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4C720C3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二楼平台</w:t>
            </w:r>
          </w:p>
        </w:tc>
        <w:tc>
          <w:tcPr>
            <w:tcW w:w="1011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A3B2CD7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m</w:t>
            </w:r>
            <w:r>
              <w:rPr>
                <w:rStyle w:val="10"/>
                <w:rFonts w:hint="default" w:ascii="Times New Roman" w:hAnsi="Times New Roman" w:cs="Times New Roman"/>
                <w:sz w:val="21"/>
                <w:szCs w:val="21"/>
                <w:highlight w:val="none"/>
                <w:lang w:bidi="ar"/>
              </w:rPr>
              <w:t>2</w:t>
            </w:r>
          </w:p>
        </w:tc>
        <w:tc>
          <w:tcPr>
            <w:tcW w:w="1084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5441876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80</w:t>
            </w:r>
          </w:p>
        </w:tc>
        <w:tc>
          <w:tcPr>
            <w:tcW w:w="3024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DD7BE55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木塑地板等制作铺装</w:t>
            </w:r>
          </w:p>
        </w:tc>
      </w:tr>
      <w:tr w14:paraId="493732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128" w:hRule="atLeast"/>
          <w:jc w:val="center"/>
        </w:trPr>
        <w:tc>
          <w:tcPr>
            <w:tcW w:w="1006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E4D67EA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szCs w:val="21"/>
                <w:highlight w:val="none"/>
                <w:lang w:bidi="ar"/>
              </w:rPr>
              <w:t>5</w:t>
            </w:r>
          </w:p>
        </w:tc>
        <w:tc>
          <w:tcPr>
            <w:tcW w:w="2211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74FC58A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基地站房及周边附属绿化设施及共建警务房建设</w:t>
            </w:r>
          </w:p>
        </w:tc>
        <w:tc>
          <w:tcPr>
            <w:tcW w:w="1011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DE14045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/</w:t>
            </w:r>
          </w:p>
        </w:tc>
        <w:tc>
          <w:tcPr>
            <w:tcW w:w="1084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88FBFBB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/</w:t>
            </w:r>
          </w:p>
        </w:tc>
        <w:tc>
          <w:tcPr>
            <w:tcW w:w="3024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F7A2151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  <w:lang w:bidi="ar"/>
              </w:rPr>
              <w:t>基地站房及周边附属绿化设施及共建警务室建设</w:t>
            </w:r>
          </w:p>
        </w:tc>
      </w:tr>
      <w:tr w14:paraId="769827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128" w:hRule="atLeast"/>
          <w:jc w:val="center"/>
        </w:trPr>
        <w:tc>
          <w:tcPr>
            <w:tcW w:w="1006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170B7DA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宋体"/>
                <w:color w:val="000000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Times New Roman" w:hAnsi="Times New Roman"/>
                <w:color w:val="000000"/>
                <w:szCs w:val="21"/>
                <w:highlight w:val="none"/>
                <w:lang w:val="en-US" w:eastAsia="zh-CN" w:bidi="ar"/>
              </w:rPr>
              <w:t>6</w:t>
            </w:r>
          </w:p>
        </w:tc>
        <w:tc>
          <w:tcPr>
            <w:tcW w:w="2211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AF8775E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基地围墙</w:t>
            </w:r>
          </w:p>
        </w:tc>
        <w:tc>
          <w:tcPr>
            <w:tcW w:w="1011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33FE80E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m</w:t>
            </w:r>
          </w:p>
        </w:tc>
        <w:tc>
          <w:tcPr>
            <w:tcW w:w="1084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24B01D4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160</w:t>
            </w:r>
          </w:p>
        </w:tc>
        <w:tc>
          <w:tcPr>
            <w:tcW w:w="3024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237C939">
            <w:pPr>
              <w:overflowPunct w:val="0"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 w:bidi="ar"/>
              </w:rPr>
              <w:t>下部砌砖，上部铁质栅栏，顶部防盗圈网</w:t>
            </w:r>
          </w:p>
        </w:tc>
      </w:tr>
    </w:tbl>
    <w:p w14:paraId="2BF38CA0">
      <w:pPr>
        <w:rPr>
          <w:rFonts w:hint="default" w:eastAsia="宋体"/>
          <w:b/>
          <w:bCs/>
          <w:color w:val="FF000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6AA75CD"/>
    <w:multiLevelType w:val="singleLevel"/>
    <w:tmpl w:val="E6AA75C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displayBackgroundShape w:val="1"/>
  <w:embedSystemFonts/>
  <w:bordersDoNotSurroundHeader w:val="0"/>
  <w:bordersDoNotSurroundFooter w:val="0"/>
  <w:revisionView w:markup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I4ZDgyNmJkNGQ5ZDVmZDE2ZmRhZDc4MjNiMzc1YWUifQ=="/>
  </w:docVars>
  <w:rsids>
    <w:rsidRoot w:val="00000000"/>
    <w:rsid w:val="014455D1"/>
    <w:rsid w:val="02B335F1"/>
    <w:rsid w:val="03E81064"/>
    <w:rsid w:val="0524098C"/>
    <w:rsid w:val="07242AED"/>
    <w:rsid w:val="09804C70"/>
    <w:rsid w:val="0A203F38"/>
    <w:rsid w:val="0C9664C9"/>
    <w:rsid w:val="0DFC52F9"/>
    <w:rsid w:val="0F554D18"/>
    <w:rsid w:val="101935CF"/>
    <w:rsid w:val="12C01999"/>
    <w:rsid w:val="163E7AAE"/>
    <w:rsid w:val="17B3472B"/>
    <w:rsid w:val="180840F1"/>
    <w:rsid w:val="1B4A048C"/>
    <w:rsid w:val="1B8E0F0F"/>
    <w:rsid w:val="1C4A27CC"/>
    <w:rsid w:val="20BF75F1"/>
    <w:rsid w:val="215A366E"/>
    <w:rsid w:val="22F14F5A"/>
    <w:rsid w:val="23431735"/>
    <w:rsid w:val="240908A7"/>
    <w:rsid w:val="258D07BB"/>
    <w:rsid w:val="2B971F7F"/>
    <w:rsid w:val="2B9B6160"/>
    <w:rsid w:val="3082334D"/>
    <w:rsid w:val="309222F2"/>
    <w:rsid w:val="355B631F"/>
    <w:rsid w:val="3CC414DC"/>
    <w:rsid w:val="3CF516CE"/>
    <w:rsid w:val="3ECD1116"/>
    <w:rsid w:val="40F47DB1"/>
    <w:rsid w:val="410B0BCC"/>
    <w:rsid w:val="41B35C23"/>
    <w:rsid w:val="43065CF9"/>
    <w:rsid w:val="449E1410"/>
    <w:rsid w:val="4840301F"/>
    <w:rsid w:val="48A0301E"/>
    <w:rsid w:val="4B075EE2"/>
    <w:rsid w:val="4B3F5DAE"/>
    <w:rsid w:val="4CE041EC"/>
    <w:rsid w:val="4DF9115A"/>
    <w:rsid w:val="4E72508E"/>
    <w:rsid w:val="4E792150"/>
    <w:rsid w:val="4ED645C0"/>
    <w:rsid w:val="4FC335F6"/>
    <w:rsid w:val="514452C1"/>
    <w:rsid w:val="52ED0DC1"/>
    <w:rsid w:val="542B5FF1"/>
    <w:rsid w:val="557F5EEF"/>
    <w:rsid w:val="563828F8"/>
    <w:rsid w:val="59BC017A"/>
    <w:rsid w:val="5A647D73"/>
    <w:rsid w:val="5A814BBC"/>
    <w:rsid w:val="5F4C6301"/>
    <w:rsid w:val="63F835B5"/>
    <w:rsid w:val="649F75A3"/>
    <w:rsid w:val="65820F91"/>
    <w:rsid w:val="6ABC7EDA"/>
    <w:rsid w:val="6ED764A0"/>
    <w:rsid w:val="729D7188"/>
    <w:rsid w:val="73AF08FC"/>
    <w:rsid w:val="74732B9C"/>
    <w:rsid w:val="77416642"/>
    <w:rsid w:val="775A55CA"/>
    <w:rsid w:val="77CE052D"/>
    <w:rsid w:val="79565361"/>
    <w:rsid w:val="7A1B21FC"/>
    <w:rsid w:val="7B9C57E1"/>
    <w:rsid w:val="7EC8757E"/>
    <w:rsid w:val="7F4A4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</w:pPr>
    <w:rPr>
      <w:rFonts w:ascii="Calibri" w:hAnsi="Calibri" w:eastAsia="宋体" w:cs="Times New Roman"/>
      <w:kern w:val="2"/>
      <w:sz w:val="21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Indent"/>
    <w:basedOn w:val="1"/>
    <w:qFormat/>
    <w:uiPriority w:val="0"/>
    <w:pPr>
      <w:ind w:firstLine="420" w:firstLineChars="200"/>
    </w:pPr>
  </w:style>
  <w:style w:type="paragraph" w:styleId="4">
    <w:name w:val="Block Text"/>
    <w:basedOn w:val="1"/>
    <w:qFormat/>
    <w:uiPriority w:val="0"/>
    <w:pPr>
      <w:widowControl w:val="0"/>
      <w:adjustRightInd w:val="0"/>
      <w:ind w:left="420" w:right="33"/>
      <w:jc w:val="left"/>
      <w:textAlignment w:val="baseline"/>
    </w:pPr>
    <w:rPr>
      <w:rFonts w:ascii="Calibri" w:hAnsi="Calibri" w:eastAsia="宋体" w:cs="Times New Roman"/>
      <w:kern w:val="0"/>
      <w:sz w:val="24"/>
      <w:szCs w:val="20"/>
      <w:lang w:val="en-US" w:eastAsia="zh-CN" w:bidi="ar-SA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8">
    <w:name w:val="font21"/>
    <w:basedOn w:val="7"/>
    <w:qFormat/>
    <w:uiPriority w:val="0"/>
    <w:rPr>
      <w:rFonts w:hint="eastAsia" w:ascii="微软雅黑" w:hAnsi="微软雅黑" w:eastAsia="微软雅黑" w:cs="微软雅黑"/>
      <w:color w:val="000000"/>
      <w:sz w:val="18"/>
      <w:szCs w:val="18"/>
      <w:u w:val="none"/>
    </w:rPr>
  </w:style>
  <w:style w:type="character" w:customStyle="1" w:styleId="9">
    <w:name w:val="font11"/>
    <w:basedOn w:val="7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0">
    <w:name w:val="15"/>
    <w:qFormat/>
    <w:uiPriority w:val="0"/>
    <w:rPr>
      <w:rFonts w:hint="eastAsia" w:ascii="宋体" w:hAnsi="宋体" w:eastAsia="宋体" w:cs="宋体"/>
      <w:color w:val="000000"/>
      <w:sz w:val="30"/>
      <w:szCs w:val="30"/>
      <w:vertAlign w:val="superscript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1342</Words>
  <Characters>1363</Characters>
  <Lines>0</Lines>
  <Paragraphs>0</Paragraphs>
  <TotalTime>1</TotalTime>
  <ScaleCrop>false</ScaleCrop>
  <LinksUpToDate>false</LinksUpToDate>
  <CharactersWithSpaces>1371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2022-05-20T08:23:00Z</dcterms:created>
  <dc:creator>hyj</dc:creator>
  <cp:lastModifiedBy></cp:lastModifiedBy>
  <dcterms:modified xsi:type="dcterms:W3CDTF">2025-06-30T07:51:42Z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79F07975C4CB4D7D95C5EDC0F3F36668_12</vt:lpwstr>
  </property>
  <property fmtid="{D5CDD505-2E9C-101B-9397-08002B2CF9AE}" pid="4" name="KSOTemplateDocerSaveRecord">
    <vt:lpwstr>eyJoZGlkIjoiZGNhN2YyZTk1NWZhOTUwODI2Y2E1YWI4OTUxN2E1OGYiLCJ1c2VySWQiOiIzMDI3OTUwMTgifQ==</vt:lpwstr>
  </property>
</Properties>
</file>