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 w:val="0"/>
        <w:tabs>
          <w:tab w:val="left" w:pos="0"/>
        </w:tabs>
        <w:spacing w:line="600" w:lineRule="exact"/>
        <w:jc w:val="left"/>
        <w:rPr>
          <w:rFonts w:ascii="黑体" w:hAnsi="黑体" w:eastAsia="黑体" w:cs="黑体"/>
          <w:sz w:val="32"/>
          <w:szCs w:val="32"/>
          <w:highlight w:val="none"/>
        </w:rPr>
      </w:pPr>
      <w:bookmarkStart w:id="0" w:name="_GoBack"/>
      <w:r>
        <w:rPr>
          <w:rFonts w:hint="eastAsia" w:ascii="黑体" w:hAnsi="黑体" w:eastAsia="黑体" w:cs="黑体"/>
          <w:sz w:val="32"/>
          <w:szCs w:val="32"/>
          <w:highlight w:val="none"/>
        </w:rPr>
        <w:t>附件1</w:t>
      </w:r>
    </w:p>
    <w:p>
      <w:pPr>
        <w:widowControl w:val="0"/>
        <w:tabs>
          <w:tab w:val="left" w:pos="0"/>
        </w:tabs>
        <w:spacing w:line="600" w:lineRule="exact"/>
        <w:jc w:val="center"/>
        <w:outlineLvl w:val="0"/>
        <w:rPr>
          <w:rFonts w:ascii="方正小标宋_GBK" w:hAnsi="方正小标宋_GBK" w:eastAsia="方正小标宋_GBK" w:cs="方正小标宋_GBK"/>
          <w:sz w:val="44"/>
          <w:szCs w:val="44"/>
          <w:highlight w:val="none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highlight w:val="none"/>
        </w:rPr>
        <w:t>综合评分办法</w:t>
      </w:r>
    </w:p>
    <w:p>
      <w:pPr>
        <w:widowControl w:val="0"/>
        <w:tabs>
          <w:tab w:val="left" w:pos="0"/>
        </w:tabs>
        <w:spacing w:line="600" w:lineRule="exact"/>
        <w:jc w:val="center"/>
        <w:rPr>
          <w:rFonts w:ascii="方正小标宋_GBK" w:hAnsi="方正小标宋_GBK" w:eastAsia="方正小标宋_GBK" w:cs="方正小标宋_GBK"/>
          <w:sz w:val="32"/>
          <w:szCs w:val="32"/>
          <w:highlight w:val="none"/>
        </w:rPr>
      </w:pPr>
    </w:p>
    <w:p>
      <w:pPr>
        <w:spacing w:line="300" w:lineRule="auto"/>
        <w:ind w:firstLine="426" w:firstLineChars="202"/>
        <w:outlineLvl w:val="0"/>
        <w:rPr>
          <w:b/>
          <w:szCs w:val="21"/>
          <w:highlight w:val="none"/>
        </w:rPr>
      </w:pPr>
      <w:r>
        <w:rPr>
          <w:rFonts w:hint="eastAsia"/>
          <w:b/>
          <w:szCs w:val="21"/>
          <w:highlight w:val="none"/>
        </w:rPr>
        <w:t>一、评审原则</w:t>
      </w:r>
    </w:p>
    <w:p>
      <w:pPr>
        <w:pStyle w:val="7"/>
        <w:widowControl w:val="0"/>
        <w:spacing w:line="360" w:lineRule="auto"/>
        <w:ind w:firstLine="420" w:firstLineChars="200"/>
        <w:jc w:val="left"/>
        <w:rPr>
          <w:rFonts w:hint="default" w:ascii="Times New Roman" w:hAnsi="Times New Roman" w:cs="Times New Roman" w:eastAsiaTheme="majorEastAsia"/>
          <w:kern w:val="0"/>
          <w:sz w:val="21"/>
          <w:szCs w:val="21"/>
          <w:highlight w:val="none"/>
          <w:lang w:eastAsia="zh-CN"/>
        </w:rPr>
      </w:pPr>
      <w:r>
        <w:rPr>
          <w:rFonts w:hint="default" w:ascii="Times New Roman" w:hAnsi="Times New Roman" w:cs="Times New Roman" w:eastAsiaTheme="majorEastAsia"/>
          <w:kern w:val="0"/>
          <w:sz w:val="21"/>
          <w:szCs w:val="21"/>
          <w:highlight w:val="none"/>
          <w:lang w:eastAsia="zh-CN"/>
        </w:rPr>
        <w:t>（</w:t>
      </w:r>
      <w:r>
        <w:rPr>
          <w:rFonts w:hint="default" w:ascii="Times New Roman" w:hAnsi="Times New Roman" w:cs="Times New Roman" w:eastAsiaTheme="majorEastAsia"/>
          <w:kern w:val="0"/>
          <w:sz w:val="21"/>
          <w:szCs w:val="21"/>
          <w:highlight w:val="none"/>
        </w:rPr>
        <w:t>一）</w:t>
      </w:r>
      <w:r>
        <w:rPr>
          <w:rFonts w:hint="default" w:ascii="Times New Roman" w:hAnsi="Times New Roman" w:cs="Times New Roman" w:eastAsiaTheme="majorEastAsia"/>
          <w:kern w:val="0"/>
          <w:sz w:val="21"/>
          <w:szCs w:val="21"/>
          <w:highlight w:val="none"/>
          <w:lang w:eastAsia="zh-CN"/>
        </w:rPr>
        <w:t>评审小组构成：评审小组由技术评分人员和监督指导人员组成。</w:t>
      </w:r>
    </w:p>
    <w:p>
      <w:pPr>
        <w:pStyle w:val="7"/>
        <w:widowControl w:val="0"/>
        <w:spacing w:line="360" w:lineRule="auto"/>
        <w:ind w:firstLine="420" w:firstLineChars="200"/>
        <w:jc w:val="left"/>
        <w:rPr>
          <w:rFonts w:hint="default" w:ascii="Times New Roman" w:hAnsi="Times New Roman" w:cs="Times New Roman" w:eastAsiaTheme="majorEastAsia"/>
          <w:kern w:val="0"/>
          <w:sz w:val="21"/>
          <w:szCs w:val="21"/>
          <w:highlight w:val="none"/>
          <w:lang w:val="en-US" w:eastAsia="zh-CN"/>
        </w:rPr>
      </w:pPr>
      <w:r>
        <w:rPr>
          <w:rFonts w:hint="default" w:ascii="Times New Roman" w:hAnsi="Times New Roman" w:cs="Times New Roman" w:eastAsiaTheme="majorEastAsia"/>
          <w:kern w:val="0"/>
          <w:sz w:val="21"/>
          <w:szCs w:val="21"/>
          <w:highlight w:val="none"/>
          <w:lang w:val="en-US" w:eastAsia="zh-CN"/>
        </w:rPr>
        <w:t>1.技术评分人员为三人以上（含三人）单数，由采购部门、院党务工作者组成，必要时可请本院其他部门人员参加，也可外聘专家；技术评分人员需对每项逐一打分。</w:t>
      </w:r>
    </w:p>
    <w:p>
      <w:pPr>
        <w:pStyle w:val="7"/>
        <w:widowControl w:val="0"/>
        <w:spacing w:line="360" w:lineRule="auto"/>
        <w:ind w:firstLine="420" w:firstLineChars="200"/>
        <w:jc w:val="left"/>
        <w:rPr>
          <w:rFonts w:hint="default" w:ascii="Times New Roman" w:hAnsi="Times New Roman" w:cs="Times New Roman" w:eastAsiaTheme="majorEastAsia"/>
          <w:kern w:val="0"/>
          <w:sz w:val="21"/>
          <w:szCs w:val="21"/>
          <w:highlight w:val="none"/>
          <w:lang w:val="en-US" w:eastAsia="zh-CN"/>
        </w:rPr>
      </w:pPr>
      <w:r>
        <w:rPr>
          <w:rFonts w:hint="default" w:ascii="Times New Roman" w:hAnsi="Times New Roman" w:cs="Times New Roman" w:eastAsiaTheme="majorEastAsia"/>
          <w:kern w:val="0"/>
          <w:sz w:val="21"/>
          <w:szCs w:val="21"/>
          <w:highlight w:val="none"/>
          <w:lang w:val="en-US" w:eastAsia="zh-CN"/>
        </w:rPr>
        <w:t>2.监督指导人员为采购专员和本支部纪检监察员，对评分过程进行监督指导，不参与打分。</w:t>
      </w:r>
    </w:p>
    <w:p>
      <w:pPr>
        <w:spacing w:line="300" w:lineRule="auto"/>
        <w:ind w:firstLine="424" w:firstLineChars="202"/>
        <w:rPr>
          <w:szCs w:val="21"/>
          <w:highlight w:val="none"/>
        </w:rPr>
      </w:pPr>
      <w:r>
        <w:rPr>
          <w:rFonts w:hint="eastAsia"/>
          <w:szCs w:val="21"/>
          <w:highlight w:val="none"/>
          <w:lang w:eastAsia="zh-CN"/>
        </w:rPr>
        <w:t>（</w:t>
      </w:r>
      <w:r>
        <w:rPr>
          <w:rFonts w:hint="eastAsia"/>
          <w:szCs w:val="21"/>
          <w:highlight w:val="none"/>
        </w:rPr>
        <w:t>二）评审依据：本评审办法和供应商提交的响应文件。</w:t>
      </w:r>
    </w:p>
    <w:p>
      <w:pPr>
        <w:spacing w:line="300" w:lineRule="auto"/>
        <w:ind w:firstLine="424" w:firstLineChars="202"/>
        <w:rPr>
          <w:szCs w:val="21"/>
          <w:highlight w:val="none"/>
        </w:rPr>
      </w:pPr>
      <w:r>
        <w:rPr>
          <w:rFonts w:hint="eastAsia"/>
          <w:szCs w:val="21"/>
          <w:highlight w:val="none"/>
          <w:lang w:eastAsia="zh-CN"/>
        </w:rPr>
        <w:t>（</w:t>
      </w:r>
      <w:r>
        <w:rPr>
          <w:rFonts w:hint="eastAsia"/>
          <w:szCs w:val="21"/>
          <w:highlight w:val="none"/>
        </w:rPr>
        <w:t>三）评审方法：综合评分法。</w:t>
      </w:r>
    </w:p>
    <w:p>
      <w:pPr>
        <w:spacing w:line="300" w:lineRule="auto"/>
        <w:ind w:firstLine="426" w:firstLineChars="202"/>
        <w:outlineLvl w:val="0"/>
        <w:rPr>
          <w:b/>
          <w:szCs w:val="21"/>
          <w:highlight w:val="none"/>
        </w:rPr>
      </w:pPr>
      <w:r>
        <w:rPr>
          <w:rFonts w:hint="eastAsia"/>
          <w:b/>
          <w:szCs w:val="21"/>
          <w:highlight w:val="none"/>
        </w:rPr>
        <w:t>二、评审方法</w:t>
      </w:r>
    </w:p>
    <w:p>
      <w:pPr>
        <w:spacing w:line="300" w:lineRule="auto"/>
        <w:ind w:firstLine="424" w:firstLineChars="202"/>
        <w:rPr>
          <w:szCs w:val="21"/>
          <w:highlight w:val="none"/>
        </w:rPr>
      </w:pPr>
      <w:r>
        <w:rPr>
          <w:rFonts w:hint="eastAsia"/>
          <w:szCs w:val="21"/>
          <w:highlight w:val="none"/>
        </w:rPr>
        <w:t>供应商提交的报价及资格材料经初核符合要求的进入详评，评审小组将按本评审办法和响应文件为评定依据，采用百分制综合评分法：</w:t>
      </w:r>
    </w:p>
    <w:p>
      <w:pPr>
        <w:spacing w:line="300" w:lineRule="auto"/>
        <w:ind w:firstLine="426" w:firstLineChars="202"/>
        <w:outlineLvl w:val="1"/>
        <w:rPr>
          <w:b/>
          <w:szCs w:val="21"/>
          <w:highlight w:val="none"/>
        </w:rPr>
      </w:pPr>
      <w:r>
        <w:rPr>
          <w:rFonts w:hint="eastAsia"/>
          <w:b/>
          <w:szCs w:val="21"/>
          <w:highlight w:val="none"/>
        </w:rPr>
        <w:t>评分细则（按四舍五入取至百分位）：</w:t>
      </w:r>
    </w:p>
    <w:p>
      <w:pPr>
        <w:spacing w:line="300" w:lineRule="auto"/>
        <w:ind w:firstLine="422" w:firstLineChars="200"/>
        <w:rPr>
          <w:b/>
          <w:szCs w:val="21"/>
          <w:highlight w:val="none"/>
        </w:rPr>
      </w:pPr>
      <w:r>
        <w:rPr>
          <w:rFonts w:hint="eastAsia"/>
          <w:b/>
          <w:szCs w:val="21"/>
          <w:highlight w:val="none"/>
        </w:rPr>
        <w:t>（一）价格分………………………………………………………………………（</w:t>
      </w:r>
      <w:r>
        <w:rPr>
          <w:rFonts w:hint="eastAsia"/>
          <w:b/>
          <w:szCs w:val="21"/>
          <w:highlight w:val="none"/>
          <w:lang w:val="en-US" w:eastAsia="zh-CN"/>
        </w:rPr>
        <w:t>20</w:t>
      </w:r>
      <w:r>
        <w:rPr>
          <w:rFonts w:hint="eastAsia"/>
          <w:b/>
          <w:szCs w:val="21"/>
          <w:highlight w:val="none"/>
        </w:rPr>
        <w:t>分）</w:t>
      </w:r>
    </w:p>
    <w:p>
      <w:pPr>
        <w:spacing w:line="300" w:lineRule="auto"/>
        <w:ind w:firstLine="420" w:firstLineChars="200"/>
        <w:rPr>
          <w:rFonts w:hint="default" w:ascii="Times New Roman" w:hAnsi="Times New Roman" w:cs="Times New Roman"/>
          <w:szCs w:val="21"/>
          <w:highlight w:val="none"/>
        </w:rPr>
      </w:pPr>
      <w:r>
        <w:rPr>
          <w:rFonts w:hint="default" w:ascii="Times New Roman" w:hAnsi="Times New Roman" w:cs="Times New Roman"/>
          <w:szCs w:val="21"/>
          <w:highlight w:val="none"/>
        </w:rPr>
        <w:t>1、评审价为供应商的报价进行政策性扣除后的价格，评审价只是作为评审时使用。最终成交人的成交报价＝最终报价。</w:t>
      </w:r>
    </w:p>
    <w:p>
      <w:pPr>
        <w:spacing w:line="300" w:lineRule="auto"/>
        <w:ind w:firstLine="420" w:firstLineChars="200"/>
        <w:rPr>
          <w:rFonts w:hint="default" w:ascii="Times New Roman" w:hAnsi="Times New Roman" w:cs="Times New Roman"/>
          <w:szCs w:val="21"/>
          <w:highlight w:val="none"/>
        </w:rPr>
      </w:pPr>
      <w:r>
        <w:rPr>
          <w:rFonts w:hint="default" w:ascii="Times New Roman" w:hAnsi="Times New Roman" w:cs="Times New Roman"/>
          <w:szCs w:val="21"/>
          <w:highlight w:val="none"/>
          <w:lang w:val="en-US" w:eastAsia="zh-CN"/>
        </w:rPr>
        <w:t>2</w:t>
      </w:r>
      <w:r>
        <w:rPr>
          <w:rFonts w:hint="default" w:ascii="Times New Roman" w:hAnsi="Times New Roman" w:cs="Times New Roman"/>
          <w:szCs w:val="21"/>
          <w:highlight w:val="none"/>
        </w:rPr>
        <w:t>、以进入评审的最低的评审报价为</w:t>
      </w:r>
      <w:r>
        <w:rPr>
          <w:rFonts w:hint="default" w:ascii="Times New Roman" w:hAnsi="Times New Roman" w:cs="Times New Roman"/>
          <w:b/>
          <w:szCs w:val="21"/>
          <w:highlight w:val="none"/>
          <w:lang w:val="en-US" w:eastAsia="zh-CN"/>
        </w:rPr>
        <w:t>20</w:t>
      </w:r>
      <w:r>
        <w:rPr>
          <w:rFonts w:hint="default" w:ascii="Times New Roman" w:hAnsi="Times New Roman" w:cs="Times New Roman"/>
          <w:szCs w:val="21"/>
          <w:highlight w:val="none"/>
        </w:rPr>
        <w:t>分。</w:t>
      </w:r>
    </w:p>
    <w:p>
      <w:pPr>
        <w:spacing w:line="300" w:lineRule="auto"/>
        <w:ind w:firstLine="420" w:firstLineChars="200"/>
        <w:rPr>
          <w:rFonts w:hint="default" w:ascii="Times New Roman" w:hAnsi="Times New Roman" w:cs="Times New Roman"/>
          <w:szCs w:val="21"/>
          <w:highlight w:val="none"/>
        </w:rPr>
      </w:pPr>
      <w:r>
        <w:rPr>
          <w:rFonts w:hint="default" w:ascii="Times New Roman" w:hAnsi="Times New Roman" w:cs="Times New Roman"/>
          <w:szCs w:val="21"/>
          <w:highlight w:val="none"/>
          <w:lang w:val="en-US" w:eastAsia="zh-CN"/>
        </w:rPr>
        <w:t>3</w:t>
      </w:r>
      <w:r>
        <w:rPr>
          <w:rFonts w:hint="default" w:ascii="Times New Roman" w:hAnsi="Times New Roman" w:cs="Times New Roman"/>
          <w:szCs w:val="21"/>
          <w:highlight w:val="none"/>
        </w:rPr>
        <w:t>、</w:t>
      </w:r>
      <w:r>
        <w:rPr>
          <w:rFonts w:hint="default" w:ascii="Times New Roman" w:hAnsi="Times New Roman" w:cs="Times New Roman"/>
          <w:spacing w:val="-6"/>
          <w:szCs w:val="21"/>
          <w:highlight w:val="none"/>
        </w:rPr>
        <w:t>某供应商价格分 = 供应商最低评审报价（金额）/某供应商评审报价（金额）×</w:t>
      </w:r>
      <w:r>
        <w:rPr>
          <w:rFonts w:hint="default" w:ascii="Times New Roman" w:hAnsi="Times New Roman" w:cs="Times New Roman"/>
          <w:b/>
          <w:szCs w:val="21"/>
          <w:highlight w:val="none"/>
          <w:lang w:val="en-US" w:eastAsia="zh-CN"/>
        </w:rPr>
        <w:t>20</w:t>
      </w:r>
      <w:r>
        <w:rPr>
          <w:rFonts w:hint="default" w:ascii="Times New Roman" w:hAnsi="Times New Roman" w:cs="Times New Roman"/>
          <w:szCs w:val="21"/>
          <w:highlight w:val="none"/>
        </w:rPr>
        <w:t>分</w:t>
      </w:r>
    </w:p>
    <w:p>
      <w:pPr>
        <w:spacing w:line="300" w:lineRule="auto"/>
        <w:ind w:firstLine="422" w:firstLineChars="200"/>
        <w:rPr>
          <w:b/>
          <w:szCs w:val="21"/>
          <w:highlight w:val="none"/>
        </w:rPr>
      </w:pPr>
      <w:r>
        <w:rPr>
          <w:rFonts w:hint="eastAsia"/>
          <w:b/>
          <w:szCs w:val="21"/>
          <w:highlight w:val="none"/>
        </w:rPr>
        <w:t>（二）技术分……………………………………………………………………………</w:t>
      </w:r>
      <w:r>
        <w:rPr>
          <w:rFonts w:hint="eastAsia"/>
          <w:b/>
          <w:szCs w:val="21"/>
          <w:highlight w:val="none"/>
          <w:lang w:val="en-US" w:eastAsia="zh-CN"/>
        </w:rPr>
        <w:t>65</w:t>
      </w:r>
      <w:r>
        <w:rPr>
          <w:rFonts w:hint="eastAsia"/>
          <w:b/>
          <w:szCs w:val="21"/>
          <w:highlight w:val="none"/>
        </w:rPr>
        <w:t>分</w:t>
      </w:r>
    </w:p>
    <w:p>
      <w:pPr>
        <w:spacing w:line="300" w:lineRule="auto"/>
        <w:ind w:firstLine="420" w:firstLineChars="200"/>
        <w:rPr>
          <w:rFonts w:hint="default" w:eastAsia="宋体" w:cs="Times New Roman"/>
          <w:szCs w:val="21"/>
          <w:highlight w:val="none"/>
          <w:lang w:val="en-US" w:eastAsia="zh-CN"/>
        </w:rPr>
      </w:pPr>
      <w:r>
        <w:rPr>
          <w:rFonts w:hint="eastAsia" w:eastAsia="宋体" w:cs="Times New Roman"/>
          <w:szCs w:val="21"/>
          <w:highlight w:val="none"/>
          <w:lang w:val="en-US" w:eastAsia="zh-CN"/>
        </w:rPr>
        <w:t>1、项目总体实施方案</w:t>
      </w:r>
      <w:r>
        <w:rPr>
          <w:rFonts w:hint="default" w:eastAsia="宋体" w:cs="Times New Roman"/>
          <w:szCs w:val="21"/>
          <w:highlight w:val="none"/>
          <w:lang w:val="en-US" w:eastAsia="zh-CN"/>
        </w:rPr>
        <w:t>（满分</w:t>
      </w:r>
      <w:r>
        <w:rPr>
          <w:rFonts w:hint="eastAsia" w:cs="Times New Roman"/>
          <w:szCs w:val="21"/>
          <w:highlight w:val="none"/>
          <w:lang w:val="en-US" w:eastAsia="zh-CN"/>
        </w:rPr>
        <w:t>35</w:t>
      </w:r>
      <w:r>
        <w:rPr>
          <w:rFonts w:hint="default" w:eastAsia="宋体" w:cs="Times New Roman"/>
          <w:szCs w:val="21"/>
          <w:highlight w:val="none"/>
          <w:lang w:val="en-US" w:eastAsia="zh-CN"/>
        </w:rPr>
        <w:t>分）：</w:t>
      </w:r>
    </w:p>
    <w:p>
      <w:pPr>
        <w:spacing w:line="300" w:lineRule="auto"/>
        <w:ind w:firstLine="420" w:firstLineChars="200"/>
        <w:rPr>
          <w:rFonts w:hint="default" w:eastAsia="宋体" w:cs="Times New Roman"/>
          <w:szCs w:val="21"/>
          <w:highlight w:val="none"/>
        </w:rPr>
      </w:pPr>
      <w:r>
        <w:rPr>
          <w:rFonts w:hint="default" w:eastAsia="宋体" w:cs="Times New Roman"/>
          <w:szCs w:val="21"/>
          <w:highlight w:val="none"/>
          <w:lang w:val="en-US" w:eastAsia="zh-CN"/>
        </w:rPr>
        <w:t>一档</w:t>
      </w:r>
      <w:r>
        <w:rPr>
          <w:rFonts w:hint="eastAsia" w:eastAsia="宋体" w:cs="Times New Roman"/>
          <w:szCs w:val="21"/>
          <w:highlight w:val="none"/>
          <w:lang w:val="en-US" w:eastAsia="zh-CN"/>
        </w:rPr>
        <w:t>（1</w:t>
      </w:r>
      <w:r>
        <w:rPr>
          <w:rFonts w:hint="eastAsia" w:cs="Times New Roman"/>
          <w:szCs w:val="21"/>
          <w:highlight w:val="none"/>
          <w:lang w:val="en-US" w:eastAsia="zh-CN"/>
        </w:rPr>
        <w:t>5</w:t>
      </w:r>
      <w:r>
        <w:rPr>
          <w:rFonts w:hint="eastAsia" w:eastAsia="宋体" w:cs="Times New Roman"/>
          <w:szCs w:val="21"/>
          <w:highlight w:val="none"/>
          <w:lang w:val="en-US" w:eastAsia="zh-CN"/>
        </w:rPr>
        <w:t>分）</w:t>
      </w:r>
      <w:r>
        <w:rPr>
          <w:rFonts w:hint="default" w:eastAsia="宋体" w:cs="Times New Roman"/>
          <w:szCs w:val="21"/>
          <w:highlight w:val="none"/>
          <w:lang w:val="en-US" w:eastAsia="zh-CN"/>
        </w:rPr>
        <w:t>：项目实施方案</w:t>
      </w:r>
      <w:r>
        <w:rPr>
          <w:rFonts w:hint="eastAsia" w:eastAsia="宋体" w:cs="Times New Roman"/>
          <w:szCs w:val="21"/>
          <w:highlight w:val="none"/>
          <w:lang w:val="en-US" w:eastAsia="zh-CN"/>
        </w:rPr>
        <w:t>基本</w:t>
      </w:r>
      <w:r>
        <w:rPr>
          <w:rFonts w:hint="default" w:eastAsia="宋体" w:cs="Times New Roman"/>
          <w:szCs w:val="21"/>
          <w:highlight w:val="none"/>
          <w:lang w:val="en-US" w:eastAsia="zh-CN"/>
        </w:rPr>
        <w:t>满足项目需求一览表的</w:t>
      </w:r>
      <w:r>
        <w:rPr>
          <w:rFonts w:hint="eastAsia" w:eastAsia="宋体" w:cs="Times New Roman"/>
          <w:szCs w:val="21"/>
          <w:highlight w:val="none"/>
          <w:lang w:val="en-US" w:eastAsia="zh-CN"/>
        </w:rPr>
        <w:t>“技术要求”需求</w:t>
      </w:r>
      <w:r>
        <w:rPr>
          <w:rFonts w:hint="default" w:eastAsia="宋体" w:cs="Times New Roman"/>
          <w:szCs w:val="21"/>
          <w:highlight w:val="none"/>
          <w:lang w:val="en-US" w:eastAsia="zh-CN"/>
        </w:rPr>
        <w:t>内容，</w:t>
      </w:r>
      <w:r>
        <w:rPr>
          <w:rFonts w:hint="eastAsia" w:eastAsia="宋体" w:cs="Times New Roman"/>
          <w:szCs w:val="21"/>
          <w:highlight w:val="none"/>
        </w:rPr>
        <w:t>方案简单</w:t>
      </w:r>
      <w:r>
        <w:rPr>
          <w:rFonts w:hint="eastAsia" w:eastAsia="宋体" w:cs="Times New Roman"/>
          <w:szCs w:val="21"/>
          <w:highlight w:val="none"/>
          <w:lang w:eastAsia="zh-CN"/>
        </w:rPr>
        <w:t>，</w:t>
      </w:r>
      <w:r>
        <w:rPr>
          <w:rFonts w:hint="default" w:eastAsia="宋体" w:cs="Times New Roman"/>
          <w:szCs w:val="21"/>
          <w:highlight w:val="none"/>
          <w:lang w:val="en-US" w:eastAsia="zh-CN"/>
        </w:rPr>
        <w:t>人员配置</w:t>
      </w:r>
      <w:r>
        <w:rPr>
          <w:rFonts w:hint="eastAsia" w:eastAsia="宋体" w:cs="Times New Roman"/>
          <w:szCs w:val="21"/>
          <w:highlight w:val="none"/>
          <w:lang w:val="en-US" w:eastAsia="zh-CN"/>
        </w:rPr>
        <w:t>基本满足工作内容和要求</w:t>
      </w:r>
      <w:r>
        <w:rPr>
          <w:rFonts w:hint="eastAsia" w:eastAsia="宋体" w:cs="Times New Roman"/>
          <w:szCs w:val="21"/>
          <w:highlight w:val="none"/>
        </w:rPr>
        <w:t>；</w:t>
      </w:r>
    </w:p>
    <w:p>
      <w:pPr>
        <w:spacing w:line="300" w:lineRule="auto"/>
        <w:ind w:firstLine="420" w:firstLineChars="200"/>
        <w:rPr>
          <w:rFonts w:hint="eastAsia" w:eastAsia="宋体" w:cs="Times New Roman"/>
          <w:szCs w:val="21"/>
          <w:highlight w:val="none"/>
          <w:lang w:eastAsia="zh-CN"/>
        </w:rPr>
      </w:pPr>
      <w:r>
        <w:rPr>
          <w:rFonts w:hint="eastAsia" w:eastAsia="宋体" w:cs="Times New Roman"/>
          <w:szCs w:val="21"/>
          <w:highlight w:val="none"/>
          <w:lang w:val="en-US" w:eastAsia="zh-CN"/>
        </w:rPr>
        <w:t>二</w:t>
      </w:r>
      <w:r>
        <w:rPr>
          <w:rFonts w:hint="default" w:eastAsia="宋体" w:cs="Times New Roman"/>
          <w:szCs w:val="21"/>
          <w:highlight w:val="none"/>
          <w:lang w:val="en-US" w:eastAsia="zh-CN"/>
        </w:rPr>
        <w:t>档</w:t>
      </w:r>
      <w:r>
        <w:rPr>
          <w:rFonts w:hint="eastAsia" w:eastAsia="宋体" w:cs="Times New Roman"/>
          <w:szCs w:val="21"/>
          <w:highlight w:val="none"/>
          <w:lang w:val="en-US" w:eastAsia="zh-CN"/>
        </w:rPr>
        <w:t>（2</w:t>
      </w:r>
      <w:r>
        <w:rPr>
          <w:rFonts w:hint="eastAsia" w:cs="Times New Roman"/>
          <w:szCs w:val="21"/>
          <w:highlight w:val="none"/>
          <w:lang w:val="en-US" w:eastAsia="zh-CN"/>
        </w:rPr>
        <w:t>5</w:t>
      </w:r>
      <w:r>
        <w:rPr>
          <w:rFonts w:hint="eastAsia" w:eastAsia="宋体" w:cs="Times New Roman"/>
          <w:szCs w:val="21"/>
          <w:highlight w:val="none"/>
          <w:lang w:val="en-US" w:eastAsia="zh-CN"/>
        </w:rPr>
        <w:t>分）</w:t>
      </w:r>
      <w:r>
        <w:rPr>
          <w:rFonts w:hint="default" w:eastAsia="宋体" w:cs="Times New Roman"/>
          <w:szCs w:val="21"/>
          <w:highlight w:val="none"/>
          <w:lang w:val="en-US" w:eastAsia="zh-CN"/>
        </w:rPr>
        <w:t>：项目实施方案满足项目需求一览表的</w:t>
      </w:r>
      <w:r>
        <w:rPr>
          <w:rFonts w:hint="eastAsia" w:eastAsia="宋体" w:cs="Times New Roman"/>
          <w:szCs w:val="21"/>
          <w:highlight w:val="none"/>
          <w:lang w:val="en-US" w:eastAsia="zh-CN"/>
        </w:rPr>
        <w:t>“技术要求”需求</w:t>
      </w:r>
      <w:r>
        <w:rPr>
          <w:rFonts w:hint="default" w:eastAsia="宋体" w:cs="Times New Roman"/>
          <w:szCs w:val="21"/>
          <w:highlight w:val="none"/>
          <w:lang w:val="en-US" w:eastAsia="zh-CN"/>
        </w:rPr>
        <w:t>内容，方案的工作方法基本合理，</w:t>
      </w:r>
      <w:r>
        <w:rPr>
          <w:rFonts w:hint="eastAsia" w:eastAsia="宋体" w:cs="Times New Roman"/>
          <w:szCs w:val="21"/>
          <w:highlight w:val="none"/>
          <w:lang w:val="en-US" w:eastAsia="zh-CN"/>
        </w:rPr>
        <w:t>有合理的工作进度安排，具有</w:t>
      </w:r>
      <w:r>
        <w:rPr>
          <w:rFonts w:hint="default" w:eastAsia="宋体" w:cs="Times New Roman"/>
          <w:szCs w:val="21"/>
          <w:highlight w:val="none"/>
          <w:lang w:val="en-US" w:eastAsia="zh-CN"/>
        </w:rPr>
        <w:t>可行性和可操作性</w:t>
      </w:r>
      <w:r>
        <w:rPr>
          <w:rFonts w:hint="eastAsia" w:eastAsia="宋体" w:cs="Times New Roman"/>
          <w:szCs w:val="21"/>
          <w:highlight w:val="none"/>
          <w:lang w:val="en-US" w:eastAsia="zh-CN"/>
        </w:rPr>
        <w:t>，</w:t>
      </w:r>
      <w:r>
        <w:rPr>
          <w:rFonts w:hint="default" w:eastAsia="宋体" w:cs="Times New Roman"/>
          <w:szCs w:val="21"/>
          <w:highlight w:val="none"/>
          <w:lang w:val="en-US" w:eastAsia="zh-CN"/>
        </w:rPr>
        <w:t>人员配置合理</w:t>
      </w:r>
      <w:r>
        <w:rPr>
          <w:rFonts w:hint="eastAsia" w:eastAsia="宋体" w:cs="Times New Roman"/>
          <w:szCs w:val="21"/>
          <w:highlight w:val="none"/>
          <w:lang w:eastAsia="zh-CN"/>
        </w:rPr>
        <w:t>；</w:t>
      </w:r>
    </w:p>
    <w:p>
      <w:pPr>
        <w:spacing w:line="300" w:lineRule="auto"/>
        <w:ind w:firstLine="420" w:firstLineChars="200"/>
        <w:rPr>
          <w:rFonts w:hint="eastAsia" w:eastAsia="宋体" w:cs="Times New Roman"/>
          <w:szCs w:val="21"/>
          <w:highlight w:val="none"/>
          <w:lang w:val="en-US" w:eastAsia="zh-CN"/>
        </w:rPr>
      </w:pPr>
      <w:r>
        <w:rPr>
          <w:rFonts w:hint="eastAsia" w:eastAsia="宋体" w:cs="Times New Roman"/>
          <w:szCs w:val="21"/>
          <w:highlight w:val="none"/>
          <w:lang w:val="en-US" w:eastAsia="zh-CN"/>
        </w:rPr>
        <w:t>三</w:t>
      </w:r>
      <w:r>
        <w:rPr>
          <w:rFonts w:hint="default" w:eastAsia="宋体" w:cs="Times New Roman"/>
          <w:szCs w:val="21"/>
          <w:highlight w:val="none"/>
          <w:lang w:val="en-US" w:eastAsia="zh-CN"/>
        </w:rPr>
        <w:t>档</w:t>
      </w:r>
      <w:r>
        <w:rPr>
          <w:rFonts w:hint="eastAsia" w:eastAsia="宋体" w:cs="Times New Roman"/>
          <w:szCs w:val="21"/>
          <w:highlight w:val="none"/>
          <w:lang w:val="en-US" w:eastAsia="zh-CN"/>
        </w:rPr>
        <w:t>（3</w:t>
      </w:r>
      <w:r>
        <w:rPr>
          <w:rFonts w:hint="eastAsia" w:cs="Times New Roman"/>
          <w:szCs w:val="21"/>
          <w:highlight w:val="none"/>
          <w:lang w:val="en-US" w:eastAsia="zh-CN"/>
        </w:rPr>
        <w:t>5</w:t>
      </w:r>
      <w:r>
        <w:rPr>
          <w:rFonts w:hint="eastAsia" w:eastAsia="宋体" w:cs="Times New Roman"/>
          <w:szCs w:val="21"/>
          <w:highlight w:val="none"/>
          <w:lang w:val="en-US" w:eastAsia="zh-CN"/>
        </w:rPr>
        <w:t>分）</w:t>
      </w:r>
      <w:r>
        <w:rPr>
          <w:rFonts w:hint="default" w:eastAsia="宋体" w:cs="Times New Roman"/>
          <w:sz w:val="18"/>
          <w:szCs w:val="18"/>
          <w:highlight w:val="none"/>
          <w:lang w:val="en-US" w:eastAsia="zh-CN"/>
        </w:rPr>
        <w:t>：</w:t>
      </w:r>
      <w:r>
        <w:rPr>
          <w:rFonts w:hint="eastAsia" w:eastAsia="宋体" w:cs="Times New Roman"/>
          <w:szCs w:val="21"/>
          <w:highlight w:val="none"/>
          <w:lang w:val="en-US" w:eastAsia="zh-CN"/>
        </w:rPr>
        <w:t>在二档的基础上</w:t>
      </w:r>
      <w:r>
        <w:rPr>
          <w:rFonts w:hint="default" w:eastAsia="宋体" w:cs="Times New Roman"/>
          <w:szCs w:val="21"/>
          <w:highlight w:val="none"/>
          <w:lang w:val="en-US" w:eastAsia="zh-CN"/>
        </w:rPr>
        <w:t>，</w:t>
      </w:r>
      <w:r>
        <w:rPr>
          <w:rFonts w:hint="eastAsia" w:eastAsia="宋体" w:cs="Times New Roman"/>
          <w:szCs w:val="21"/>
          <w:highlight w:val="none"/>
          <w:lang w:val="en-US" w:eastAsia="zh-CN"/>
        </w:rPr>
        <w:t>比对监测设备维护、</w:t>
      </w:r>
      <w:r>
        <w:rPr>
          <w:rFonts w:hint="eastAsia" w:cs="Times New Roman"/>
          <w:szCs w:val="21"/>
          <w:highlight w:val="none"/>
          <w:lang w:val="en-US" w:eastAsia="zh-CN"/>
        </w:rPr>
        <w:t>监测</w:t>
      </w:r>
      <w:r>
        <w:rPr>
          <w:rFonts w:hint="eastAsia" w:eastAsia="宋体" w:cs="Times New Roman"/>
          <w:szCs w:val="21"/>
          <w:highlight w:val="none"/>
          <w:lang w:val="en-US" w:eastAsia="zh-CN"/>
        </w:rPr>
        <w:t>数据质量控制、临时站房搭建等工作分别有相应的人员配置方案和工作流程。</w:t>
      </w:r>
    </w:p>
    <w:p>
      <w:pPr>
        <w:pStyle w:val="2"/>
        <w:ind w:firstLine="422" w:firstLineChars="200"/>
        <w:rPr>
          <w:rFonts w:hint="eastAsia"/>
          <w:b/>
          <w:bCs/>
          <w:spacing w:val="0"/>
          <w:kern w:val="2"/>
          <w:sz w:val="21"/>
          <w:szCs w:val="21"/>
          <w:highlight w:val="none"/>
          <w:lang w:val="en-US" w:eastAsia="zh-CN"/>
        </w:rPr>
      </w:pPr>
      <w:r>
        <w:rPr>
          <w:rFonts w:hint="eastAsia" w:cs="Times New Roman"/>
          <w:b/>
          <w:bCs/>
          <w:spacing w:val="0"/>
          <w:kern w:val="2"/>
          <w:sz w:val="21"/>
          <w:szCs w:val="21"/>
          <w:highlight w:val="none"/>
          <w:lang w:val="en-US" w:eastAsia="zh-CN"/>
        </w:rPr>
        <w:t>供应商需提供本项目实施方案作为评分依据，不提供的本项得0分。</w:t>
      </w:r>
    </w:p>
    <w:p>
      <w:pPr>
        <w:spacing w:line="300" w:lineRule="auto"/>
        <w:ind w:firstLine="420" w:firstLineChars="200"/>
        <w:rPr>
          <w:rFonts w:hint="eastAsia" w:eastAsia="宋体" w:cs="Times New Roman"/>
          <w:szCs w:val="21"/>
          <w:highlight w:val="none"/>
          <w:lang w:val="en-US" w:eastAsia="zh-CN"/>
        </w:rPr>
      </w:pPr>
      <w:r>
        <w:rPr>
          <w:rFonts w:hint="eastAsia" w:eastAsia="宋体" w:cs="Times New Roman"/>
          <w:szCs w:val="21"/>
          <w:highlight w:val="none"/>
          <w:lang w:val="en-US" w:eastAsia="zh-CN"/>
        </w:rPr>
        <w:t>2、服务承诺方案（满分30分）</w:t>
      </w:r>
    </w:p>
    <w:p>
      <w:pPr>
        <w:spacing w:line="300" w:lineRule="auto"/>
        <w:ind w:firstLine="420" w:firstLineChars="200"/>
        <w:rPr>
          <w:rFonts w:hint="eastAsia" w:eastAsia="宋体" w:cs="Times New Roman"/>
          <w:szCs w:val="21"/>
          <w:highlight w:val="none"/>
          <w:lang w:val="en-US" w:eastAsia="zh-CN"/>
        </w:rPr>
      </w:pPr>
      <w:r>
        <w:rPr>
          <w:rFonts w:hint="eastAsia" w:eastAsia="宋体" w:cs="Times New Roman"/>
          <w:szCs w:val="21"/>
          <w:highlight w:val="none"/>
          <w:lang w:val="en-US" w:eastAsia="zh-CN"/>
        </w:rPr>
        <w:t>一档（</w:t>
      </w:r>
      <w:r>
        <w:rPr>
          <w:rFonts w:hint="eastAsia" w:cs="Times New Roman"/>
          <w:szCs w:val="21"/>
          <w:highlight w:val="none"/>
          <w:lang w:val="en-US" w:eastAsia="zh-CN"/>
        </w:rPr>
        <w:t>10</w:t>
      </w:r>
      <w:r>
        <w:rPr>
          <w:rFonts w:hint="eastAsia" w:eastAsia="宋体" w:cs="Times New Roman"/>
          <w:szCs w:val="21"/>
          <w:highlight w:val="none"/>
          <w:lang w:val="en-US" w:eastAsia="zh-CN"/>
        </w:rPr>
        <w:t>分）：服务质量承诺简单；</w:t>
      </w:r>
    </w:p>
    <w:p>
      <w:pPr>
        <w:spacing w:line="300" w:lineRule="auto"/>
        <w:ind w:firstLine="420" w:firstLineChars="200"/>
        <w:rPr>
          <w:rFonts w:hint="eastAsia" w:eastAsia="宋体" w:cs="Times New Roman"/>
          <w:szCs w:val="21"/>
          <w:highlight w:val="none"/>
          <w:lang w:val="en-US" w:eastAsia="zh-CN"/>
        </w:rPr>
      </w:pPr>
      <w:r>
        <w:rPr>
          <w:rFonts w:hint="eastAsia" w:eastAsia="宋体" w:cs="Times New Roman"/>
          <w:szCs w:val="21"/>
          <w:highlight w:val="none"/>
          <w:lang w:val="en-US" w:eastAsia="zh-CN"/>
        </w:rPr>
        <w:t>二档（</w:t>
      </w:r>
      <w:r>
        <w:rPr>
          <w:rFonts w:hint="eastAsia" w:cs="Times New Roman"/>
          <w:szCs w:val="21"/>
          <w:highlight w:val="none"/>
          <w:lang w:val="en-US" w:eastAsia="zh-CN"/>
        </w:rPr>
        <w:t>20</w:t>
      </w:r>
      <w:r>
        <w:rPr>
          <w:rFonts w:hint="eastAsia" w:eastAsia="宋体" w:cs="Times New Roman"/>
          <w:szCs w:val="21"/>
          <w:highlight w:val="none"/>
          <w:lang w:val="en-US" w:eastAsia="zh-CN"/>
        </w:rPr>
        <w:t>分）：服务质量承诺基本完整，发生紧急事件处理预案等内容简单，有一定针对性，有一定的保障措施。</w:t>
      </w:r>
    </w:p>
    <w:p>
      <w:pPr>
        <w:spacing w:line="300" w:lineRule="auto"/>
        <w:ind w:firstLine="420" w:firstLineChars="200"/>
        <w:rPr>
          <w:rFonts w:hint="eastAsia" w:eastAsia="宋体" w:cs="Times New Roman"/>
          <w:szCs w:val="21"/>
          <w:highlight w:val="none"/>
          <w:lang w:val="en-US" w:eastAsia="zh-CN"/>
        </w:rPr>
      </w:pPr>
      <w:r>
        <w:rPr>
          <w:rFonts w:hint="eastAsia" w:eastAsia="宋体" w:cs="Times New Roman"/>
          <w:szCs w:val="21"/>
          <w:highlight w:val="none"/>
          <w:lang w:val="en-US" w:eastAsia="zh-CN"/>
        </w:rPr>
        <w:t>三档（</w:t>
      </w:r>
      <w:r>
        <w:rPr>
          <w:rFonts w:hint="eastAsia" w:cs="Times New Roman"/>
          <w:szCs w:val="21"/>
          <w:highlight w:val="none"/>
          <w:lang w:val="en-US" w:eastAsia="zh-CN"/>
        </w:rPr>
        <w:t>30</w:t>
      </w:r>
      <w:r>
        <w:rPr>
          <w:rFonts w:hint="eastAsia" w:eastAsia="宋体" w:cs="Times New Roman"/>
          <w:szCs w:val="21"/>
          <w:highlight w:val="none"/>
          <w:lang w:val="en-US" w:eastAsia="zh-CN"/>
        </w:rPr>
        <w:t>分）：服务质量承诺详细、具体，服务流程完整，发生紧急事件处理预案等内容具体、全面、可行性高，服务承诺有针对性、有重点、有保障措施。</w:t>
      </w:r>
    </w:p>
    <w:p>
      <w:pPr>
        <w:pStyle w:val="2"/>
        <w:ind w:firstLine="422" w:firstLineChars="200"/>
        <w:rPr>
          <w:rFonts w:hint="eastAsia"/>
          <w:b/>
          <w:bCs/>
          <w:spacing w:val="0"/>
          <w:kern w:val="2"/>
          <w:sz w:val="21"/>
          <w:szCs w:val="21"/>
          <w:highlight w:val="none"/>
          <w:lang w:val="en-US" w:eastAsia="zh-CN"/>
        </w:rPr>
      </w:pPr>
      <w:r>
        <w:rPr>
          <w:rFonts w:hint="eastAsia" w:cs="Times New Roman"/>
          <w:b/>
          <w:bCs/>
          <w:spacing w:val="0"/>
          <w:kern w:val="2"/>
          <w:sz w:val="21"/>
          <w:szCs w:val="21"/>
          <w:highlight w:val="none"/>
          <w:lang w:val="en-US" w:eastAsia="zh-CN"/>
        </w:rPr>
        <w:t>供应商需提供本项目服务承诺方案作为评分依据，不提供的本项得0分。</w:t>
      </w:r>
    </w:p>
    <w:p>
      <w:pPr>
        <w:spacing w:line="300" w:lineRule="auto"/>
        <w:ind w:firstLine="422" w:firstLineChars="200"/>
        <w:rPr>
          <w:b/>
          <w:szCs w:val="21"/>
          <w:highlight w:val="none"/>
        </w:rPr>
      </w:pPr>
      <w:r>
        <w:rPr>
          <w:rFonts w:hint="eastAsia"/>
          <w:b/>
          <w:szCs w:val="21"/>
          <w:highlight w:val="none"/>
          <w:lang w:eastAsia="zh-CN"/>
        </w:rPr>
        <w:t>（</w:t>
      </w:r>
      <w:r>
        <w:rPr>
          <w:rFonts w:hint="eastAsia"/>
          <w:b/>
          <w:szCs w:val="21"/>
          <w:highlight w:val="none"/>
          <w:lang w:val="en-US" w:eastAsia="zh-CN"/>
        </w:rPr>
        <w:t>三</w:t>
      </w:r>
      <w:r>
        <w:rPr>
          <w:rFonts w:hint="eastAsia"/>
          <w:b/>
          <w:szCs w:val="21"/>
          <w:highlight w:val="none"/>
          <w:lang w:eastAsia="zh-CN"/>
        </w:rPr>
        <w:t>）</w:t>
      </w:r>
      <w:r>
        <w:rPr>
          <w:rFonts w:hint="eastAsia"/>
          <w:b/>
          <w:szCs w:val="21"/>
          <w:highlight w:val="none"/>
        </w:rPr>
        <w:t>商务分……………………………………………………………………………</w:t>
      </w:r>
      <w:r>
        <w:rPr>
          <w:rFonts w:hint="eastAsia"/>
          <w:b/>
          <w:szCs w:val="21"/>
          <w:highlight w:val="none"/>
          <w:lang w:val="en-US" w:eastAsia="zh-CN"/>
        </w:rPr>
        <w:t>10</w:t>
      </w:r>
      <w:r>
        <w:rPr>
          <w:rFonts w:hint="eastAsia"/>
          <w:b/>
          <w:szCs w:val="21"/>
          <w:highlight w:val="none"/>
        </w:rPr>
        <w:t>分</w:t>
      </w:r>
    </w:p>
    <w:p>
      <w:pPr>
        <w:spacing w:line="300" w:lineRule="auto"/>
        <w:ind w:firstLine="420"/>
        <w:rPr>
          <w:spacing w:val="-6"/>
          <w:szCs w:val="21"/>
          <w:highlight w:val="none"/>
        </w:rPr>
      </w:pPr>
      <w:r>
        <w:rPr>
          <w:rFonts w:hint="default" w:eastAsia="宋体" w:cs="Times New Roman"/>
          <w:spacing w:val="-6"/>
          <w:szCs w:val="21"/>
          <w:highlight w:val="none"/>
          <w:lang w:val="en-US" w:eastAsia="zh-CN"/>
        </w:rPr>
        <w:t>供应商</w:t>
      </w:r>
      <w:r>
        <w:rPr>
          <w:rFonts w:hint="eastAsia" w:eastAsia="宋体" w:cs="Times New Roman"/>
          <w:spacing w:val="-6"/>
          <w:szCs w:val="21"/>
          <w:highlight w:val="none"/>
          <w:lang w:val="en-US" w:eastAsia="zh-CN"/>
        </w:rPr>
        <w:t>近五年来（2020年</w:t>
      </w:r>
      <w:r>
        <w:rPr>
          <w:rFonts w:hint="eastAsia" w:cs="Times New Roman"/>
          <w:spacing w:val="-6"/>
          <w:szCs w:val="21"/>
          <w:highlight w:val="none"/>
          <w:lang w:val="en-US" w:eastAsia="zh-CN"/>
        </w:rPr>
        <w:t>1月</w:t>
      </w:r>
      <w:r>
        <w:rPr>
          <w:rFonts w:hint="eastAsia" w:eastAsia="宋体" w:cs="Times New Roman"/>
          <w:spacing w:val="-6"/>
          <w:szCs w:val="21"/>
          <w:highlight w:val="none"/>
          <w:lang w:val="en-US" w:eastAsia="zh-CN"/>
        </w:rPr>
        <w:t>至今）</w:t>
      </w:r>
      <w:r>
        <w:rPr>
          <w:rFonts w:hint="eastAsia" w:cs="Times New Roman"/>
          <w:spacing w:val="-6"/>
          <w:szCs w:val="21"/>
          <w:highlight w:val="none"/>
          <w:lang w:val="en-US" w:eastAsia="zh-CN"/>
        </w:rPr>
        <w:t>有类似在线监测</w:t>
      </w:r>
      <w:r>
        <w:rPr>
          <w:rFonts w:hint="default" w:eastAsia="宋体" w:cs="Times New Roman"/>
          <w:spacing w:val="-6"/>
          <w:szCs w:val="21"/>
          <w:highlight w:val="none"/>
          <w:lang w:val="en-US" w:eastAsia="zh-CN"/>
        </w:rPr>
        <w:t>业绩</w:t>
      </w:r>
      <w:r>
        <w:rPr>
          <w:rFonts w:hint="eastAsia" w:eastAsia="宋体" w:cs="Times New Roman"/>
          <w:spacing w:val="-6"/>
          <w:szCs w:val="21"/>
          <w:highlight w:val="none"/>
          <w:lang w:val="en-US" w:eastAsia="zh-CN"/>
        </w:rPr>
        <w:t>，</w:t>
      </w:r>
      <w:r>
        <w:rPr>
          <w:rFonts w:hint="default" w:eastAsia="宋体" w:cs="Times New Roman"/>
          <w:spacing w:val="-6"/>
          <w:szCs w:val="21"/>
          <w:highlight w:val="none"/>
          <w:lang w:val="en-US" w:eastAsia="zh-CN"/>
        </w:rPr>
        <w:t>每个项目加</w:t>
      </w:r>
      <w:r>
        <w:rPr>
          <w:rFonts w:hint="eastAsia" w:cs="Times New Roman"/>
          <w:spacing w:val="-6"/>
          <w:szCs w:val="21"/>
          <w:highlight w:val="none"/>
          <w:lang w:val="en-US" w:eastAsia="zh-CN"/>
        </w:rPr>
        <w:t>2</w:t>
      </w:r>
      <w:r>
        <w:rPr>
          <w:rFonts w:hint="default" w:eastAsia="宋体" w:cs="Times New Roman"/>
          <w:spacing w:val="-6"/>
          <w:szCs w:val="21"/>
          <w:highlight w:val="none"/>
          <w:lang w:val="en-US" w:eastAsia="zh-CN"/>
        </w:rPr>
        <w:t>分。</w:t>
      </w:r>
      <w:r>
        <w:rPr>
          <w:rFonts w:hint="eastAsia" w:eastAsia="宋体" w:cs="Times New Roman"/>
          <w:spacing w:val="-6"/>
          <w:szCs w:val="21"/>
          <w:highlight w:val="none"/>
          <w:lang w:val="en-US" w:eastAsia="zh-CN"/>
        </w:rPr>
        <w:t>需</w:t>
      </w:r>
      <w:r>
        <w:rPr>
          <w:rFonts w:hint="default" w:eastAsia="宋体" w:cs="Times New Roman"/>
          <w:spacing w:val="-6"/>
          <w:szCs w:val="21"/>
          <w:highlight w:val="none"/>
          <w:lang w:val="en-US" w:eastAsia="zh-CN"/>
        </w:rPr>
        <w:t>提供</w:t>
      </w:r>
      <w:r>
        <w:rPr>
          <w:rFonts w:hint="eastAsia" w:eastAsia="宋体" w:cs="Times New Roman"/>
          <w:spacing w:val="-6"/>
          <w:szCs w:val="21"/>
          <w:highlight w:val="none"/>
          <w:lang w:val="en-US" w:eastAsia="zh-CN"/>
        </w:rPr>
        <w:t>合同复印件或中标通知书</w:t>
      </w:r>
      <w:r>
        <w:rPr>
          <w:rFonts w:hint="default" w:eastAsia="宋体" w:cs="Times New Roman"/>
          <w:spacing w:val="-6"/>
          <w:szCs w:val="21"/>
          <w:highlight w:val="none"/>
          <w:lang w:val="en-US" w:eastAsia="zh-CN"/>
        </w:rPr>
        <w:t>佐证材料，</w:t>
      </w:r>
      <w:r>
        <w:rPr>
          <w:rFonts w:hint="eastAsia" w:eastAsia="宋体" w:cs="Times New Roman"/>
          <w:spacing w:val="-6"/>
          <w:szCs w:val="21"/>
          <w:highlight w:val="none"/>
          <w:lang w:val="en-US" w:eastAsia="zh-CN"/>
        </w:rPr>
        <w:t>不提供的</w:t>
      </w:r>
      <w:r>
        <w:rPr>
          <w:rFonts w:hint="default" w:eastAsia="宋体" w:cs="Times New Roman"/>
          <w:spacing w:val="-6"/>
          <w:szCs w:val="21"/>
          <w:highlight w:val="none"/>
          <w:lang w:val="en-US" w:eastAsia="zh-CN"/>
        </w:rPr>
        <w:t>此项不计分</w:t>
      </w:r>
      <w:r>
        <w:rPr>
          <w:rFonts w:hint="eastAsia"/>
          <w:spacing w:val="-6"/>
          <w:szCs w:val="21"/>
          <w:highlight w:val="none"/>
        </w:rPr>
        <w:t>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422" w:firstLineChars="200"/>
        <w:textAlignment w:val="auto"/>
        <w:outlineLvl w:val="1"/>
        <w:rPr>
          <w:b/>
          <w:szCs w:val="21"/>
          <w:highlight w:val="none"/>
        </w:rPr>
      </w:pPr>
      <w:r>
        <w:rPr>
          <w:rFonts w:hint="eastAsia"/>
          <w:b/>
          <w:szCs w:val="21"/>
          <w:highlight w:val="none"/>
          <w:lang w:val="en-US" w:eastAsia="zh-CN"/>
        </w:rPr>
        <w:t>（四）政策功能</w:t>
      </w:r>
      <w:r>
        <w:rPr>
          <w:rFonts w:hint="eastAsia"/>
          <w:b/>
          <w:szCs w:val="21"/>
          <w:highlight w:val="none"/>
        </w:rPr>
        <w:t>分………………………………………………………………………</w:t>
      </w:r>
      <w:r>
        <w:rPr>
          <w:rFonts w:hint="eastAsia"/>
          <w:b/>
          <w:szCs w:val="21"/>
          <w:highlight w:val="none"/>
          <w:lang w:val="en-US" w:eastAsia="zh-CN"/>
        </w:rPr>
        <w:t>5</w:t>
      </w:r>
      <w:r>
        <w:rPr>
          <w:rFonts w:hint="eastAsia"/>
          <w:b/>
          <w:szCs w:val="21"/>
          <w:highlight w:val="none"/>
        </w:rPr>
        <w:t>分</w:t>
      </w:r>
    </w:p>
    <w:p>
      <w:pPr>
        <w:spacing w:line="300" w:lineRule="auto"/>
        <w:ind w:firstLine="420"/>
        <w:rPr>
          <w:rFonts w:hint="default" w:eastAsia="宋体" w:cs="Times New Roman"/>
          <w:spacing w:val="-6"/>
          <w:szCs w:val="21"/>
          <w:highlight w:val="none"/>
          <w:lang w:val="en-US" w:eastAsia="zh-CN"/>
        </w:rPr>
      </w:pPr>
      <w:r>
        <w:rPr>
          <w:rFonts w:hint="default" w:eastAsia="宋体" w:cs="Times New Roman"/>
          <w:spacing w:val="-6"/>
          <w:szCs w:val="21"/>
          <w:highlight w:val="none"/>
          <w:lang w:val="en-US" w:eastAsia="zh-CN"/>
        </w:rPr>
        <w:t>参与本项目的供应商属于小微企业，出具小微企业声明函且经核实属实的，得</w:t>
      </w:r>
      <w:r>
        <w:rPr>
          <w:rFonts w:hint="eastAsia" w:eastAsia="宋体" w:cs="Times New Roman"/>
          <w:spacing w:val="-6"/>
          <w:szCs w:val="21"/>
          <w:highlight w:val="none"/>
          <w:lang w:val="en-US" w:eastAsia="zh-CN"/>
        </w:rPr>
        <w:t>5</w:t>
      </w:r>
      <w:r>
        <w:rPr>
          <w:rFonts w:hint="default" w:eastAsia="宋体" w:cs="Times New Roman"/>
          <w:spacing w:val="-6"/>
          <w:szCs w:val="21"/>
          <w:highlight w:val="none"/>
          <w:lang w:val="en-US" w:eastAsia="zh-CN"/>
        </w:rPr>
        <w:t>分。</w:t>
      </w:r>
    </w:p>
    <w:p>
      <w:pPr>
        <w:spacing w:line="300" w:lineRule="auto"/>
        <w:ind w:firstLine="384"/>
        <w:rPr>
          <w:spacing w:val="-6"/>
          <w:szCs w:val="21"/>
          <w:highlight w:val="none"/>
        </w:rPr>
      </w:pPr>
    </w:p>
    <w:p>
      <w:pPr>
        <w:spacing w:line="300" w:lineRule="auto"/>
        <w:ind w:firstLine="384"/>
        <w:outlineLvl w:val="1"/>
        <w:rPr>
          <w:b/>
          <w:bCs/>
          <w:spacing w:val="-6"/>
          <w:szCs w:val="21"/>
          <w:highlight w:val="none"/>
        </w:rPr>
      </w:pPr>
      <w:r>
        <w:rPr>
          <w:rFonts w:hint="eastAsia"/>
          <w:spacing w:val="-6"/>
          <w:szCs w:val="21"/>
          <w:highlight w:val="none"/>
        </w:rPr>
        <w:t>总分值=（</w:t>
      </w:r>
      <w:r>
        <w:rPr>
          <w:rFonts w:hint="eastAsia"/>
          <w:b/>
          <w:bCs/>
          <w:spacing w:val="-6"/>
          <w:szCs w:val="21"/>
          <w:highlight w:val="none"/>
        </w:rPr>
        <w:t>一</w:t>
      </w:r>
      <w:r>
        <w:rPr>
          <w:rFonts w:hint="eastAsia"/>
          <w:spacing w:val="-6"/>
          <w:szCs w:val="21"/>
          <w:highlight w:val="none"/>
        </w:rPr>
        <w:t>）</w:t>
      </w:r>
      <w:r>
        <w:rPr>
          <w:rFonts w:hint="eastAsia"/>
          <w:b/>
          <w:bCs/>
          <w:spacing w:val="-6"/>
          <w:szCs w:val="21"/>
          <w:highlight w:val="none"/>
        </w:rPr>
        <w:t>+（二）+（三）+（</w:t>
      </w:r>
      <w:r>
        <w:rPr>
          <w:rFonts w:hint="eastAsia"/>
          <w:b/>
          <w:bCs/>
          <w:spacing w:val="-6"/>
          <w:szCs w:val="21"/>
          <w:highlight w:val="none"/>
          <w:lang w:val="en-US" w:eastAsia="zh-CN"/>
        </w:rPr>
        <w:t>四</w:t>
      </w:r>
      <w:r>
        <w:rPr>
          <w:rFonts w:hint="eastAsia"/>
          <w:b/>
          <w:bCs/>
          <w:spacing w:val="-6"/>
          <w:szCs w:val="21"/>
          <w:highlight w:val="none"/>
        </w:rPr>
        <w:t>）</w:t>
      </w:r>
    </w:p>
    <w:p>
      <w:pPr>
        <w:spacing w:line="300" w:lineRule="auto"/>
        <w:ind w:firstLine="384"/>
        <w:rPr>
          <w:spacing w:val="-6"/>
          <w:szCs w:val="21"/>
          <w:highlight w:val="none"/>
        </w:rPr>
      </w:pPr>
    </w:p>
    <w:p>
      <w:pPr>
        <w:spacing w:line="300" w:lineRule="auto"/>
        <w:ind w:firstLine="384"/>
        <w:rPr>
          <w:spacing w:val="-6"/>
          <w:szCs w:val="21"/>
          <w:highlight w:val="none"/>
        </w:rPr>
      </w:pPr>
      <w:r>
        <w:rPr>
          <w:rFonts w:hint="eastAsia"/>
          <w:b/>
          <w:bCs/>
          <w:spacing w:val="-6"/>
          <w:sz w:val="24"/>
          <w:szCs w:val="24"/>
          <w:highlight w:val="none"/>
        </w:rPr>
        <w:t>上述评审分项设置仅供参考，采购单位可以根据实际需要另行设置评审分项，但必须符合国家及自治区采购政策要求。严禁设置具有歧视待遇或差别待遇的评审分项。</w:t>
      </w:r>
    </w:p>
    <w:p>
      <w:pPr>
        <w:spacing w:line="300" w:lineRule="auto"/>
        <w:ind w:firstLine="426" w:firstLineChars="202"/>
        <w:outlineLvl w:val="0"/>
        <w:rPr>
          <w:b/>
          <w:szCs w:val="21"/>
          <w:highlight w:val="none"/>
        </w:rPr>
      </w:pPr>
      <w:r>
        <w:rPr>
          <w:rFonts w:hint="eastAsia"/>
          <w:b/>
          <w:szCs w:val="21"/>
          <w:highlight w:val="none"/>
        </w:rPr>
        <w:t>三、成交候选人推荐原则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highlight w:val="none"/>
        </w:rPr>
      </w:pPr>
      <w:r>
        <w:rPr>
          <w:rFonts w:hint="eastAsia"/>
          <w:szCs w:val="21"/>
          <w:highlight w:val="none"/>
        </w:rPr>
        <w:t>根据供应商提交的材料进行综合评分，按照得分由高到低顺序得出成交候选人名单，评审得分相同的，按照最后报价（不计算价格折扣）由低到高排序，评审得分且最后报价（不计算价格折扣）相同的，按照技术指标优劣排序。成交原则为排序顺位第一的供应商。如成交供应商因不可抗力提出不能履行合同，顺位选择第二排名的供应商，以此类</w:t>
      </w:r>
    </w:p>
    <w:bookmarkEnd w:id="0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0E2ABFDF-8CD6-4AED-BB8C-8F94802A382C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D1167751-D81D-40B2-AB00-A60B259C7F91}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3" w:fontKey="{C41386B3-0DC8-4295-ADD6-8E9F688A131A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TrueTypeFonts/>
  <w:saveSubsetFonts/>
  <w:bordersDoNotSurroundHeader w:val="1"/>
  <w:bordersDoNotSurroundFooter w:val="1"/>
  <w:trackRevisions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EBB4DD0"/>
    <w:rsid w:val="09370751"/>
    <w:rsid w:val="2BBF002D"/>
    <w:rsid w:val="2CBA2E5D"/>
    <w:rsid w:val="38DE46C1"/>
    <w:rsid w:val="3A044600"/>
    <w:rsid w:val="3CE828D8"/>
    <w:rsid w:val="3FC7092D"/>
    <w:rsid w:val="47EE4D13"/>
    <w:rsid w:val="595D31C8"/>
    <w:rsid w:val="668F5CD1"/>
    <w:rsid w:val="692D4848"/>
    <w:rsid w:val="6CCC21A2"/>
    <w:rsid w:val="6EBB4D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iPriority="39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jc w:val="both"/>
    </w:pPr>
    <w:rPr>
      <w:rFonts w:ascii="Calibri" w:hAnsi="Calibri" w:eastAsia="宋体" w:cs="Times New Roman"/>
      <w:kern w:val="2"/>
      <w:sz w:val="21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表格文字"/>
    <w:basedOn w:val="1"/>
    <w:qFormat/>
    <w:uiPriority w:val="0"/>
    <w:pPr>
      <w:spacing w:before="25" w:after="25"/>
      <w:jc w:val="left"/>
    </w:pPr>
    <w:rPr>
      <w:bCs/>
      <w:spacing w:val="10"/>
      <w:kern w:val="0"/>
      <w:sz w:val="24"/>
      <w:szCs w:val="20"/>
    </w:rPr>
  </w:style>
  <w:style w:type="paragraph" w:styleId="3">
    <w:name w:val="annotation text"/>
    <w:basedOn w:val="1"/>
    <w:qFormat/>
    <w:uiPriority w:val="0"/>
    <w:pPr>
      <w:jc w:val="left"/>
    </w:pPr>
  </w:style>
  <w:style w:type="paragraph" w:styleId="4">
    <w:name w:val="toc 1"/>
    <w:basedOn w:val="1"/>
    <w:next w:val="1"/>
    <w:unhideWhenUsed/>
    <w:qFormat/>
    <w:uiPriority w:val="39"/>
    <w:pPr>
      <w:widowControl w:val="0"/>
    </w:pPr>
    <w:rPr>
      <w:rFonts w:ascii="Times New Roman" w:hAnsi="Times New Roman"/>
      <w:szCs w:val="24"/>
    </w:rPr>
  </w:style>
  <w:style w:type="paragraph" w:customStyle="1" w:styleId="7">
    <w:name w:val="列出段落1"/>
    <w:qFormat/>
    <w:uiPriority w:val="0"/>
    <w:pPr>
      <w:widowControl w:val="0"/>
      <w:ind w:firstLine="420" w:firstLineChars="20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1252</Words>
  <Characters>1271</Characters>
  <Lines>0</Lines>
  <Paragraphs>0</Paragraphs>
  <TotalTime>11</TotalTime>
  <ScaleCrop>false</ScaleCrop>
  <LinksUpToDate>false</LinksUpToDate>
  <CharactersWithSpaces>1273</CharactersWithSpaces>
  <Application>WPS Office_11.8.2.8875_F1E327BC-269C-435d-A152-05C5408002CA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2022-02-11T01:30:00Z</dcterms:created>
  <dc:creator>植雨青</dc:creator>
  <cp:lastModifiedBy>李宏姣</cp:lastModifiedBy>
  <dcterms:modified xsi:type="dcterms:W3CDTF">2025-06-26T07:17:27Z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2052-11.8.2.8875</vt:lpwstr>
  </property>
  <property fmtid="{D5CDD505-2E9C-101B-9397-08002B2CF9AE}" pid="3" name="ICV">
    <vt:lpwstr>E1D42F86307A4E598B8F2593F302A59A_13</vt:lpwstr>
  </property>
  <property fmtid="{D5CDD505-2E9C-101B-9397-08002B2CF9AE}" pid="4" name="KSOTemplateDocerSaveRecord">
    <vt:lpwstr>eyJoZGlkIjoiNWRiN2EzOTIwNTFkMWRjYjlhM2M2MjEwMTAzOTAyMTAiLCJ1c2VySWQiOiI4NzI1NzQzIn0=</vt:lpwstr>
  </property>
</Properties>
</file>