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0"/>
        <w:rPr>
          <w:rFonts w:hint="default" w:ascii="Times New Roman" w:hAnsi="Times New Roman" w:cs="Times New Roman"/>
          <w:highlight w:val="none"/>
          <w:lang w:val="en-US" w:eastAsia="zh-CN"/>
        </w:rPr>
      </w:pPr>
      <w:r>
        <w:rPr>
          <w:rFonts w:hint="default" w:ascii="Times New Roman" w:hAnsi="Times New Roman" w:eastAsia="黑体" w:cs="Times New Roman"/>
          <w:sz w:val="32"/>
          <w:szCs w:val="32"/>
          <w:highlight w:val="none"/>
          <w:lang w:val="en-US" w:eastAsia="zh-CN"/>
        </w:rPr>
        <w:t>附件1</w:t>
      </w:r>
    </w:p>
    <w:p>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600" w:lineRule="exact"/>
        <w:jc w:val="center"/>
        <w:textAlignment w:val="auto"/>
        <w:rPr>
          <w:rFonts w:hint="default" w:ascii="Times New Roman" w:hAnsi="Times New Roman" w:eastAsia="方正小标宋_GBK" w:cs="Times New Roman"/>
          <w:color w:val="auto"/>
          <w:sz w:val="32"/>
          <w:szCs w:val="32"/>
          <w:highlight w:val="none"/>
          <w:lang w:val="en-US" w:eastAsia="zh-CN"/>
        </w:rPr>
      </w:pPr>
      <w:r>
        <w:rPr>
          <w:rFonts w:hint="default" w:ascii="Times New Roman" w:hAnsi="Times New Roman" w:eastAsia="方正小标宋_GBK" w:cs="Times New Roman"/>
          <w:color w:val="auto"/>
          <w:sz w:val="32"/>
          <w:szCs w:val="32"/>
          <w:highlight w:val="none"/>
          <w:lang w:val="en-US" w:eastAsia="zh-CN"/>
        </w:rPr>
        <w:t>采购需求</w:t>
      </w:r>
    </w:p>
    <w:tbl>
      <w:tblPr>
        <w:tblStyle w:val="8"/>
        <w:tblW w:w="87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18"/>
        <w:gridCol w:w="862"/>
        <w:gridCol w:w="63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8720" w:type="dxa"/>
            <w:gridSpan w:val="3"/>
            <w:vAlign w:val="center"/>
          </w:tcPr>
          <w:p>
            <w:pPr>
              <w:spacing w:line="360" w:lineRule="auto"/>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b/>
                <w:bCs/>
                <w:color w:val="auto"/>
                <w:sz w:val="21"/>
                <w:szCs w:val="21"/>
                <w:highlight w:val="none"/>
              </w:rPr>
              <w:t>一、项目要求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518" w:type="dxa"/>
            <w:vAlign w:val="center"/>
          </w:tcPr>
          <w:p>
            <w:pPr>
              <w:spacing w:line="360" w:lineRule="auto"/>
              <w:jc w:val="center"/>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b/>
                <w:color w:val="auto"/>
                <w:sz w:val="21"/>
                <w:szCs w:val="21"/>
                <w:highlight w:val="none"/>
              </w:rPr>
              <w:t>名称</w:t>
            </w:r>
          </w:p>
        </w:tc>
        <w:tc>
          <w:tcPr>
            <w:tcW w:w="862" w:type="dxa"/>
            <w:vAlign w:val="center"/>
          </w:tcPr>
          <w:p>
            <w:pPr>
              <w:spacing w:line="360" w:lineRule="auto"/>
              <w:jc w:val="center"/>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b/>
                <w:color w:val="auto"/>
                <w:sz w:val="21"/>
                <w:szCs w:val="21"/>
                <w:highlight w:val="none"/>
              </w:rPr>
              <w:t>数量</w:t>
            </w:r>
          </w:p>
        </w:tc>
        <w:tc>
          <w:tcPr>
            <w:tcW w:w="6340" w:type="dxa"/>
            <w:vAlign w:val="center"/>
          </w:tcPr>
          <w:p>
            <w:pPr>
              <w:spacing w:line="360" w:lineRule="auto"/>
              <w:jc w:val="center"/>
              <w:rPr>
                <w:rFonts w:hint="default" w:ascii="Times New Roman" w:hAnsi="Times New Roman" w:eastAsia="宋体" w:cs="Times New Roman"/>
                <w:color w:val="auto"/>
                <w:sz w:val="21"/>
                <w:szCs w:val="21"/>
                <w:highlight w:val="none"/>
                <w:lang w:eastAsia="zh-CN"/>
              </w:rPr>
            </w:pPr>
            <w:r>
              <w:rPr>
                <w:rFonts w:hint="default" w:ascii="Times New Roman" w:hAnsi="Times New Roman" w:eastAsia="宋体" w:cs="Times New Roman"/>
                <w:b/>
                <w:color w:val="auto"/>
                <w:sz w:val="21"/>
                <w:szCs w:val="21"/>
                <w:highlight w:val="none"/>
                <w:lang w:val="en-US"/>
              </w:rPr>
              <w:t>需求</w:t>
            </w:r>
            <w:r>
              <w:rPr>
                <w:rFonts w:hint="default" w:ascii="Times New Roman" w:hAnsi="Times New Roman" w:eastAsia="宋体" w:cs="Times New Roman"/>
                <w:b/>
                <w:color w:val="auto"/>
                <w:sz w:val="21"/>
                <w:szCs w:val="21"/>
                <w:highlight w:val="none"/>
                <w:lang w:val="en-US" w:eastAsia="zh-CN"/>
              </w:rPr>
              <w:t>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14" w:hRule="atLeast"/>
          <w:jc w:val="center"/>
        </w:trPr>
        <w:tc>
          <w:tcPr>
            <w:tcW w:w="1518" w:type="dxa"/>
            <w:shd w:val="clear" w:color="auto" w:fill="auto"/>
            <w:vAlign w:val="center"/>
          </w:tcPr>
          <w:p>
            <w:pPr>
              <w:keepNext w:val="0"/>
              <w:keepLines w:val="0"/>
              <w:pageBreakBefore w:val="0"/>
              <w:widowControl w:val="0"/>
              <w:numPr>
                <w:ilvl w:val="0"/>
                <w:numId w:val="0"/>
              </w:numPr>
              <w:tabs>
                <w:tab w:val="left" w:pos="0"/>
              </w:tabs>
              <w:kinsoku/>
              <w:wordWrap/>
              <w:overflowPunct/>
              <w:topLinePunct w:val="0"/>
              <w:autoSpaceDE/>
              <w:autoSpaceDN/>
              <w:bidi w:val="0"/>
              <w:adjustRightInd w:val="0"/>
              <w:snapToGrid w:val="0"/>
              <w:spacing w:line="560" w:lineRule="exact"/>
              <w:ind w:firstLine="0" w:firstLineChars="0"/>
              <w:jc w:val="left"/>
              <w:textAlignment w:val="auto"/>
              <w:rPr>
                <w:rFonts w:hint="default" w:ascii="Times New Roman" w:hAnsi="Times New Roman" w:cs="Times New Roman" w:eastAsiaTheme="majorEastAsia"/>
                <w:color w:val="auto"/>
                <w:sz w:val="21"/>
                <w:szCs w:val="21"/>
                <w:highlight w:val="none"/>
                <w:lang w:val="en-US" w:eastAsia="zh-CN"/>
              </w:rPr>
            </w:pPr>
            <w:r>
              <w:rPr>
                <w:rFonts w:hint="default" w:ascii="Times New Roman" w:hAnsi="Times New Roman" w:cs="Times New Roman" w:eastAsiaTheme="majorEastAsia"/>
                <w:color w:val="auto"/>
                <w:sz w:val="21"/>
                <w:szCs w:val="21"/>
                <w:highlight w:val="none"/>
                <w:lang w:val="en-US" w:eastAsia="zh-CN"/>
              </w:rPr>
              <w:t>梧州市苍梧县县城区环境空气质量监测点位优化调整踏勘选址比对监测服务</w:t>
            </w:r>
          </w:p>
          <w:p>
            <w:pPr>
              <w:keepNext w:val="0"/>
              <w:keepLines w:val="0"/>
              <w:pageBreakBefore w:val="0"/>
              <w:widowControl w:val="0"/>
              <w:kinsoku/>
              <w:wordWrap/>
              <w:overflowPunct/>
              <w:topLinePunct w:val="0"/>
              <w:bidi w:val="0"/>
              <w:adjustRightInd w:val="0"/>
              <w:snapToGrid w:val="0"/>
              <w:spacing w:line="360" w:lineRule="auto"/>
              <w:ind w:firstLine="0" w:firstLineChars="0"/>
              <w:rPr>
                <w:rFonts w:hint="default" w:ascii="Times New Roman" w:hAnsi="Times New Roman" w:cs="Times New Roman" w:eastAsiaTheme="majorEastAsia"/>
                <w:color w:val="auto"/>
                <w:kern w:val="2"/>
                <w:sz w:val="21"/>
                <w:szCs w:val="21"/>
                <w:highlight w:val="none"/>
                <w:lang w:val="en-US" w:eastAsia="zh-CN" w:bidi="ar-SA"/>
              </w:rPr>
            </w:pPr>
          </w:p>
        </w:tc>
        <w:tc>
          <w:tcPr>
            <w:tcW w:w="862" w:type="dxa"/>
            <w:vAlign w:val="center"/>
          </w:tcPr>
          <w:p>
            <w:pPr>
              <w:keepNext w:val="0"/>
              <w:keepLines w:val="0"/>
              <w:pageBreakBefore w:val="0"/>
              <w:widowControl w:val="0"/>
              <w:kinsoku/>
              <w:wordWrap/>
              <w:overflowPunct/>
              <w:topLinePunct w:val="0"/>
              <w:bidi w:val="0"/>
              <w:adjustRightInd w:val="0"/>
              <w:snapToGrid w:val="0"/>
              <w:spacing w:line="360" w:lineRule="auto"/>
              <w:ind w:firstLine="0" w:firstLineChars="0"/>
              <w:jc w:val="center"/>
              <w:rPr>
                <w:rFonts w:hint="default" w:ascii="Times New Roman" w:hAnsi="Times New Roman" w:cs="Times New Roman" w:eastAsiaTheme="majorEastAsia"/>
                <w:color w:val="auto"/>
                <w:sz w:val="21"/>
                <w:szCs w:val="21"/>
                <w:highlight w:val="none"/>
                <w:lang w:val="en-US" w:eastAsia="zh-CN"/>
              </w:rPr>
            </w:pPr>
            <w:r>
              <w:rPr>
                <w:rFonts w:hint="default" w:ascii="Times New Roman" w:hAnsi="Times New Roman" w:cs="Times New Roman" w:eastAsiaTheme="majorEastAsia"/>
                <w:color w:val="auto"/>
                <w:sz w:val="21"/>
                <w:szCs w:val="21"/>
                <w:highlight w:val="none"/>
                <w:lang w:val="en-US" w:eastAsia="zh-CN"/>
              </w:rPr>
              <w:t>1</w:t>
            </w:r>
          </w:p>
        </w:tc>
        <w:tc>
          <w:tcPr>
            <w:tcW w:w="6340" w:type="dxa"/>
            <w:shd w:val="clear" w:color="auto" w:fill="auto"/>
            <w:vAlign w:val="center"/>
          </w:tcPr>
          <w:p>
            <w:pPr>
              <w:keepNext w:val="0"/>
              <w:keepLines w:val="0"/>
              <w:pageBreakBefore w:val="0"/>
              <w:widowControl w:val="0"/>
              <w:numPr>
                <w:ilvl w:val="-1"/>
                <w:numId w:val="0"/>
              </w:numPr>
              <w:kinsoku/>
              <w:wordWrap/>
              <w:overflowPunct/>
              <w:topLinePunct w:val="0"/>
              <w:autoSpaceDE/>
              <w:autoSpaceDN/>
              <w:bidi w:val="0"/>
              <w:adjustRightInd w:val="0"/>
              <w:snapToGrid w:val="0"/>
              <w:spacing w:line="360" w:lineRule="auto"/>
              <w:ind w:firstLine="0" w:firstLineChars="0"/>
              <w:textAlignment w:val="auto"/>
              <w:outlineLvl w:val="9"/>
              <w:rPr>
                <w:rFonts w:hint="default" w:ascii="Times New Roman" w:hAnsi="Times New Roman" w:cs="Times New Roman" w:eastAsiaTheme="majorEastAsia"/>
                <w:color w:val="auto"/>
                <w:kern w:val="0"/>
                <w:sz w:val="21"/>
                <w:szCs w:val="21"/>
                <w:highlight w:val="none"/>
                <w:lang w:val="en-US" w:eastAsia="zh-CN"/>
              </w:rPr>
            </w:pPr>
            <w:bookmarkStart w:id="0" w:name="_GoBack"/>
            <w:r>
              <w:rPr>
                <w:rFonts w:hint="eastAsia" w:ascii="Times New Roman" w:hAnsi="Times New Roman" w:cs="Times New Roman" w:eastAsiaTheme="majorEastAsia"/>
                <w:color w:val="auto"/>
                <w:kern w:val="0"/>
                <w:sz w:val="21"/>
                <w:szCs w:val="21"/>
                <w:highlight w:val="none"/>
                <w:lang w:val="en-US" w:eastAsia="zh-CN"/>
              </w:rPr>
              <w:t>1、</w:t>
            </w:r>
            <w:r>
              <w:rPr>
                <w:rFonts w:hint="default" w:ascii="Times New Roman" w:hAnsi="Times New Roman" w:cs="Times New Roman" w:eastAsiaTheme="majorEastAsia"/>
                <w:color w:val="auto"/>
                <w:kern w:val="0"/>
                <w:sz w:val="21"/>
                <w:szCs w:val="21"/>
                <w:highlight w:val="none"/>
                <w:lang w:val="en-US" w:eastAsia="zh-CN"/>
              </w:rPr>
              <w:t>在梧州市苍梧县县城区内优选</w:t>
            </w:r>
            <w:r>
              <w:rPr>
                <w:rFonts w:hint="eastAsia" w:ascii="Times New Roman" w:hAnsi="Times New Roman" w:cs="Times New Roman" w:eastAsiaTheme="majorEastAsia"/>
                <w:color w:val="auto"/>
                <w:kern w:val="0"/>
                <w:sz w:val="21"/>
                <w:szCs w:val="21"/>
                <w:highlight w:val="none"/>
                <w:lang w:val="en-US" w:eastAsia="zh-CN"/>
              </w:rPr>
              <w:t>1个</w:t>
            </w:r>
            <w:r>
              <w:rPr>
                <w:rFonts w:hint="default" w:ascii="Times New Roman" w:hAnsi="Times New Roman" w:cs="Times New Roman" w:eastAsiaTheme="majorEastAsia"/>
                <w:color w:val="auto"/>
                <w:kern w:val="0"/>
                <w:sz w:val="21"/>
                <w:szCs w:val="21"/>
                <w:highlight w:val="none"/>
                <w:lang w:val="en-US" w:eastAsia="zh-CN"/>
              </w:rPr>
              <w:t>监测点位搭建临时</w:t>
            </w:r>
            <w:r>
              <w:rPr>
                <w:rFonts w:hint="eastAsia" w:ascii="Times New Roman" w:hAnsi="Times New Roman" w:cs="Times New Roman" w:eastAsiaTheme="majorEastAsia"/>
                <w:color w:val="auto"/>
                <w:kern w:val="0"/>
                <w:sz w:val="21"/>
                <w:szCs w:val="21"/>
                <w:highlight w:val="none"/>
                <w:lang w:val="en-US" w:eastAsia="zh-CN"/>
              </w:rPr>
              <w:t>站房</w:t>
            </w:r>
            <w:r>
              <w:rPr>
                <w:rFonts w:hint="default" w:ascii="Times New Roman" w:hAnsi="Times New Roman" w:cs="Times New Roman" w:eastAsiaTheme="majorEastAsia"/>
                <w:color w:val="auto"/>
                <w:kern w:val="0"/>
                <w:sz w:val="21"/>
                <w:szCs w:val="21"/>
                <w:highlight w:val="none"/>
                <w:lang w:val="en-US" w:eastAsia="zh-CN"/>
              </w:rPr>
              <w:t>，</w:t>
            </w:r>
            <w:r>
              <w:rPr>
                <w:rFonts w:hint="eastAsia" w:ascii="Times New Roman" w:hAnsi="Times New Roman" w:cs="Times New Roman" w:eastAsiaTheme="majorEastAsia"/>
                <w:color w:val="auto"/>
                <w:kern w:val="0"/>
                <w:sz w:val="21"/>
                <w:szCs w:val="21"/>
                <w:highlight w:val="none"/>
                <w:lang w:val="en-US" w:eastAsia="zh-CN"/>
              </w:rPr>
              <w:t>站房搭建服务</w:t>
            </w:r>
            <w:r>
              <w:rPr>
                <w:rFonts w:hint="default" w:ascii="Times New Roman" w:hAnsi="Times New Roman" w:cs="Times New Roman" w:eastAsiaTheme="majorEastAsia"/>
                <w:color w:val="auto"/>
                <w:kern w:val="0"/>
                <w:sz w:val="21"/>
                <w:szCs w:val="21"/>
                <w:highlight w:val="none"/>
                <w:lang w:val="en-US" w:eastAsia="zh-CN"/>
              </w:rPr>
              <w:t>包括但不限于站房运输、站房吊装拆除、</w:t>
            </w:r>
            <w:r>
              <w:rPr>
                <w:rFonts w:hint="eastAsia" w:ascii="Times New Roman" w:hAnsi="Times New Roman" w:cs="Times New Roman" w:eastAsiaTheme="majorEastAsia"/>
                <w:color w:val="auto"/>
                <w:kern w:val="0"/>
                <w:sz w:val="21"/>
                <w:szCs w:val="21"/>
                <w:highlight w:val="none"/>
                <w:lang w:val="en-US" w:eastAsia="zh-CN"/>
              </w:rPr>
              <w:t>空调、相关</w:t>
            </w:r>
            <w:r>
              <w:rPr>
                <w:rFonts w:hint="default" w:ascii="Times New Roman" w:hAnsi="Times New Roman" w:cs="Times New Roman" w:eastAsiaTheme="majorEastAsia"/>
                <w:color w:val="auto"/>
                <w:kern w:val="0"/>
                <w:sz w:val="21"/>
                <w:szCs w:val="21"/>
                <w:highlight w:val="none"/>
                <w:lang w:val="en-US" w:eastAsia="zh-CN"/>
              </w:rPr>
              <w:t>材料</w:t>
            </w:r>
            <w:r>
              <w:rPr>
                <w:rFonts w:hint="eastAsia" w:ascii="Times New Roman" w:hAnsi="Times New Roman" w:cs="Times New Roman" w:eastAsiaTheme="majorEastAsia"/>
                <w:color w:val="auto"/>
                <w:kern w:val="0"/>
                <w:sz w:val="21"/>
                <w:szCs w:val="21"/>
                <w:highlight w:val="none"/>
                <w:lang w:val="en-US" w:eastAsia="zh-CN"/>
              </w:rPr>
              <w:t>等。</w:t>
            </w:r>
          </w:p>
          <w:p>
            <w:pPr>
              <w:keepNext w:val="0"/>
              <w:keepLines w:val="0"/>
              <w:pageBreakBefore w:val="0"/>
              <w:widowControl w:val="0"/>
              <w:numPr>
                <w:ilvl w:val="-1"/>
                <w:numId w:val="0"/>
              </w:numPr>
              <w:kinsoku/>
              <w:wordWrap/>
              <w:overflowPunct/>
              <w:topLinePunct w:val="0"/>
              <w:autoSpaceDE/>
              <w:autoSpaceDN/>
              <w:bidi w:val="0"/>
              <w:adjustRightInd w:val="0"/>
              <w:snapToGrid w:val="0"/>
              <w:spacing w:line="360" w:lineRule="auto"/>
              <w:ind w:firstLine="0" w:firstLineChars="0"/>
              <w:textAlignment w:val="auto"/>
              <w:outlineLvl w:val="9"/>
              <w:rPr>
                <w:rFonts w:hint="default" w:ascii="Times New Roman" w:hAnsi="Times New Roman" w:cs="Times New Roman" w:eastAsiaTheme="majorEastAsia"/>
                <w:color w:val="auto"/>
                <w:kern w:val="0"/>
                <w:sz w:val="21"/>
                <w:szCs w:val="21"/>
                <w:highlight w:val="none"/>
                <w:lang w:val="en-US" w:eastAsia="zh-CN"/>
              </w:rPr>
            </w:pPr>
            <w:r>
              <w:rPr>
                <w:rFonts w:hint="eastAsia" w:ascii="Times New Roman" w:hAnsi="Times New Roman" w:cs="Times New Roman" w:eastAsiaTheme="majorEastAsia"/>
                <w:color w:val="auto"/>
                <w:kern w:val="0"/>
                <w:sz w:val="21"/>
                <w:szCs w:val="21"/>
                <w:highlight w:val="none"/>
                <w:lang w:val="en-US" w:eastAsia="zh-CN"/>
              </w:rPr>
              <w:t>2、提供</w:t>
            </w:r>
            <w:r>
              <w:rPr>
                <w:rFonts w:hint="default" w:ascii="Times New Roman" w:hAnsi="Times New Roman" w:cs="Times New Roman" w:eastAsiaTheme="majorEastAsia"/>
                <w:color w:val="auto"/>
                <w:kern w:val="0"/>
                <w:sz w:val="21"/>
                <w:szCs w:val="21"/>
                <w:highlight w:val="none"/>
                <w:lang w:val="en-US" w:eastAsia="zh-CN"/>
              </w:rPr>
              <w:t>6参数</w:t>
            </w:r>
            <w:r>
              <w:rPr>
                <w:rFonts w:hint="eastAsia" w:ascii="Times New Roman" w:hAnsi="Times New Roman" w:cs="Times New Roman" w:eastAsiaTheme="majorEastAsia"/>
                <w:color w:val="auto"/>
                <w:kern w:val="0"/>
                <w:sz w:val="21"/>
                <w:szCs w:val="21"/>
                <w:highlight w:val="none"/>
                <w:lang w:val="en-US" w:eastAsia="zh-CN"/>
              </w:rPr>
              <w:t>（</w:t>
            </w:r>
            <w:r>
              <w:rPr>
                <w:rFonts w:hint="default" w:ascii="Times New Roman" w:hAnsi="Times New Roman" w:cs="Times New Roman" w:eastAsiaTheme="majorEastAsia"/>
                <w:color w:val="auto"/>
                <w:kern w:val="0"/>
                <w:sz w:val="21"/>
                <w:szCs w:val="21"/>
                <w:highlight w:val="none"/>
                <w:lang w:val="en-US" w:eastAsia="zh-CN"/>
              </w:rPr>
              <w:t>SO</w:t>
            </w:r>
            <w:r>
              <w:rPr>
                <w:rFonts w:hint="default" w:ascii="Times New Roman" w:hAnsi="Times New Roman" w:cs="Times New Roman" w:eastAsiaTheme="majorEastAsia"/>
                <w:color w:val="auto"/>
                <w:kern w:val="0"/>
                <w:sz w:val="21"/>
                <w:szCs w:val="21"/>
                <w:highlight w:val="none"/>
                <w:vertAlign w:val="subscript"/>
                <w:lang w:val="en-US" w:eastAsia="zh-CN"/>
              </w:rPr>
              <w:t>2</w:t>
            </w:r>
            <w:r>
              <w:rPr>
                <w:rFonts w:hint="default" w:ascii="Times New Roman" w:hAnsi="Times New Roman" w:cs="Times New Roman" w:eastAsiaTheme="majorEastAsia"/>
                <w:color w:val="auto"/>
                <w:kern w:val="0"/>
                <w:sz w:val="21"/>
                <w:szCs w:val="21"/>
                <w:highlight w:val="none"/>
                <w:lang w:val="en-US" w:eastAsia="zh-CN"/>
              </w:rPr>
              <w:t>、NO</w:t>
            </w:r>
            <w:r>
              <w:rPr>
                <w:rFonts w:hint="default" w:ascii="Times New Roman" w:hAnsi="Times New Roman" w:cs="Times New Roman" w:eastAsiaTheme="majorEastAsia"/>
                <w:color w:val="auto"/>
                <w:kern w:val="0"/>
                <w:sz w:val="21"/>
                <w:szCs w:val="21"/>
                <w:highlight w:val="none"/>
                <w:vertAlign w:val="subscript"/>
                <w:lang w:val="en-US" w:eastAsia="zh-CN"/>
              </w:rPr>
              <w:t>2</w:t>
            </w:r>
            <w:r>
              <w:rPr>
                <w:rFonts w:hint="default" w:ascii="Times New Roman" w:hAnsi="Times New Roman" w:cs="Times New Roman" w:eastAsiaTheme="majorEastAsia"/>
                <w:color w:val="auto"/>
                <w:kern w:val="0"/>
                <w:sz w:val="21"/>
                <w:szCs w:val="21"/>
                <w:highlight w:val="none"/>
                <w:lang w:val="en-US" w:eastAsia="zh-CN"/>
              </w:rPr>
              <w:t>、PM</w:t>
            </w:r>
            <w:r>
              <w:rPr>
                <w:rFonts w:hint="default" w:ascii="Times New Roman" w:hAnsi="Times New Roman" w:cs="Times New Roman" w:eastAsiaTheme="majorEastAsia"/>
                <w:color w:val="auto"/>
                <w:kern w:val="0"/>
                <w:sz w:val="21"/>
                <w:szCs w:val="21"/>
                <w:highlight w:val="none"/>
                <w:vertAlign w:val="subscript"/>
                <w:lang w:val="en-US" w:eastAsia="zh-CN"/>
              </w:rPr>
              <w:t>10</w:t>
            </w:r>
            <w:r>
              <w:rPr>
                <w:rFonts w:hint="default" w:ascii="Times New Roman" w:hAnsi="Times New Roman" w:cs="Times New Roman" w:eastAsiaTheme="majorEastAsia"/>
                <w:color w:val="auto"/>
                <w:kern w:val="0"/>
                <w:sz w:val="21"/>
                <w:szCs w:val="21"/>
                <w:highlight w:val="none"/>
                <w:lang w:val="en-US" w:eastAsia="zh-CN"/>
              </w:rPr>
              <w:t>、CO、O</w:t>
            </w:r>
            <w:r>
              <w:rPr>
                <w:rFonts w:hint="default" w:ascii="Times New Roman" w:hAnsi="Times New Roman" w:cs="Times New Roman" w:eastAsiaTheme="majorEastAsia"/>
                <w:color w:val="auto"/>
                <w:kern w:val="0"/>
                <w:sz w:val="21"/>
                <w:szCs w:val="21"/>
                <w:highlight w:val="none"/>
                <w:vertAlign w:val="subscript"/>
                <w:lang w:val="en-US" w:eastAsia="zh-CN"/>
              </w:rPr>
              <w:t>3</w:t>
            </w:r>
            <w:r>
              <w:rPr>
                <w:rFonts w:hint="default" w:ascii="Times New Roman" w:hAnsi="Times New Roman" w:cs="Times New Roman" w:eastAsiaTheme="majorEastAsia"/>
                <w:color w:val="auto"/>
                <w:kern w:val="0"/>
                <w:sz w:val="21"/>
                <w:szCs w:val="21"/>
                <w:highlight w:val="none"/>
                <w:lang w:val="en-US" w:eastAsia="zh-CN"/>
              </w:rPr>
              <w:t>和PM</w:t>
            </w:r>
            <w:r>
              <w:rPr>
                <w:rFonts w:hint="default" w:ascii="Times New Roman" w:hAnsi="Times New Roman" w:cs="Times New Roman" w:eastAsiaTheme="majorEastAsia"/>
                <w:color w:val="auto"/>
                <w:kern w:val="0"/>
                <w:sz w:val="21"/>
                <w:szCs w:val="21"/>
                <w:highlight w:val="none"/>
                <w:vertAlign w:val="subscript"/>
                <w:lang w:val="en-US" w:eastAsia="zh-CN"/>
              </w:rPr>
              <w:t>2.5</w:t>
            </w:r>
            <w:r>
              <w:rPr>
                <w:rFonts w:hint="eastAsia" w:ascii="Times New Roman" w:hAnsi="Times New Roman" w:cs="Times New Roman" w:eastAsiaTheme="majorEastAsia"/>
                <w:color w:val="auto"/>
                <w:kern w:val="0"/>
                <w:sz w:val="21"/>
                <w:szCs w:val="21"/>
                <w:highlight w:val="none"/>
                <w:lang w:val="en-US" w:eastAsia="zh-CN"/>
              </w:rPr>
              <w:t>）</w:t>
            </w:r>
            <w:r>
              <w:rPr>
                <w:rFonts w:hint="default" w:ascii="Times New Roman" w:hAnsi="Times New Roman" w:cs="Times New Roman" w:eastAsiaTheme="majorEastAsia"/>
                <w:color w:val="auto"/>
                <w:kern w:val="0"/>
                <w:sz w:val="21"/>
                <w:szCs w:val="21"/>
                <w:highlight w:val="none"/>
                <w:lang w:val="en-US" w:eastAsia="zh-CN"/>
              </w:rPr>
              <w:t>监测设备</w:t>
            </w:r>
            <w:r>
              <w:rPr>
                <w:rFonts w:hint="eastAsia" w:ascii="Times New Roman" w:hAnsi="Times New Roman" w:cs="Times New Roman" w:eastAsiaTheme="majorEastAsia"/>
                <w:color w:val="auto"/>
                <w:kern w:val="0"/>
                <w:sz w:val="21"/>
                <w:szCs w:val="21"/>
                <w:highlight w:val="none"/>
                <w:lang w:val="en-US" w:eastAsia="zh-CN"/>
              </w:rPr>
              <w:t>及必要配件、</w:t>
            </w:r>
            <w:r>
              <w:rPr>
                <w:rFonts w:hint="default" w:ascii="Times New Roman" w:hAnsi="Times New Roman" w:cs="Times New Roman" w:eastAsiaTheme="majorEastAsia"/>
                <w:color w:val="auto"/>
                <w:kern w:val="0"/>
                <w:sz w:val="21"/>
                <w:szCs w:val="21"/>
                <w:highlight w:val="none"/>
                <w:lang w:val="en-US" w:eastAsia="zh-CN"/>
              </w:rPr>
              <w:t>备机安装调试、运维服务、设备拆装、仪器搬迁运输</w:t>
            </w:r>
            <w:r>
              <w:rPr>
                <w:rFonts w:hint="eastAsia" w:ascii="Times New Roman" w:hAnsi="Times New Roman" w:cs="Times New Roman" w:eastAsiaTheme="majorEastAsia"/>
                <w:color w:val="auto"/>
                <w:kern w:val="0"/>
                <w:sz w:val="21"/>
                <w:szCs w:val="21"/>
                <w:highlight w:val="none"/>
                <w:lang w:val="en-US" w:eastAsia="zh-CN"/>
              </w:rPr>
              <w:t>等。</w:t>
            </w:r>
          </w:p>
          <w:p>
            <w:pPr>
              <w:keepNext w:val="0"/>
              <w:keepLines w:val="0"/>
              <w:pageBreakBefore w:val="0"/>
              <w:widowControl w:val="0"/>
              <w:numPr>
                <w:ilvl w:val="-1"/>
                <w:numId w:val="0"/>
              </w:numPr>
              <w:kinsoku/>
              <w:wordWrap/>
              <w:overflowPunct/>
              <w:topLinePunct w:val="0"/>
              <w:autoSpaceDE/>
              <w:autoSpaceDN/>
              <w:bidi w:val="0"/>
              <w:adjustRightInd w:val="0"/>
              <w:snapToGrid w:val="0"/>
              <w:spacing w:line="360" w:lineRule="auto"/>
              <w:ind w:firstLine="0" w:firstLineChars="0"/>
              <w:textAlignment w:val="auto"/>
              <w:outlineLvl w:val="9"/>
              <w:rPr>
                <w:rFonts w:hint="default" w:ascii="Times New Roman" w:hAnsi="Times New Roman" w:cs="Times New Roman" w:eastAsiaTheme="majorEastAsia"/>
                <w:color w:val="auto"/>
                <w:kern w:val="0"/>
                <w:sz w:val="21"/>
                <w:szCs w:val="21"/>
                <w:highlight w:val="none"/>
                <w:lang w:val="en-US" w:eastAsia="zh-CN"/>
              </w:rPr>
            </w:pPr>
            <w:r>
              <w:rPr>
                <w:rFonts w:hint="eastAsia" w:ascii="Times New Roman" w:hAnsi="Times New Roman" w:cs="Times New Roman" w:eastAsiaTheme="majorEastAsia"/>
                <w:color w:val="auto"/>
                <w:kern w:val="0"/>
                <w:sz w:val="21"/>
                <w:szCs w:val="21"/>
                <w:highlight w:val="none"/>
                <w:lang w:val="en-US" w:eastAsia="zh-CN"/>
              </w:rPr>
              <w:t>3、</w:t>
            </w:r>
            <w:r>
              <w:rPr>
                <w:rFonts w:hint="default" w:ascii="Times New Roman" w:hAnsi="Times New Roman" w:cs="Times New Roman" w:eastAsiaTheme="majorEastAsia"/>
                <w:color w:val="auto"/>
                <w:kern w:val="0"/>
                <w:sz w:val="21"/>
                <w:szCs w:val="21"/>
                <w:highlight w:val="none"/>
                <w:lang w:val="en-US" w:eastAsia="zh-CN"/>
              </w:rPr>
              <w:t>对原点位和拟变更后点位同时进行现场比对监测，监测项目包括：SO</w:t>
            </w:r>
            <w:r>
              <w:rPr>
                <w:rFonts w:hint="default" w:ascii="Times New Roman" w:hAnsi="Times New Roman" w:cs="Times New Roman" w:eastAsiaTheme="majorEastAsia"/>
                <w:color w:val="auto"/>
                <w:kern w:val="0"/>
                <w:sz w:val="21"/>
                <w:szCs w:val="21"/>
                <w:highlight w:val="none"/>
                <w:vertAlign w:val="subscript"/>
                <w:lang w:val="en-US" w:eastAsia="zh-CN"/>
              </w:rPr>
              <w:t>2</w:t>
            </w:r>
            <w:r>
              <w:rPr>
                <w:rFonts w:hint="default" w:ascii="Times New Roman" w:hAnsi="Times New Roman" w:cs="Times New Roman" w:eastAsiaTheme="majorEastAsia"/>
                <w:color w:val="auto"/>
                <w:kern w:val="0"/>
                <w:sz w:val="21"/>
                <w:szCs w:val="21"/>
                <w:highlight w:val="none"/>
                <w:lang w:val="en-US" w:eastAsia="zh-CN"/>
              </w:rPr>
              <w:t>、NO</w:t>
            </w:r>
            <w:r>
              <w:rPr>
                <w:rFonts w:hint="default" w:ascii="Times New Roman" w:hAnsi="Times New Roman" w:cs="Times New Roman" w:eastAsiaTheme="majorEastAsia"/>
                <w:color w:val="auto"/>
                <w:kern w:val="0"/>
                <w:sz w:val="21"/>
                <w:szCs w:val="21"/>
                <w:highlight w:val="none"/>
                <w:vertAlign w:val="subscript"/>
                <w:lang w:val="en-US" w:eastAsia="zh-CN"/>
              </w:rPr>
              <w:t>2</w:t>
            </w:r>
            <w:r>
              <w:rPr>
                <w:rFonts w:hint="default" w:ascii="Times New Roman" w:hAnsi="Times New Roman" w:cs="Times New Roman" w:eastAsiaTheme="majorEastAsia"/>
                <w:color w:val="auto"/>
                <w:kern w:val="0"/>
                <w:sz w:val="21"/>
                <w:szCs w:val="21"/>
                <w:highlight w:val="none"/>
                <w:lang w:val="en-US" w:eastAsia="zh-CN"/>
              </w:rPr>
              <w:t>、PM</w:t>
            </w:r>
            <w:r>
              <w:rPr>
                <w:rFonts w:hint="default" w:ascii="Times New Roman" w:hAnsi="Times New Roman" w:cs="Times New Roman" w:eastAsiaTheme="majorEastAsia"/>
                <w:color w:val="auto"/>
                <w:kern w:val="0"/>
                <w:sz w:val="21"/>
                <w:szCs w:val="21"/>
                <w:highlight w:val="none"/>
                <w:vertAlign w:val="subscript"/>
                <w:lang w:val="en-US" w:eastAsia="zh-CN"/>
              </w:rPr>
              <w:t>10</w:t>
            </w:r>
            <w:r>
              <w:rPr>
                <w:rFonts w:hint="default" w:ascii="Times New Roman" w:hAnsi="Times New Roman" w:cs="Times New Roman" w:eastAsiaTheme="majorEastAsia"/>
                <w:color w:val="auto"/>
                <w:kern w:val="0"/>
                <w:sz w:val="21"/>
                <w:szCs w:val="21"/>
                <w:highlight w:val="none"/>
                <w:lang w:val="en-US" w:eastAsia="zh-CN"/>
              </w:rPr>
              <w:t>、CO、O</w:t>
            </w:r>
            <w:r>
              <w:rPr>
                <w:rFonts w:hint="default" w:ascii="Times New Roman" w:hAnsi="Times New Roman" w:cs="Times New Roman" w:eastAsiaTheme="majorEastAsia"/>
                <w:color w:val="auto"/>
                <w:kern w:val="0"/>
                <w:sz w:val="21"/>
                <w:szCs w:val="21"/>
                <w:highlight w:val="none"/>
                <w:vertAlign w:val="subscript"/>
                <w:lang w:val="en-US" w:eastAsia="zh-CN"/>
              </w:rPr>
              <w:t>3</w:t>
            </w:r>
            <w:r>
              <w:rPr>
                <w:rFonts w:hint="default" w:ascii="Times New Roman" w:hAnsi="Times New Roman" w:cs="Times New Roman" w:eastAsiaTheme="majorEastAsia"/>
                <w:color w:val="auto"/>
                <w:kern w:val="0"/>
                <w:sz w:val="21"/>
                <w:szCs w:val="21"/>
                <w:highlight w:val="none"/>
                <w:lang w:val="en-US" w:eastAsia="zh-CN"/>
              </w:rPr>
              <w:t>和PM</w:t>
            </w:r>
            <w:r>
              <w:rPr>
                <w:rFonts w:hint="default" w:ascii="Times New Roman" w:hAnsi="Times New Roman" w:cs="Times New Roman" w:eastAsiaTheme="majorEastAsia"/>
                <w:color w:val="auto"/>
                <w:kern w:val="0"/>
                <w:sz w:val="21"/>
                <w:szCs w:val="21"/>
                <w:highlight w:val="none"/>
                <w:vertAlign w:val="subscript"/>
                <w:lang w:val="en-US" w:eastAsia="zh-CN"/>
              </w:rPr>
              <w:t>2.5</w:t>
            </w:r>
            <w:r>
              <w:rPr>
                <w:rFonts w:hint="default" w:ascii="Times New Roman" w:hAnsi="Times New Roman" w:cs="Times New Roman" w:eastAsiaTheme="majorEastAsia"/>
                <w:color w:val="auto"/>
                <w:kern w:val="0"/>
                <w:sz w:val="21"/>
                <w:szCs w:val="21"/>
                <w:highlight w:val="none"/>
                <w:lang w:val="en-US" w:eastAsia="zh-CN"/>
              </w:rPr>
              <w:t>。</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0" w:firstLineChars="0"/>
              <w:textAlignment w:val="auto"/>
              <w:outlineLvl w:val="9"/>
              <w:rPr>
                <w:rFonts w:hint="default" w:ascii="Times New Roman" w:hAnsi="Times New Roman" w:cs="Times New Roman" w:eastAsiaTheme="majorEastAsia"/>
                <w:color w:val="auto"/>
                <w:kern w:val="0"/>
                <w:sz w:val="21"/>
                <w:szCs w:val="21"/>
                <w:highlight w:val="none"/>
                <w:lang w:val="en-US" w:eastAsia="zh-CN"/>
              </w:rPr>
            </w:pPr>
            <w:r>
              <w:rPr>
                <w:rFonts w:hint="eastAsia" w:ascii="Times New Roman" w:hAnsi="Times New Roman" w:cs="Times New Roman" w:eastAsiaTheme="majorEastAsia"/>
                <w:color w:val="auto"/>
                <w:kern w:val="0"/>
                <w:sz w:val="21"/>
                <w:szCs w:val="21"/>
                <w:highlight w:val="none"/>
                <w:lang w:val="en-US" w:eastAsia="zh-CN"/>
              </w:rPr>
              <w:t>4</w:t>
            </w:r>
            <w:r>
              <w:rPr>
                <w:rFonts w:hint="default" w:ascii="Times New Roman" w:hAnsi="Times New Roman" w:cs="Times New Roman" w:eastAsiaTheme="majorEastAsia"/>
                <w:color w:val="auto"/>
                <w:kern w:val="0"/>
                <w:sz w:val="21"/>
                <w:szCs w:val="21"/>
                <w:highlight w:val="none"/>
                <w:lang w:val="en-US" w:eastAsia="zh-CN"/>
              </w:rPr>
              <w:t>、比对监测方法和要求需要满足《“十五五”国家城市环境空气质量监测点位优化调整工作方案》《环境空气质量监测点位布设技术规范（试行）》（HJ664-20</w:t>
            </w:r>
            <w:r>
              <w:rPr>
                <w:rFonts w:hint="eastAsia" w:ascii="Times New Roman" w:hAnsi="Times New Roman" w:cs="Times New Roman" w:eastAsiaTheme="majorEastAsia"/>
                <w:color w:val="auto"/>
                <w:kern w:val="0"/>
                <w:sz w:val="21"/>
                <w:szCs w:val="21"/>
                <w:highlight w:val="none"/>
                <w:lang w:val="en-US" w:eastAsia="zh-CN"/>
              </w:rPr>
              <w:t>13</w:t>
            </w:r>
            <w:r>
              <w:rPr>
                <w:rFonts w:hint="default" w:ascii="Times New Roman" w:hAnsi="Times New Roman" w:cs="Times New Roman" w:eastAsiaTheme="majorEastAsia"/>
                <w:color w:val="auto"/>
                <w:kern w:val="0"/>
                <w:sz w:val="21"/>
                <w:szCs w:val="21"/>
                <w:highlight w:val="none"/>
                <w:lang w:val="en-US" w:eastAsia="zh-CN"/>
              </w:rPr>
              <w:t>）、《环境质量监测点位管理办法》（环办〔2011〕107号）等文件要求。</w:t>
            </w:r>
          </w:p>
          <w:p>
            <w:pPr>
              <w:pStyle w:val="10"/>
              <w:keepNext w:val="0"/>
              <w:keepLines w:val="0"/>
              <w:pageBreakBefore w:val="0"/>
              <w:widowControl w:val="0"/>
              <w:numPr>
                <w:ilvl w:val="0"/>
                <w:numId w:val="0"/>
              </w:numPr>
              <w:kinsoku/>
              <w:wordWrap/>
              <w:overflowPunct/>
              <w:topLinePunct w:val="0"/>
              <w:bidi w:val="0"/>
              <w:snapToGrid w:val="0"/>
              <w:spacing w:line="360" w:lineRule="auto"/>
              <w:ind w:left="0" w:leftChars="0" w:firstLine="0" w:firstLineChars="0"/>
              <w:rPr>
                <w:rFonts w:hint="default" w:ascii="Times New Roman" w:hAnsi="Times New Roman" w:cs="Times New Roman" w:eastAsiaTheme="majorEastAsia"/>
                <w:b/>
                <w:bCs/>
                <w:color w:val="auto"/>
                <w:kern w:val="2"/>
                <w:sz w:val="21"/>
                <w:szCs w:val="21"/>
                <w:highlight w:val="none"/>
                <w:lang w:val="en-US" w:eastAsia="zh-CN" w:bidi="ar-SA"/>
              </w:rPr>
            </w:pPr>
            <w:r>
              <w:rPr>
                <w:rFonts w:hint="eastAsia" w:ascii="Times New Roman" w:hAnsi="Times New Roman" w:cs="Times New Roman" w:eastAsiaTheme="majorEastAsia"/>
                <w:color w:val="auto"/>
                <w:kern w:val="0"/>
                <w:sz w:val="21"/>
                <w:szCs w:val="21"/>
                <w:highlight w:val="none"/>
                <w:lang w:val="en-US" w:eastAsia="zh-CN"/>
              </w:rPr>
              <w:t>5</w:t>
            </w:r>
            <w:r>
              <w:rPr>
                <w:rFonts w:hint="default" w:ascii="Times New Roman" w:hAnsi="Times New Roman" w:cs="Times New Roman" w:eastAsiaTheme="majorEastAsia"/>
                <w:color w:val="auto"/>
                <w:kern w:val="0"/>
                <w:sz w:val="21"/>
                <w:szCs w:val="21"/>
                <w:highlight w:val="none"/>
                <w:lang w:val="en-US" w:eastAsia="zh-CN"/>
              </w:rPr>
              <w:t>、服务报价</w:t>
            </w:r>
            <w:r>
              <w:rPr>
                <w:rFonts w:hint="eastAsia" w:ascii="Times New Roman" w:hAnsi="Times New Roman" w:cs="Times New Roman" w:eastAsiaTheme="majorEastAsia"/>
                <w:color w:val="auto"/>
                <w:kern w:val="0"/>
                <w:sz w:val="21"/>
                <w:szCs w:val="21"/>
                <w:highlight w:val="none"/>
                <w:lang w:val="en-US" w:eastAsia="zh-CN"/>
              </w:rPr>
              <w:t>需</w:t>
            </w:r>
            <w:r>
              <w:rPr>
                <w:rFonts w:hint="default" w:ascii="Times New Roman" w:hAnsi="Times New Roman" w:cs="Times New Roman" w:eastAsiaTheme="majorEastAsia"/>
                <w:color w:val="auto"/>
                <w:kern w:val="0"/>
                <w:sz w:val="21"/>
                <w:szCs w:val="21"/>
                <w:highlight w:val="none"/>
                <w:lang w:val="en-US" w:eastAsia="zh-CN"/>
              </w:rPr>
              <w:t>包括劳务费、技术服务费、前期调查</w:t>
            </w:r>
            <w:r>
              <w:rPr>
                <w:rFonts w:hint="eastAsia" w:ascii="Times New Roman" w:hAnsi="Times New Roman" w:cs="Times New Roman" w:eastAsiaTheme="majorEastAsia"/>
                <w:color w:val="auto"/>
                <w:kern w:val="0"/>
                <w:sz w:val="21"/>
                <w:szCs w:val="21"/>
                <w:highlight w:val="none"/>
                <w:lang w:val="en-US" w:eastAsia="zh-CN"/>
              </w:rPr>
              <w:t>、站房搭建、</w:t>
            </w:r>
            <w:r>
              <w:rPr>
                <w:rFonts w:hint="default" w:ascii="Times New Roman" w:hAnsi="Times New Roman" w:cs="Times New Roman" w:eastAsiaTheme="majorEastAsia"/>
                <w:color w:val="auto"/>
                <w:kern w:val="0"/>
                <w:sz w:val="21"/>
                <w:szCs w:val="21"/>
                <w:highlight w:val="none"/>
                <w:lang w:val="en-US" w:eastAsia="zh-CN"/>
              </w:rPr>
              <w:t>设备</w:t>
            </w:r>
            <w:r>
              <w:rPr>
                <w:rFonts w:hint="eastAsia" w:ascii="Times New Roman" w:hAnsi="Times New Roman" w:cs="Times New Roman" w:eastAsiaTheme="majorEastAsia"/>
                <w:color w:val="auto"/>
                <w:kern w:val="0"/>
                <w:sz w:val="21"/>
                <w:szCs w:val="21"/>
                <w:highlight w:val="none"/>
                <w:lang w:val="en-US" w:eastAsia="zh-CN"/>
              </w:rPr>
              <w:t>租赁</w:t>
            </w:r>
            <w:r>
              <w:rPr>
                <w:rFonts w:hint="default" w:ascii="Times New Roman" w:hAnsi="Times New Roman" w:cs="Times New Roman" w:eastAsiaTheme="majorEastAsia"/>
                <w:color w:val="auto"/>
                <w:kern w:val="0"/>
                <w:sz w:val="21"/>
                <w:szCs w:val="21"/>
                <w:highlight w:val="none"/>
                <w:lang w:val="en-US" w:eastAsia="zh-CN"/>
              </w:rPr>
              <w:t>、交通、通讯、税费和利润等所有费用和政策性文件规定及合同包含的所有风险。</w:t>
            </w:r>
            <w:bookmarkEnd w:id="0"/>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8720" w:type="dxa"/>
            <w:gridSpan w:val="3"/>
            <w:vAlign w:val="center"/>
          </w:tcPr>
          <w:p>
            <w:pPr>
              <w:spacing w:line="360" w:lineRule="auto"/>
              <w:rPr>
                <w:rFonts w:hint="default" w:ascii="Times New Roman" w:hAnsi="Times New Roman" w:eastAsia="宋体" w:cs="Times New Roman"/>
                <w:b/>
                <w:color w:val="auto"/>
                <w:sz w:val="21"/>
                <w:szCs w:val="21"/>
                <w:highlight w:val="none"/>
              </w:rPr>
            </w:pPr>
            <w:r>
              <w:rPr>
                <w:rFonts w:hint="default" w:ascii="Times New Roman" w:hAnsi="Times New Roman" w:eastAsia="宋体" w:cs="Times New Roman"/>
                <w:b/>
                <w:bCs/>
                <w:color w:val="auto"/>
                <w:sz w:val="21"/>
                <w:szCs w:val="21"/>
                <w:highlight w:val="none"/>
              </w:rPr>
              <w:t>二、商务要求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8720" w:type="dxa"/>
            <w:gridSpan w:val="3"/>
            <w:vAlign w:val="center"/>
          </w:tcPr>
          <w:p>
            <w:pPr>
              <w:numPr>
                <w:ilvl w:val="0"/>
                <w:numId w:val="0"/>
              </w:numPr>
              <w:spacing w:line="240" w:lineRule="auto"/>
              <w:ind w:firstLine="422" w:firstLineChars="200"/>
              <w:rPr>
                <w:rFonts w:hint="default" w:ascii="Times New Roman" w:hAnsi="Times New Roman" w:eastAsia="宋体" w:cs="Times New Roman"/>
                <w:b/>
                <w:color w:val="auto"/>
                <w:szCs w:val="21"/>
                <w:highlight w:val="none"/>
              </w:rPr>
            </w:pPr>
            <w:r>
              <w:rPr>
                <w:rFonts w:hint="default" w:ascii="Times New Roman" w:hAnsi="Times New Roman" w:eastAsia="宋体" w:cs="Times New Roman"/>
                <w:b/>
                <w:color w:val="auto"/>
                <w:szCs w:val="21"/>
                <w:highlight w:val="none"/>
              </w:rPr>
              <w:t>1、报价要求</w:t>
            </w:r>
          </w:p>
          <w:p>
            <w:pPr>
              <w:numPr>
                <w:ilvl w:val="0"/>
                <w:numId w:val="0"/>
              </w:numPr>
              <w:spacing w:line="240" w:lineRule="auto"/>
              <w:ind w:firstLine="420" w:firstLineChars="200"/>
              <w:rPr>
                <w:rFonts w:hint="default" w:ascii="Times New Roman" w:hAnsi="Times New Roman" w:eastAsia="宋体" w:cs="Times New Roman"/>
                <w:b/>
                <w:color w:val="auto"/>
                <w:szCs w:val="21"/>
                <w:highlight w:val="none"/>
              </w:rPr>
            </w:pPr>
            <w:r>
              <w:rPr>
                <w:rFonts w:hint="default" w:ascii="Times New Roman" w:hAnsi="Times New Roman" w:eastAsia="宋体" w:cs="Times New Roman"/>
                <w:b w:val="0"/>
                <w:bCs/>
                <w:color w:val="auto"/>
                <w:szCs w:val="21"/>
                <w:highlight w:val="none"/>
              </w:rPr>
              <w:t>项目预算</w:t>
            </w:r>
            <w:r>
              <w:rPr>
                <w:rFonts w:hint="default" w:ascii="Times New Roman" w:hAnsi="Times New Roman" w:eastAsia="宋体" w:cs="Times New Roman"/>
                <w:b w:val="0"/>
                <w:bCs/>
                <w:color w:val="auto"/>
                <w:szCs w:val="21"/>
                <w:highlight w:val="none"/>
                <w:lang w:eastAsia="zh-CN"/>
              </w:rPr>
              <w:t>为</w:t>
            </w:r>
            <w:r>
              <w:rPr>
                <w:rFonts w:hint="default" w:ascii="Times New Roman" w:hAnsi="Times New Roman" w:eastAsia="宋体" w:cs="Times New Roman"/>
                <w:b w:val="0"/>
                <w:bCs/>
                <w:color w:val="auto"/>
                <w:szCs w:val="21"/>
                <w:highlight w:val="none"/>
              </w:rPr>
              <w:t>人民币</w:t>
            </w:r>
            <w:r>
              <w:rPr>
                <w:rFonts w:hint="default" w:ascii="Times New Roman" w:hAnsi="Times New Roman" w:cs="Times New Roman"/>
                <w:bCs/>
                <w:color w:val="auto"/>
                <w:szCs w:val="21"/>
                <w:highlight w:val="none"/>
                <w:lang w:val="en-US" w:eastAsia="zh-CN"/>
              </w:rPr>
              <w:t>柒</w:t>
            </w:r>
            <w:r>
              <w:rPr>
                <w:rFonts w:hint="default" w:ascii="Times New Roman" w:hAnsi="Times New Roman" w:eastAsia="宋体" w:cs="Times New Roman"/>
                <w:bCs/>
                <w:color w:val="auto"/>
                <w:szCs w:val="21"/>
                <w:highlight w:val="none"/>
              </w:rPr>
              <w:t>万元</w:t>
            </w:r>
            <w:r>
              <w:rPr>
                <w:rFonts w:hint="default" w:ascii="Times New Roman" w:hAnsi="Times New Roman" w:cs="Times New Roman"/>
                <w:bCs/>
                <w:color w:val="auto"/>
                <w:szCs w:val="21"/>
                <w:highlight w:val="none"/>
                <w:lang w:val="en-US" w:eastAsia="zh-CN"/>
              </w:rPr>
              <w:t>整</w:t>
            </w:r>
            <w:r>
              <w:rPr>
                <w:rFonts w:hint="default" w:ascii="Times New Roman" w:hAnsi="Times New Roman" w:eastAsia="宋体" w:cs="Times New Roman"/>
                <w:bCs/>
                <w:color w:val="auto"/>
                <w:szCs w:val="21"/>
                <w:highlight w:val="none"/>
              </w:rPr>
              <w:t xml:space="preserve">（¥ </w:t>
            </w:r>
            <w:r>
              <w:rPr>
                <w:rFonts w:hint="default" w:ascii="Times New Roman" w:hAnsi="Times New Roman" w:cs="Times New Roman"/>
                <w:bCs/>
                <w:color w:val="auto"/>
                <w:szCs w:val="21"/>
                <w:highlight w:val="none"/>
                <w:lang w:val="en-US" w:eastAsia="zh-CN"/>
              </w:rPr>
              <w:t>70,000</w:t>
            </w:r>
            <w:r>
              <w:rPr>
                <w:rFonts w:hint="default" w:ascii="Times New Roman" w:hAnsi="Times New Roman" w:eastAsia="宋体" w:cs="Times New Roman"/>
                <w:bCs/>
                <w:color w:val="auto"/>
                <w:szCs w:val="21"/>
                <w:highlight w:val="none"/>
              </w:rPr>
              <w:t>.</w:t>
            </w:r>
            <w:r>
              <w:rPr>
                <w:rFonts w:hint="default" w:ascii="Times New Roman" w:hAnsi="Times New Roman" w:cs="Times New Roman"/>
                <w:bCs/>
                <w:color w:val="auto"/>
                <w:szCs w:val="21"/>
                <w:highlight w:val="none"/>
                <w:lang w:val="en-US" w:eastAsia="zh-CN"/>
              </w:rPr>
              <w:t>00</w:t>
            </w:r>
            <w:r>
              <w:rPr>
                <w:rFonts w:hint="default" w:ascii="Times New Roman" w:hAnsi="Times New Roman" w:eastAsia="宋体" w:cs="Times New Roman"/>
                <w:bCs/>
                <w:color w:val="auto"/>
                <w:szCs w:val="21"/>
                <w:highlight w:val="none"/>
              </w:rPr>
              <w:t>）</w:t>
            </w:r>
            <w:r>
              <w:rPr>
                <w:rFonts w:hint="default" w:ascii="Times New Roman" w:hAnsi="Times New Roman" w:eastAsia="宋体" w:cs="Times New Roman"/>
                <w:b w:val="0"/>
                <w:bCs/>
                <w:color w:val="auto"/>
                <w:szCs w:val="21"/>
                <w:highlight w:val="none"/>
              </w:rPr>
              <w:t>。包括：与本项目有关的其他一切费用。采购人不再支付成交价格以外的任何费用。</w:t>
            </w:r>
          </w:p>
          <w:p>
            <w:pPr>
              <w:numPr>
                <w:ilvl w:val="0"/>
                <w:numId w:val="0"/>
              </w:numPr>
              <w:spacing w:line="240" w:lineRule="auto"/>
              <w:ind w:firstLine="422" w:firstLineChars="200"/>
              <w:rPr>
                <w:rFonts w:hint="default" w:ascii="Times New Roman" w:hAnsi="Times New Roman" w:eastAsia="宋体" w:cs="Times New Roman"/>
                <w:b/>
                <w:color w:val="auto"/>
                <w:szCs w:val="21"/>
                <w:highlight w:val="none"/>
              </w:rPr>
            </w:pPr>
            <w:r>
              <w:rPr>
                <w:rFonts w:hint="default" w:ascii="Times New Roman" w:hAnsi="Times New Roman" w:eastAsia="宋体" w:cs="Times New Roman"/>
                <w:b/>
                <w:color w:val="auto"/>
                <w:szCs w:val="21"/>
                <w:highlight w:val="none"/>
              </w:rPr>
              <w:t>2、项目服务时间及服务地点</w:t>
            </w:r>
          </w:p>
          <w:p>
            <w:pPr>
              <w:numPr>
                <w:ilvl w:val="0"/>
                <w:numId w:val="0"/>
              </w:numPr>
              <w:spacing w:line="240" w:lineRule="auto"/>
              <w:ind w:firstLine="420" w:firstLineChars="200"/>
              <w:rPr>
                <w:rFonts w:hint="default" w:ascii="Times New Roman" w:hAnsi="Times New Roman" w:eastAsia="宋体" w:cs="Times New Roman"/>
                <w:b w:val="0"/>
                <w:bCs/>
                <w:color w:val="auto"/>
                <w:szCs w:val="21"/>
                <w:highlight w:val="none"/>
              </w:rPr>
            </w:pPr>
            <w:r>
              <w:rPr>
                <w:rFonts w:hint="default" w:ascii="Times New Roman" w:hAnsi="Times New Roman" w:eastAsia="宋体" w:cs="Times New Roman"/>
                <w:b w:val="0"/>
                <w:bCs/>
                <w:color w:val="auto"/>
                <w:szCs w:val="21"/>
                <w:highlight w:val="none"/>
              </w:rPr>
              <w:t>（1）服务期限：签订合同之后1个月内完成，如若</w:t>
            </w:r>
            <w:r>
              <w:rPr>
                <w:rFonts w:hint="default" w:ascii="Times New Roman" w:hAnsi="Times New Roman" w:cs="Times New Roman"/>
                <w:b w:val="0"/>
                <w:bCs/>
                <w:color w:val="auto"/>
                <w:szCs w:val="21"/>
                <w:highlight w:val="none"/>
                <w:lang w:val="en-US" w:eastAsia="zh-CN"/>
              </w:rPr>
              <w:t>监测数据不满足</w:t>
            </w:r>
            <w:r>
              <w:rPr>
                <w:rFonts w:hint="default" w:ascii="Times New Roman" w:hAnsi="Times New Roman" w:cs="Times New Roman"/>
                <w:bCs/>
                <w:color w:val="auto"/>
                <w:szCs w:val="21"/>
                <w:highlight w:val="none"/>
              </w:rPr>
              <w:t>《环境空气颗粒物（PM</w:t>
            </w:r>
            <w:r>
              <w:rPr>
                <w:rFonts w:hint="default" w:ascii="Times New Roman" w:hAnsi="Times New Roman" w:cs="Times New Roman"/>
                <w:bCs/>
                <w:color w:val="auto"/>
                <w:szCs w:val="21"/>
                <w:highlight w:val="none"/>
                <w:vertAlign w:val="subscript"/>
              </w:rPr>
              <w:t>10</w:t>
            </w:r>
            <w:r>
              <w:rPr>
                <w:rFonts w:hint="default" w:ascii="Times New Roman" w:hAnsi="Times New Roman" w:cs="Times New Roman"/>
                <w:bCs/>
                <w:color w:val="auto"/>
                <w:szCs w:val="21"/>
                <w:highlight w:val="none"/>
              </w:rPr>
              <w:t>和PM</w:t>
            </w:r>
            <w:r>
              <w:rPr>
                <w:rFonts w:hint="default" w:ascii="Times New Roman" w:hAnsi="Times New Roman" w:cs="Times New Roman"/>
                <w:bCs/>
                <w:color w:val="auto"/>
                <w:szCs w:val="21"/>
                <w:highlight w:val="none"/>
                <w:vertAlign w:val="subscript"/>
              </w:rPr>
              <w:t>2.5</w:t>
            </w:r>
            <w:r>
              <w:rPr>
                <w:rFonts w:hint="default" w:ascii="Times New Roman" w:hAnsi="Times New Roman" w:cs="Times New Roman"/>
                <w:bCs/>
                <w:color w:val="auto"/>
                <w:szCs w:val="21"/>
                <w:highlight w:val="none"/>
              </w:rPr>
              <w:t>）连续自动监测系统技术要求及检测方法》（HJ653－2021）</w:t>
            </w:r>
            <w:r>
              <w:rPr>
                <w:rFonts w:ascii="Times New Roman" w:hAnsi="Times New Roman" w:cs="Times New Roman"/>
                <w:color w:val="auto"/>
              </w:rPr>
              <w:t>《环境空气气态污染物（SO</w:t>
            </w:r>
            <w:r>
              <w:rPr>
                <w:rFonts w:ascii="Times New Roman" w:hAnsi="Times New Roman" w:cs="Times New Roman"/>
                <w:color w:val="auto"/>
                <w:vertAlign w:val="subscript"/>
              </w:rPr>
              <w:t>2</w:t>
            </w:r>
            <w:r>
              <w:rPr>
                <w:rFonts w:ascii="Times New Roman" w:hAnsi="Times New Roman" w:cs="Times New Roman"/>
                <w:color w:val="auto"/>
              </w:rPr>
              <w:t>、NO</w:t>
            </w:r>
            <w:r>
              <w:rPr>
                <w:rFonts w:ascii="Times New Roman" w:hAnsi="Times New Roman" w:cs="Times New Roman"/>
                <w:color w:val="auto"/>
                <w:vertAlign w:val="subscript"/>
              </w:rPr>
              <w:t>2</w:t>
            </w:r>
            <w:r>
              <w:rPr>
                <w:rFonts w:ascii="Times New Roman" w:hAnsi="Times New Roman" w:cs="Times New Roman"/>
                <w:color w:val="auto"/>
              </w:rPr>
              <w:t>、O</w:t>
            </w:r>
            <w:r>
              <w:rPr>
                <w:rFonts w:ascii="Times New Roman" w:hAnsi="Times New Roman" w:cs="Times New Roman"/>
                <w:color w:val="auto"/>
                <w:vertAlign w:val="subscript"/>
              </w:rPr>
              <w:t>3</w:t>
            </w:r>
            <w:r>
              <w:rPr>
                <w:rFonts w:ascii="Times New Roman" w:hAnsi="Times New Roman" w:cs="Times New Roman"/>
                <w:color w:val="auto"/>
              </w:rPr>
              <w:t>、CO）连续自动监测系统技术</w:t>
            </w:r>
            <w:r>
              <w:rPr>
                <w:rFonts w:hint="default" w:ascii="Times New Roman" w:hAnsi="Times New Roman" w:cs="Times New Roman"/>
                <w:color w:val="auto"/>
                <w:lang w:val="en-US" w:eastAsia="zh-CN"/>
              </w:rPr>
              <w:t>要求及检测方法</w:t>
            </w:r>
            <w:r>
              <w:rPr>
                <w:rFonts w:ascii="Times New Roman" w:hAnsi="Times New Roman" w:cs="Times New Roman"/>
                <w:color w:val="auto"/>
              </w:rPr>
              <w:t xml:space="preserve">》（HJ </w:t>
            </w:r>
            <w:r>
              <w:rPr>
                <w:rFonts w:hint="default" w:ascii="Times New Roman" w:hAnsi="Times New Roman" w:cs="Times New Roman"/>
                <w:color w:val="auto"/>
                <w:lang w:val="en-US" w:eastAsia="zh-CN"/>
              </w:rPr>
              <w:t>654</w:t>
            </w:r>
            <w:r>
              <w:rPr>
                <w:rFonts w:ascii="Times New Roman" w:hAnsi="Times New Roman" w:cs="Times New Roman"/>
                <w:color w:val="auto"/>
              </w:rPr>
              <w:t>－2013）</w:t>
            </w:r>
            <w:r>
              <w:rPr>
                <w:rFonts w:hint="default" w:ascii="Times New Roman" w:hAnsi="Times New Roman" w:eastAsia="宋体" w:cs="Times New Roman"/>
                <w:b w:val="0"/>
                <w:bCs/>
                <w:color w:val="auto"/>
                <w:szCs w:val="21"/>
                <w:highlight w:val="none"/>
              </w:rPr>
              <w:t>连续监测</w:t>
            </w:r>
            <w:r>
              <w:rPr>
                <w:rFonts w:hint="default" w:ascii="Times New Roman" w:hAnsi="Times New Roman" w:cs="Times New Roman"/>
                <w:b w:val="0"/>
                <w:bCs/>
                <w:color w:val="auto"/>
                <w:szCs w:val="21"/>
                <w:highlight w:val="none"/>
                <w:lang w:val="en-US" w:eastAsia="zh-CN"/>
              </w:rPr>
              <w:t>要求</w:t>
            </w:r>
            <w:r>
              <w:rPr>
                <w:rFonts w:hint="default" w:ascii="Times New Roman" w:hAnsi="Times New Roman" w:eastAsia="宋体" w:cs="Times New Roman"/>
                <w:b w:val="0"/>
                <w:bCs/>
                <w:color w:val="auto"/>
                <w:szCs w:val="21"/>
                <w:highlight w:val="none"/>
              </w:rPr>
              <w:t>，可顺延直至满足至少连续</w:t>
            </w:r>
            <w:r>
              <w:rPr>
                <w:rFonts w:hint="default" w:ascii="Times New Roman" w:hAnsi="Times New Roman" w:cs="Times New Roman"/>
                <w:b w:val="0"/>
                <w:bCs/>
                <w:color w:val="auto"/>
                <w:szCs w:val="21"/>
                <w:highlight w:val="none"/>
                <w:lang w:val="en-US" w:eastAsia="zh-CN"/>
              </w:rPr>
              <w:t>20</w:t>
            </w:r>
            <w:r>
              <w:rPr>
                <w:rFonts w:hint="default" w:ascii="Times New Roman" w:hAnsi="Times New Roman" w:eastAsia="宋体" w:cs="Times New Roman"/>
                <w:b w:val="0"/>
                <w:bCs/>
                <w:color w:val="auto"/>
                <w:szCs w:val="21"/>
                <w:highlight w:val="none"/>
              </w:rPr>
              <w:t>天监测要求。</w:t>
            </w:r>
          </w:p>
          <w:p>
            <w:pPr>
              <w:numPr>
                <w:ilvl w:val="0"/>
                <w:numId w:val="0"/>
              </w:numPr>
              <w:spacing w:line="240" w:lineRule="auto"/>
              <w:ind w:firstLine="420" w:firstLineChars="200"/>
              <w:rPr>
                <w:rFonts w:hint="default" w:ascii="Times New Roman" w:hAnsi="Times New Roman" w:eastAsia="宋体" w:cs="Times New Roman"/>
                <w:b w:val="0"/>
                <w:bCs/>
                <w:color w:val="auto"/>
                <w:szCs w:val="21"/>
                <w:highlight w:val="none"/>
                <w:lang w:val="en-US" w:eastAsia="zh-CN"/>
              </w:rPr>
            </w:pPr>
            <w:r>
              <w:rPr>
                <w:rFonts w:hint="default" w:ascii="Times New Roman" w:hAnsi="Times New Roman" w:eastAsia="宋体" w:cs="Times New Roman"/>
                <w:b w:val="0"/>
                <w:bCs/>
                <w:color w:val="auto"/>
                <w:szCs w:val="21"/>
                <w:highlight w:val="none"/>
              </w:rPr>
              <w:t>（2）服务地点：</w:t>
            </w:r>
            <w:r>
              <w:rPr>
                <w:rFonts w:hint="default" w:ascii="Times New Roman" w:hAnsi="Times New Roman" w:cs="Times New Roman"/>
                <w:b w:val="0"/>
                <w:bCs/>
                <w:color w:val="auto"/>
                <w:szCs w:val="21"/>
                <w:highlight w:val="none"/>
                <w:lang w:val="en-US" w:eastAsia="zh-CN"/>
              </w:rPr>
              <w:t>广西梧州</w:t>
            </w:r>
            <w:r>
              <w:rPr>
                <w:rFonts w:hint="eastAsia" w:ascii="Times New Roman" w:hAnsi="Times New Roman" w:cs="Times New Roman"/>
                <w:b w:val="0"/>
                <w:bCs/>
                <w:color w:val="auto"/>
                <w:szCs w:val="21"/>
                <w:highlight w:val="none"/>
                <w:lang w:val="en-US" w:eastAsia="zh-CN"/>
              </w:rPr>
              <w:t>市苍梧县。</w:t>
            </w:r>
          </w:p>
          <w:p>
            <w:pPr>
              <w:numPr>
                <w:ilvl w:val="0"/>
                <w:numId w:val="0"/>
              </w:numPr>
              <w:spacing w:line="240" w:lineRule="auto"/>
              <w:ind w:firstLine="422" w:firstLineChars="200"/>
              <w:rPr>
                <w:rFonts w:hint="default" w:ascii="Times New Roman" w:hAnsi="Times New Roman" w:eastAsia="宋体" w:cs="Times New Roman"/>
                <w:b/>
                <w:color w:val="auto"/>
                <w:szCs w:val="21"/>
                <w:highlight w:val="none"/>
              </w:rPr>
            </w:pPr>
            <w:r>
              <w:rPr>
                <w:rFonts w:hint="eastAsia" w:ascii="Times New Roman" w:hAnsi="Times New Roman" w:cs="Times New Roman"/>
                <w:b/>
                <w:color w:val="auto"/>
                <w:szCs w:val="21"/>
                <w:highlight w:val="none"/>
                <w:lang w:val="en-US" w:eastAsia="zh-CN"/>
              </w:rPr>
              <w:t>3</w:t>
            </w:r>
            <w:r>
              <w:rPr>
                <w:rFonts w:hint="default" w:ascii="Times New Roman" w:hAnsi="Times New Roman" w:eastAsia="宋体" w:cs="Times New Roman"/>
                <w:b/>
                <w:color w:val="auto"/>
                <w:szCs w:val="21"/>
                <w:highlight w:val="none"/>
              </w:rPr>
              <w:t>、付款条件</w:t>
            </w:r>
          </w:p>
          <w:p>
            <w:pPr>
              <w:numPr>
                <w:ilvl w:val="0"/>
                <w:numId w:val="0"/>
              </w:numPr>
              <w:spacing w:line="240" w:lineRule="auto"/>
              <w:ind w:firstLine="420" w:firstLineChars="200"/>
              <w:rPr>
                <w:rFonts w:hint="default" w:ascii="Times New Roman" w:hAnsi="Times New Roman" w:eastAsia="宋体" w:cs="Times New Roman"/>
                <w:b w:val="0"/>
                <w:bCs w:val="0"/>
                <w:color w:val="auto"/>
                <w:sz w:val="21"/>
                <w:szCs w:val="21"/>
                <w:highlight w:val="none"/>
                <w:lang w:val="en-US" w:eastAsia="zh-CN"/>
              </w:rPr>
            </w:pPr>
            <w:r>
              <w:rPr>
                <w:rFonts w:hint="default" w:ascii="Times New Roman" w:hAnsi="Times New Roman" w:eastAsia="宋体" w:cs="Times New Roman"/>
                <w:b w:val="0"/>
                <w:bCs w:val="0"/>
                <w:color w:val="auto"/>
                <w:sz w:val="21"/>
                <w:szCs w:val="21"/>
                <w:highlight w:val="none"/>
                <w:lang w:val="en-US" w:eastAsia="zh-CN"/>
              </w:rPr>
              <w:t>签订合同后10个工作日内，由采购人向成交人支付</w:t>
            </w:r>
            <w:r>
              <w:rPr>
                <w:rFonts w:hint="eastAsia" w:ascii="Times New Roman" w:hAnsi="Times New Roman" w:cs="Times New Roman"/>
                <w:b w:val="0"/>
                <w:bCs w:val="0"/>
                <w:color w:val="auto"/>
                <w:sz w:val="21"/>
                <w:szCs w:val="21"/>
                <w:highlight w:val="none"/>
                <w:lang w:val="en-US" w:eastAsia="zh-CN"/>
              </w:rPr>
              <w:t>50</w:t>
            </w:r>
            <w:r>
              <w:rPr>
                <w:rFonts w:hint="default" w:ascii="Times New Roman" w:hAnsi="Times New Roman" w:eastAsia="宋体" w:cs="Times New Roman"/>
                <w:b w:val="0"/>
                <w:bCs w:val="0"/>
                <w:color w:val="auto"/>
                <w:sz w:val="21"/>
                <w:szCs w:val="21"/>
                <w:highlight w:val="none"/>
                <w:lang w:val="en-US" w:eastAsia="zh-CN"/>
              </w:rPr>
              <w:t>%的预付款，按照合同的要求</w:t>
            </w:r>
            <w:r>
              <w:rPr>
                <w:rFonts w:hint="eastAsia" w:ascii="Times New Roman" w:hAnsi="Times New Roman" w:cs="Times New Roman"/>
                <w:b w:val="0"/>
                <w:bCs w:val="0"/>
                <w:color w:val="auto"/>
                <w:sz w:val="21"/>
                <w:szCs w:val="21"/>
                <w:highlight w:val="none"/>
                <w:lang w:val="en-US" w:eastAsia="zh-CN"/>
              </w:rPr>
              <w:t>完成站房搭建、设备租赁、比对监测服务后，提交满足服务要求的监测数据</w:t>
            </w:r>
            <w:r>
              <w:rPr>
                <w:rFonts w:hint="default" w:ascii="Times New Roman" w:hAnsi="Times New Roman" w:eastAsia="宋体" w:cs="Times New Roman"/>
                <w:b w:val="0"/>
                <w:bCs w:val="0"/>
                <w:color w:val="auto"/>
                <w:sz w:val="21"/>
                <w:szCs w:val="21"/>
                <w:highlight w:val="none"/>
                <w:lang w:val="en-US" w:eastAsia="zh-CN"/>
              </w:rPr>
              <w:t>后10个工作日内，由采购人向成交人支付全部余款。</w:t>
            </w:r>
          </w:p>
          <w:p>
            <w:pPr>
              <w:numPr>
                <w:ilvl w:val="0"/>
                <w:numId w:val="0"/>
              </w:numPr>
              <w:spacing w:line="240" w:lineRule="auto"/>
              <w:ind w:firstLine="420" w:firstLineChars="200"/>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cs="Times New Roman"/>
                <w:b w:val="0"/>
                <w:bCs w:val="0"/>
                <w:color w:val="auto"/>
                <w:sz w:val="21"/>
                <w:szCs w:val="21"/>
                <w:highlight w:val="none"/>
                <w:lang w:val="en-US" w:eastAsia="zh-CN"/>
              </w:rPr>
              <w:t>每次付款前，成交供应商应该向采购方开具等同款项的增值税专用发票。</w:t>
            </w:r>
          </w:p>
          <w:p>
            <w:pPr>
              <w:numPr>
                <w:ilvl w:val="0"/>
                <w:numId w:val="0"/>
              </w:numPr>
              <w:spacing w:line="240" w:lineRule="auto"/>
              <w:ind w:firstLine="422" w:firstLineChars="200"/>
              <w:rPr>
                <w:rFonts w:hint="default" w:ascii="Times New Roman" w:hAnsi="Times New Roman" w:eastAsia="宋体" w:cs="Times New Roman"/>
                <w:b/>
                <w:color w:val="auto"/>
                <w:szCs w:val="21"/>
                <w:highlight w:val="none"/>
              </w:rPr>
            </w:pPr>
            <w:r>
              <w:rPr>
                <w:rFonts w:hint="eastAsia" w:ascii="Times New Roman" w:hAnsi="Times New Roman" w:cs="Times New Roman"/>
                <w:b/>
                <w:color w:val="auto"/>
                <w:szCs w:val="21"/>
                <w:highlight w:val="none"/>
                <w:lang w:val="en-US" w:eastAsia="zh-CN"/>
              </w:rPr>
              <w:t>4</w:t>
            </w:r>
            <w:r>
              <w:rPr>
                <w:rFonts w:hint="default" w:ascii="Times New Roman" w:hAnsi="Times New Roman" w:eastAsia="宋体" w:cs="Times New Roman"/>
                <w:b/>
                <w:color w:val="auto"/>
                <w:szCs w:val="21"/>
                <w:highlight w:val="none"/>
              </w:rPr>
              <w:t>、其他要求</w:t>
            </w:r>
          </w:p>
          <w:p>
            <w:pPr>
              <w:numPr>
                <w:ilvl w:val="0"/>
                <w:numId w:val="0"/>
              </w:numPr>
              <w:spacing w:line="240" w:lineRule="auto"/>
              <w:ind w:firstLine="420" w:firstLineChars="200"/>
              <w:rPr>
                <w:rFonts w:hint="eastAsia"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b w:val="0"/>
                <w:bCs/>
                <w:color w:val="auto"/>
                <w:szCs w:val="21"/>
                <w:highlight w:val="none"/>
              </w:rPr>
              <w:t>无</w:t>
            </w:r>
            <w:r>
              <w:rPr>
                <w:rFonts w:hint="eastAsia" w:ascii="Times New Roman" w:hAnsi="Times New Roman" w:cs="Times New Roman"/>
                <w:b w:val="0"/>
                <w:bCs/>
                <w:color w:val="auto"/>
                <w:szCs w:val="21"/>
                <w:highlight w:val="none"/>
                <w:lang w:eastAsia="zh-CN"/>
              </w:rPr>
              <w:t>。</w:t>
            </w:r>
          </w:p>
        </w:tc>
      </w:tr>
    </w:tbl>
    <w:p/>
    <w:sectPr>
      <w:footerReference r:id="rId3" w:type="default"/>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1866E5DE-079B-4802-AA14-06B22B833A5A}"/>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_GBK">
    <w:panose1 w:val="03000509000000000000"/>
    <w:charset w:val="86"/>
    <w:family w:val="auto"/>
    <w:pitch w:val="default"/>
    <w:sig w:usb0="00000001" w:usb1="080E0000" w:usb2="00000000" w:usb3="00000000" w:csb0="00040000" w:csb1="00000000"/>
    <w:embedRegular r:id="rId2" w:fontKey="{FBA2B47C-FDF3-4973-860D-8C458EE59FAD}"/>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fill on="f" focussize="0,0"/>
              <v:stroke on="f" weight="0.5pt"/>
              <v:imagedata o:title=""/>
              <o:lock v:ext="edit" aspectratio="f"/>
              <v:textbox inset="0mm,0mm,0mm,0mm" style="mso-fit-shape-to-text:t;">
                <w:txbxContent>
                  <w:p>
                    <w:pPr>
                      <w:pStyle w:val="5"/>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B"/>
    <w:multiLevelType w:val="multilevel"/>
    <w:tmpl w:val="FFFFFFFB"/>
    <w:lvl w:ilvl="0" w:tentative="0">
      <w:start w:val="1"/>
      <w:numFmt w:val="decimal"/>
      <w:lvlText w:val="%1."/>
      <w:legacy w:legacy="1" w:legacySpace="0" w:legacyIndent="425"/>
      <w:lvlJc w:val="left"/>
      <w:pPr>
        <w:ind w:left="425" w:hanging="425"/>
      </w:pPr>
    </w:lvl>
    <w:lvl w:ilvl="1" w:tentative="0">
      <w:start w:val="1"/>
      <w:numFmt w:val="decimal"/>
      <w:lvlText w:val="%1.%2."/>
      <w:legacy w:legacy="1" w:legacySpace="0" w:legacyIndent="425"/>
      <w:lvlJc w:val="left"/>
      <w:pPr>
        <w:ind w:left="850" w:hanging="425"/>
      </w:pPr>
    </w:lvl>
    <w:lvl w:ilvl="2" w:tentative="0">
      <w:start w:val="1"/>
      <w:numFmt w:val="decimal"/>
      <w:pStyle w:val="2"/>
      <w:lvlText w:val="%1.%2.%3."/>
      <w:legacy w:legacy="1" w:legacySpace="0" w:legacyIndent="425"/>
      <w:lvlJc w:val="left"/>
      <w:pPr>
        <w:ind w:left="3385" w:hanging="425"/>
      </w:pPr>
    </w:lvl>
    <w:lvl w:ilvl="3" w:tentative="0">
      <w:start w:val="1"/>
      <w:numFmt w:val="decimal"/>
      <w:lvlText w:val="%1.%2.%3.%4."/>
      <w:legacy w:legacy="1" w:legacySpace="0" w:legacyIndent="425"/>
      <w:lvlJc w:val="left"/>
      <w:pPr>
        <w:ind w:left="1700" w:hanging="425"/>
      </w:pPr>
    </w:lvl>
    <w:lvl w:ilvl="4" w:tentative="0">
      <w:start w:val="1"/>
      <w:numFmt w:val="decimal"/>
      <w:lvlText w:val="%1.%2.%3.%4.%5."/>
      <w:legacy w:legacy="1" w:legacySpace="0" w:legacyIndent="425"/>
      <w:lvlJc w:val="left"/>
      <w:pPr>
        <w:ind w:left="2125" w:hanging="425"/>
      </w:pPr>
    </w:lvl>
    <w:lvl w:ilvl="5" w:tentative="0">
      <w:start w:val="1"/>
      <w:numFmt w:val="decimal"/>
      <w:lvlText w:val="%1.%2.%3.%4.%5.%6."/>
      <w:legacy w:legacy="1" w:legacySpace="0" w:legacyIndent="425"/>
      <w:lvlJc w:val="left"/>
      <w:pPr>
        <w:ind w:left="2550" w:hanging="425"/>
      </w:pPr>
    </w:lvl>
    <w:lvl w:ilvl="6" w:tentative="0">
      <w:start w:val="1"/>
      <w:numFmt w:val="decimal"/>
      <w:lvlText w:val="%1.%2.%3.%4.%5.%6.%7."/>
      <w:legacy w:legacy="1" w:legacySpace="0" w:legacyIndent="425"/>
      <w:lvlJc w:val="left"/>
      <w:pPr>
        <w:ind w:left="2975" w:hanging="425"/>
      </w:pPr>
    </w:lvl>
    <w:lvl w:ilvl="7" w:tentative="0">
      <w:start w:val="1"/>
      <w:numFmt w:val="decimal"/>
      <w:lvlText w:val="%1.%2.%3.%4.%5.%6.%7.%8."/>
      <w:legacy w:legacy="1" w:legacySpace="0" w:legacyIndent="425"/>
      <w:lvlJc w:val="left"/>
      <w:pPr>
        <w:ind w:left="3400" w:hanging="425"/>
      </w:pPr>
    </w:lvl>
    <w:lvl w:ilvl="8" w:tentative="0">
      <w:start w:val="1"/>
      <w:numFmt w:val="decimal"/>
      <w:lvlText w:val="%1.%2.%3.%4.%5.%6.%7.%8.%9."/>
      <w:legacy w:legacy="1" w:legacySpace="0" w:legacyIndent="425"/>
      <w:lvlJc w:val="left"/>
      <w:pPr>
        <w:ind w:left="3825" w:hanging="425"/>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embedTrueTypeFonts/>
  <w:saveSubsetFonts/>
  <w:bordersDoNotSurroundHeader w:val="1"/>
  <w:bordersDoNotSurroundFooter w:val="1"/>
  <w:trackRevisions w:val="1"/>
  <w:documentProtection w:edit="trackedChanges"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8C62BB0"/>
    <w:rsid w:val="021347A4"/>
    <w:rsid w:val="022A4754"/>
    <w:rsid w:val="06E561A0"/>
    <w:rsid w:val="0A037532"/>
    <w:rsid w:val="0B175DD7"/>
    <w:rsid w:val="11B24BA4"/>
    <w:rsid w:val="18184C31"/>
    <w:rsid w:val="186A4132"/>
    <w:rsid w:val="26166EDB"/>
    <w:rsid w:val="27013744"/>
    <w:rsid w:val="34076784"/>
    <w:rsid w:val="341E3ACD"/>
    <w:rsid w:val="382B3D9E"/>
    <w:rsid w:val="39977F29"/>
    <w:rsid w:val="477F53CA"/>
    <w:rsid w:val="48A6324C"/>
    <w:rsid w:val="49B4188E"/>
    <w:rsid w:val="50341C94"/>
    <w:rsid w:val="507233D4"/>
    <w:rsid w:val="53AC6529"/>
    <w:rsid w:val="626E7CDE"/>
    <w:rsid w:val="68A64CFB"/>
    <w:rsid w:val="68C62BB0"/>
    <w:rsid w:val="69537E95"/>
    <w:rsid w:val="79212029"/>
    <w:rsid w:val="7FA35D3E"/>
    <w:rsid w:val="7FB2606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qFormat="1"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3"/>
    <w:basedOn w:val="1"/>
    <w:next w:val="1"/>
    <w:qFormat/>
    <w:uiPriority w:val="0"/>
    <w:pPr>
      <w:keepNext/>
      <w:keepLines/>
      <w:numPr>
        <w:ilvl w:val="2"/>
        <w:numId w:val="1"/>
      </w:numPr>
      <w:autoSpaceDE w:val="0"/>
      <w:autoSpaceDN w:val="0"/>
      <w:adjustRightInd w:val="0"/>
      <w:spacing w:line="360" w:lineRule="auto"/>
      <w:ind w:left="0" w:firstLine="0"/>
      <w:jc w:val="left"/>
      <w:textAlignment w:val="baseline"/>
      <w:outlineLvl w:val="2"/>
    </w:pPr>
    <w:rPr>
      <w:rFonts w:eastAsia="宋体"/>
      <w:b/>
      <w:kern w:val="0"/>
      <w:szCs w:val="20"/>
    </w:rPr>
  </w:style>
  <w:style w:type="character" w:default="1" w:styleId="9">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3">
    <w:name w:val="annotation text"/>
    <w:basedOn w:val="1"/>
    <w:qFormat/>
    <w:uiPriority w:val="0"/>
    <w:pPr>
      <w:jc w:val="left"/>
    </w:pPr>
  </w:style>
  <w:style w:type="paragraph" w:styleId="4">
    <w:name w:val="index 6"/>
    <w:basedOn w:val="1"/>
    <w:next w:val="1"/>
    <w:qFormat/>
    <w:uiPriority w:val="0"/>
    <w:pPr>
      <w:ind w:left="2100"/>
    </w:pPr>
    <w:rPr>
      <w:rFonts w:ascii="Times New Roman" w:hAnsi="Times New Roman" w:eastAsia="宋体"/>
    </w:r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toc 1"/>
    <w:basedOn w:val="1"/>
    <w:next w:val="1"/>
    <w:unhideWhenUsed/>
    <w:qFormat/>
    <w:uiPriority w:val="39"/>
    <w:pPr>
      <w:widowControl w:val="0"/>
      <w:jc w:val="both"/>
    </w:pPr>
    <w:rPr>
      <w:rFonts w:ascii="Times New Roman" w:hAnsi="Times New Roman" w:eastAsia="宋体" w:cs="Times New Roman"/>
      <w:kern w:val="2"/>
      <w:sz w:val="21"/>
      <w:szCs w:val="24"/>
      <w:lang w:val="en-US" w:eastAsia="zh-CN" w:bidi="ar-SA"/>
    </w:rPr>
  </w:style>
  <w:style w:type="paragraph" w:customStyle="1" w:styleId="10">
    <w:name w:val="Default"/>
    <w:basedOn w:val="11"/>
    <w:next w:val="4"/>
    <w:unhideWhenUsed/>
    <w:qFormat/>
    <w:uiPriority w:val="99"/>
    <w:pPr>
      <w:widowControl w:val="0"/>
      <w:autoSpaceDE w:val="0"/>
      <w:autoSpaceDN w:val="0"/>
      <w:adjustRightInd w:val="0"/>
    </w:pPr>
    <w:rPr>
      <w:rFonts w:ascii="宋体" w:hAnsi="宋体" w:eastAsia="宋体" w:cs="Times New Roman"/>
      <w:color w:val="000000"/>
      <w:sz w:val="24"/>
      <w:lang w:val="en-US" w:eastAsia="zh-CN" w:bidi="ar-SA"/>
    </w:rPr>
  </w:style>
  <w:style w:type="paragraph" w:customStyle="1" w:styleId="11">
    <w:name w:val="纯文本1"/>
    <w:basedOn w:val="1"/>
    <w:qFormat/>
    <w:uiPriority w:val="0"/>
    <w:pPr>
      <w:textAlignment w:val="baseline"/>
    </w:pPr>
    <w:rPr>
      <w:rFonts w:ascii="宋体" w:hAnsi="Courier New" w:eastAsia="宋体" w:cs="Times New Roman"/>
    </w:rPr>
  </w:style>
  <w:style w:type="paragraph" w:styleId="12">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广西环科院</Company>
  <Pages>1</Pages>
  <Words>639</Words>
  <Characters>679</Characters>
  <Lines>0</Lines>
  <Paragraphs>0</Paragraphs>
  <TotalTime>11</TotalTime>
  <ScaleCrop>false</ScaleCrop>
  <LinksUpToDate>false</LinksUpToDate>
  <CharactersWithSpaces>680</CharactersWithSpaces>
  <Application>WPS Office_11.8.2.8875_F1E327BC-269C-435d-A152-05C5408002CA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2024-06-06T00:18:00Z</dcterms:created>
  <dc:creator>韦华瑜</dc:creator>
  <cp:lastModifiedBy>李宏姣</cp:lastModifiedBy>
  <dcterms:modified xsi:type="dcterms:W3CDTF">2025-06-26T07:16:39Z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2052-11.8.2.8875</vt:lpwstr>
  </property>
  <property fmtid="{D5CDD505-2E9C-101B-9397-08002B2CF9AE}" pid="3" name="KSOTemplateDocerSaveRecord">
    <vt:lpwstr>eyJoZGlkIjoiNWRiN2EzOTIwNTFkMWRjYjlhM2M2MjEwMTAzOTAyMTAiLCJ1c2VySWQiOiI4NzI1NzQzIn0=</vt:lpwstr>
  </property>
  <property fmtid="{D5CDD505-2E9C-101B-9397-08002B2CF9AE}" pid="4" name="ICV">
    <vt:lpwstr>0E76FE6DC8DB45BBA17635D97257D524_12</vt:lpwstr>
  </property>
</Properties>
</file>