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F46968">
      <w:pPr>
        <w:keepNext/>
        <w:keepLines w:val="0"/>
        <w:pageBreakBefore w:val="0"/>
        <w:widowControl/>
        <w:numPr>
          <w:ilvl w:val="0"/>
          <w:numId w:val="0"/>
        </w:numPr>
        <w:tabs>
          <w:tab w:val="left" w:pos="1692"/>
        </w:tabs>
        <w:kinsoku/>
        <w:overflowPunct/>
        <w:topLinePunct w:val="0"/>
        <w:bidi w:val="0"/>
        <w:snapToGrid w:val="0"/>
        <w:spacing w:before="0" w:beforeLines="0" w:beforeAutospacing="0" w:after="0" w:afterLines="0" w:afterAutospacing="0" w:line="600" w:lineRule="exact"/>
        <w:ind w:left="0" w:firstLine="640" w:firstLineChars="200"/>
        <w:jc w:val="left"/>
        <w:outlineLvl w:val="0"/>
        <w:rPr>
          <w:rFonts w:hint="default" w:ascii="Times New Roman" w:hAnsi="Times New Roman" w:eastAsia="仿宋" w:cs="Times New Roman"/>
          <w:bCs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 w:bidi="ar-SA"/>
        </w:rPr>
        <w:t>附件</w:t>
      </w:r>
      <w:r>
        <w:rPr>
          <w:rFonts w:hint="eastAsia" w:ascii="Times New Roman" w:hAnsi="Times New Roman" w:eastAsia="黑体" w:cs="Times New Roman"/>
          <w:bCs/>
          <w:color w:val="auto"/>
          <w:kern w:val="0"/>
          <w:sz w:val="32"/>
          <w:szCs w:val="32"/>
          <w:highlight w:val="none"/>
          <w:lang w:val="en-US" w:eastAsia="zh-CN" w:bidi="ar-SA"/>
        </w:rPr>
        <w:t>5</w:t>
      </w:r>
    </w:p>
    <w:p w14:paraId="1D620BB5">
      <w:pPr>
        <w:keepLines w:val="0"/>
        <w:pageBreakBefore w:val="0"/>
        <w:widowControl w:val="0"/>
        <w:tabs>
          <w:tab w:val="left" w:pos="0"/>
        </w:tabs>
        <w:kinsoku/>
        <w:overflowPunct/>
        <w:topLinePunct w:val="0"/>
        <w:bidi w:val="0"/>
        <w:spacing w:line="600" w:lineRule="exact"/>
        <w:jc w:val="center"/>
        <w:outlineLvl w:val="0"/>
        <w:rPr>
          <w:rFonts w:hint="eastAsia" w:ascii="Times New Roman" w:hAnsi="Times New Roman" w:eastAsia="方正小标宋_GBK" w:cs="Times New Roman"/>
          <w:color w:val="auto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综合评分</w:t>
      </w:r>
      <w:r>
        <w:rPr>
          <w:rFonts w:hint="eastAsia" w:ascii="Times New Roman" w:hAnsi="Times New Roman" w:eastAsia="方正小标宋_GBK" w:cs="Times New Roman"/>
          <w:color w:val="auto"/>
          <w:sz w:val="44"/>
          <w:szCs w:val="44"/>
          <w:lang w:eastAsia="zh-CN"/>
        </w:rPr>
        <w:t>细则</w:t>
      </w:r>
    </w:p>
    <w:p w14:paraId="13B92886">
      <w:pPr>
        <w:keepLines w:val="0"/>
        <w:pageBreakBefore w:val="0"/>
        <w:widowControl w:val="0"/>
        <w:tabs>
          <w:tab w:val="left" w:pos="0"/>
        </w:tabs>
        <w:kinsoku/>
        <w:overflowPunct/>
        <w:topLinePunct w:val="0"/>
        <w:bidi w:val="0"/>
        <w:spacing w:line="600" w:lineRule="exact"/>
        <w:jc w:val="center"/>
        <w:rPr>
          <w:rFonts w:hint="default" w:ascii="Times New Roman" w:hAnsi="Times New Roman" w:eastAsia="方正小标宋_GBK" w:cs="Times New Roman"/>
          <w:color w:val="auto"/>
          <w:sz w:val="32"/>
          <w:szCs w:val="32"/>
        </w:rPr>
      </w:pPr>
    </w:p>
    <w:p w14:paraId="1AC556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outlineLvl w:val="0"/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一、评审原则</w:t>
      </w:r>
    </w:p>
    <w:p w14:paraId="0D87FC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（一）评审小组构成：评审小组由技术评分人员和监督指导人员组成。</w:t>
      </w:r>
    </w:p>
    <w:p w14:paraId="60034E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1.技术评分人员为3人以上（含3人）单数，由采购部门人员1人和党务工作人员2人组成，必要时可请本单位其他部门人员参加，也可外聘专家；技术评分人员需对每项逐一打分。</w:t>
      </w:r>
    </w:p>
    <w:p w14:paraId="7A723A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2.监督指导人员由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采购专员或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党务工作人员1人担任，对评分过程进行监督指导，不参与打分。</w:t>
      </w:r>
    </w:p>
    <w:p w14:paraId="43ED87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（二）评审依据：本评分细则和供应商提交的响应文件。</w:t>
      </w:r>
    </w:p>
    <w:p w14:paraId="159F74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（三）评审方法：综合评分法。</w:t>
      </w:r>
    </w:p>
    <w:p w14:paraId="1B1157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0"/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  <w:t>二</w:t>
      </w:r>
      <w:r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、评</w:t>
      </w:r>
      <w:r>
        <w:rPr>
          <w:rFonts w:hint="eastAsia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  <w:t>分</w:t>
      </w:r>
      <w:r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  <w:t>标准</w:t>
      </w:r>
    </w:p>
    <w:p w14:paraId="475827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供应商提交的报价及资格材料经初核符合要求的进入详评，评审小组将按本评分细则和响应文件为评定依据，采用百分制综合评分法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：</w:t>
      </w:r>
    </w:p>
    <w:p w14:paraId="48FC4FB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6" w:firstLineChars="202"/>
        <w:textAlignment w:val="auto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价格分（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val="en-US" w:eastAsia="zh-CN"/>
        </w:rPr>
        <w:t>30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分</w:t>
      </w: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）</w:t>
      </w:r>
    </w:p>
    <w:p w14:paraId="12B03F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供应商所提交报价应在项目预算内，且报价只能一次报出不得更改，超出项目预算的将被认定为无效报价，按作废处理。</w:t>
      </w:r>
    </w:p>
    <w:p w14:paraId="0E16ED8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某供应商价格分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=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供应商最低报价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金额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/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某供应商报价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金额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×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价格分值。</w:t>
      </w:r>
    </w:p>
    <w:p w14:paraId="0E02D42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6" w:firstLineChars="202"/>
        <w:textAlignment w:val="auto"/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技术分（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val="en-US" w:eastAsia="zh-CN"/>
        </w:rPr>
        <w:t>40分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）</w:t>
      </w:r>
    </w:p>
    <w:p w14:paraId="0E94B91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（1）项目实施方案（满分30分）根据招标文件提供的信息要求，对完成本项目的实施方案，包括项目进度安排、人员配备合理，版面设计美观等，合理化、具体得满分，对不达标者逐项减分。</w:t>
      </w:r>
    </w:p>
    <w:p w14:paraId="529CCD4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一般（10分）：根据询价供应商的出版服务方案，方案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编制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简单，方案进度和工作计划、服务组织机构、人员配备基本满足项目要求，采用的纸张质量、印刷和版面设计、排版较为一般。</w:t>
      </w:r>
    </w:p>
    <w:p w14:paraId="2D912B7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良好（20分）：根据询价供应商的出版服务方案，方案编制完整具体，方案进度和工作计划合理有序，服务组织机构、人员配备完全满足本项目要求，采用的纸张质量较好，印刷和版面设计、排版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较好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。</w:t>
      </w:r>
    </w:p>
    <w:p w14:paraId="6CAEC6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优秀（30分）：根据询价供应商的出版服务方案，方案编制完整具体，方案进度和工作计划合理有序，服务组织机构、人员配备完全满足本项目要求，采用的纸张质量较好，印刷和版面设计、排版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精美。同时，方案具备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合理的设计思路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，能提出其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他优化内容，内容充分切合本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专著选题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特色。</w:t>
      </w:r>
    </w:p>
    <w:p w14:paraId="0EDA534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（2）质量控制及服务承诺（满分10分）根据招标文件提供的信息要求，需提供相应的质量控制方案及服务承诺，包括针对有质量问题控制方案及整个项目的承诺，合理、具体得满分，对不达标者逐项减分。</w:t>
      </w:r>
    </w:p>
    <w:p w14:paraId="719398D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一般（3分）：供应商服务承诺较简单，在组织实施、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响应速度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、编校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设计、排版质量、印刷及交付等方面基本满足采购需求，有配套的质量控制方案，但可行性不高。</w:t>
      </w:r>
    </w:p>
    <w:p w14:paraId="08CCF3C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良好（6分）：供应商服务承诺完整具体，在组织实施、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响应速度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、编校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设计、排版质量、印刷及交付等方面均满足采购需求，有配套的质量控制方案，可行性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较好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。</w:t>
      </w:r>
    </w:p>
    <w:p w14:paraId="4FBC0F7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优秀（10分）：供应商服务承诺完整具体，在组织实施、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响应速度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、编校、设计、排版质量、印刷及交付等方面均满足采购需求，有配套的质量控制方案，可行性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较强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。</w:t>
      </w:r>
    </w:p>
    <w:p w14:paraId="6663807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（三）商务分（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分）</w:t>
      </w:r>
    </w:p>
    <w:p w14:paraId="161799C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供应商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提供先前完成的其他专著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出版项目，每项得2分，满分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分。（需提供出版书籍的封面及标注其出版社名称所在页的书籍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图片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并加盖供应商单位公章）</w:t>
      </w:r>
    </w:p>
    <w:p w14:paraId="656BFB4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（四）项目团队分（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分）</w:t>
      </w:r>
    </w:p>
    <w:p w14:paraId="5001491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拟投入的项目团队实施人员具备出版系列副高级或高级职称的每1人得2分，具有出版系列中级职称的每1人得1分，最多加10分。（注：响应文件中须提供项目实施人员一览表、职称证书及劳动合同证明，复印件须加盖供应商单位公章）。</w:t>
      </w:r>
    </w:p>
    <w:p w14:paraId="10DB487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）供应商出版的图书选题获得国家级奖项的，每有一项得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分；省级奖项的得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分；市级奖项的得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分；本项内容最多加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分。（提供有效证明文件或获奖证书复印件并加盖供应商单位公章）</w:t>
      </w:r>
    </w:p>
    <w:p w14:paraId="261BEDC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楷体" w:cs="Times New Roman"/>
          <w:color w:val="auto"/>
          <w:sz w:val="32"/>
          <w:szCs w:val="32"/>
          <w:lang w:eastAsia="zh-CN"/>
        </w:rPr>
        <w:t>（五）政策功能分（2分）</w:t>
      </w:r>
    </w:p>
    <w:p w14:paraId="14589B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供应商若属于国务院批准的中小企业划分标准确定的中型、小型、微型企业，并提供《中小企业声明函》，则该项得2分。</w:t>
      </w:r>
    </w:p>
    <w:p w14:paraId="18DBBB0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总分值=（一）+（二）+（三）+（四）+（五）</w:t>
      </w:r>
    </w:p>
    <w:p w14:paraId="3CCD7A03">
      <w:bookmarkStart w:id="0" w:name="_GoBack"/>
      <w:bookmarkEnd w:id="0"/>
    </w:p>
    <w:sectPr>
      <w:pgSz w:w="11906" w:h="16838"/>
      <w:pgMar w:top="1440" w:right="1361" w:bottom="1440" w:left="1417" w:header="1134" w:footer="1304" w:gutter="0"/>
      <w:pgNumType w:fmt="numberInDash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0400CE6"/>
    <w:multiLevelType w:val="singleLevel"/>
    <w:tmpl w:val="C0400CE6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0E770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huanghao</cp:lastModifiedBy>
  <dcterms:modified xsi:type="dcterms:W3CDTF">2025-07-01T01:11:47Z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eyJoZGlkIjoiOTRiYjJmOTBlYWRiYTJiMjA1YTkyZmYwYjA5Zjc0YmYiLCJ1c2VySWQiOiI0NTE3MzY1NjYifQ==</vt:lpwstr>
  </property>
  <property fmtid="{D5CDD505-2E9C-101B-9397-08002B2CF9AE}" pid="4" name="ICV">
    <vt:lpwstr>2BBEF973B3A24FB5A031FE2756B32264_12</vt:lpwstr>
  </property>
</Properties>
</file>