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DE7C">
      <w:pPr>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sz w:val="32"/>
          <w:szCs w:val="32"/>
          <w:lang w:val="en-US" w:eastAsia="zh-CN"/>
        </w:rPr>
        <w:t xml:space="preserve">附件2  </w:t>
      </w:r>
      <w:r>
        <w:rPr>
          <w:rFonts w:hint="eastAsia" w:ascii="华文宋体" w:hAnsi="华文宋体" w:eastAsia="华文宋体" w:cs="华文宋体"/>
          <w:sz w:val="36"/>
          <w:szCs w:val="36"/>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p>
    <w:p w14:paraId="6F66775B">
      <w:pPr>
        <w:jc w:val="center"/>
        <w:rPr>
          <w:rFonts w:hint="default" w:ascii="宋体" w:hAnsi="宋体" w:eastAsia="宋体" w:cs="宋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商务要求</w:t>
      </w:r>
    </w:p>
    <w:p w14:paraId="60BB59B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3" w:firstLineChars="200"/>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一、项目商务及售后服务要求</w:t>
      </w:r>
    </w:p>
    <w:p w14:paraId="0BA88FD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08" w:firstLineChars="200"/>
        <w:jc w:val="both"/>
        <w:textAlignment w:val="auto"/>
        <w:rPr>
          <w:rFonts w:hint="eastAsia" w:ascii="Times New Roman" w:hAnsi="Times New Roman" w:eastAsia="仿宋" w:cs="Times New Roman"/>
          <w:sz w:val="32"/>
          <w:szCs w:val="32"/>
          <w:lang w:eastAsia="zh-CN"/>
        </w:rPr>
      </w:pPr>
      <w:r>
        <w:rPr>
          <w:rFonts w:hint="eastAsia" w:ascii="仿宋" w:hAnsi="仿宋" w:eastAsia="仿宋" w:cs="仿宋"/>
          <w:b w:val="0"/>
          <w:bCs w:val="0"/>
          <w:w w:val="95"/>
          <w:sz w:val="32"/>
          <w:szCs w:val="32"/>
          <w:highlight w:val="none"/>
          <w:lang w:val="en-US" w:eastAsia="zh-CN"/>
        </w:rPr>
        <w:t>1.投标</w:t>
      </w:r>
      <w:r>
        <w:rPr>
          <w:rFonts w:hint="eastAsia" w:ascii="Times New Roman" w:hAnsi="Times New Roman" w:eastAsia="仿宋" w:cs="Times New Roman"/>
          <w:sz w:val="32"/>
          <w:szCs w:val="32"/>
          <w:lang w:eastAsia="zh-CN"/>
        </w:rPr>
        <w:t>供应商</w:t>
      </w:r>
      <w:r>
        <w:rPr>
          <w:rFonts w:hint="eastAsia" w:ascii="Times New Roman" w:hAnsi="Times New Roman" w:eastAsia="仿宋" w:cs="Times New Roman"/>
          <w:sz w:val="32"/>
          <w:szCs w:val="32"/>
          <w:lang w:val="en-US" w:eastAsia="zh-CN"/>
        </w:rPr>
        <w:t>应提供能销售标准物质的有效营业执照(投标时必须提供复印件且加盖公章，原件备查)</w:t>
      </w:r>
      <w:r>
        <w:rPr>
          <w:rFonts w:hint="eastAsia" w:ascii="Times New Roman" w:hAnsi="Times New Roman" w:eastAsia="仿宋" w:cs="Times New Roman"/>
          <w:sz w:val="32"/>
          <w:szCs w:val="32"/>
          <w:lang w:eastAsia="zh-CN"/>
        </w:rPr>
        <w:t>。</w:t>
      </w:r>
    </w:p>
    <w:p w14:paraId="322A154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投标供应商须按采购需求清单所列标准物质报价，报价不得超出项目预算，报价内容必须与需求表的要求一致且报价不得超出项目预算,否则按无效报价文件处理。报价至少包括：商品购置费、包装费、运输费、装卸费、保险费、技术服务费、税费等。采购人不再支付成交价格以外的任何费用。</w:t>
      </w:r>
    </w:p>
    <w:p w14:paraId="6B114761">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3.供货时如有以下情况，应在供货前与采购方确认后，方可供货：</w:t>
      </w:r>
    </w:p>
    <w:p w14:paraId="75CE7C4A">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（1）拟购买的标准物质浓度缺货时；</w:t>
      </w:r>
    </w:p>
    <w:p w14:paraId="2CB0920E">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（2）标准物质有效期达不到要求时；</w:t>
      </w:r>
    </w:p>
    <w:p w14:paraId="2C5567EF">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（3）因客观原因，需求清单有调整时；</w:t>
      </w:r>
    </w:p>
    <w:p w14:paraId="6E5E08BD">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8" w:firstLineChars="200"/>
        <w:jc w:val="both"/>
        <w:textAlignment w:val="auto"/>
        <w:rPr>
          <w:rFonts w:hint="eastAsia"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（4）采购数量≧2支的，标准物质有多种不同浓度的，需提供多种浓度梯度供我中心选择。</w:t>
      </w:r>
    </w:p>
    <w:p w14:paraId="1F0F0E4C">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b w:val="0"/>
          <w:bCs w:val="0"/>
          <w:w w:val="95"/>
          <w:sz w:val="32"/>
          <w:szCs w:val="32"/>
          <w:highlight w:val="none"/>
          <w:lang w:val="en-US" w:eastAsia="zh-CN"/>
        </w:rPr>
      </w:pPr>
      <w:r>
        <w:rPr>
          <w:rFonts w:hint="eastAsia" w:ascii="仿宋" w:hAnsi="仿宋" w:eastAsia="仿宋" w:cs="仿宋"/>
          <w:w w:val="95"/>
          <w:sz w:val="32"/>
          <w:szCs w:val="32"/>
          <w:highlight w:val="none"/>
          <w:lang w:val="en-US" w:eastAsia="zh-CN"/>
        </w:rPr>
        <w:t>4.</w:t>
      </w:r>
      <w:r>
        <w:rPr>
          <w:rFonts w:hint="eastAsia" w:ascii="仿宋" w:hAnsi="仿宋" w:eastAsia="仿宋" w:cs="仿宋"/>
          <w:b w:val="0"/>
          <w:bCs w:val="0"/>
          <w:w w:val="95"/>
          <w:sz w:val="32"/>
          <w:szCs w:val="32"/>
          <w:highlight w:val="none"/>
          <w:lang w:val="en-US" w:eastAsia="zh-CN"/>
        </w:rPr>
        <w:t>供应商必须保证按照标物证书有关要求进行包装、保存并运输至合同交货地点，否则须承担相应的违约责任并赔偿我中心损失。供应商提供的标物必须原装、全新、为该标物在该品牌的最新生产批号，其证书上的标准号、出厂批号与外包装一致并可溯源，同时满足国家及行业强制性标准及规范，并符合我中心提出的有关质量标准。</w:t>
      </w:r>
    </w:p>
    <w:p w14:paraId="3158A471">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eastAsia" w:ascii="仿宋" w:hAnsi="仿宋" w:eastAsia="仿宋" w:cs="仿宋"/>
          <w:w w:val="95"/>
          <w:sz w:val="32"/>
          <w:szCs w:val="32"/>
          <w:highlight w:val="none"/>
        </w:rPr>
      </w:pPr>
      <w:r>
        <w:rPr>
          <w:rFonts w:hint="eastAsia" w:ascii="仿宋" w:hAnsi="仿宋" w:eastAsia="仿宋" w:cs="仿宋"/>
          <w:b w:val="0"/>
          <w:bCs w:val="0"/>
          <w:w w:val="95"/>
          <w:sz w:val="32"/>
          <w:szCs w:val="32"/>
          <w:highlight w:val="none"/>
          <w:lang w:val="en-US" w:eastAsia="zh-CN"/>
        </w:rPr>
        <w:t>5.</w:t>
      </w:r>
      <w:r>
        <w:rPr>
          <w:rFonts w:hint="eastAsia" w:ascii="Times New Roman" w:hAnsi="Times New Roman" w:eastAsia="仿宋" w:cs="Times New Roman"/>
          <w:sz w:val="32"/>
          <w:szCs w:val="32"/>
          <w:lang w:eastAsia="zh-CN"/>
        </w:rPr>
        <w:t>所有标准物质在成交供应商交货时须随附标准物质出（发）货清单及标准物质证书。成交供应商负责填写《标准物质导入模板》（附</w:t>
      </w:r>
      <w:r>
        <w:rPr>
          <w:rFonts w:hint="eastAsia" w:ascii="Times New Roman" w:hAnsi="Times New Roman" w:eastAsia="仿宋" w:cs="Times New Roman"/>
          <w:sz w:val="32"/>
          <w:szCs w:val="32"/>
          <w:lang w:val="en-US" w:eastAsia="zh-CN"/>
        </w:rPr>
        <w:t>表</w:t>
      </w:r>
      <w:r>
        <w:rPr>
          <w:rFonts w:hint="eastAsia" w:ascii="Times New Roman" w:hAnsi="Times New Roman" w:eastAsia="仿宋" w:cs="Times New Roman"/>
          <w:sz w:val="32"/>
          <w:szCs w:val="32"/>
          <w:lang w:eastAsia="zh-CN"/>
        </w:rPr>
        <w:t>）Excel电子表格内标准物质相关信息（该表格模板由采购方提供）；每一支（瓶/包）标准物质提供一份纸质证书及PDF电子扫描版（PDF电子版命名：“产品名称”+“产品批号”），国产标准物质提供中文版标准物质证书，国外标准物质除提供英文版标准物质证书外，还需提供证书中文翻译件。</w:t>
      </w:r>
    </w:p>
    <w:p w14:paraId="4DC12DD3">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rPr>
          <w:rFonts w:hint="default" w:ascii="仿宋" w:hAnsi="仿宋" w:eastAsia="仿宋" w:cs="仿宋"/>
          <w:w w:val="95"/>
          <w:sz w:val="32"/>
          <w:szCs w:val="32"/>
          <w:highlight w:val="none"/>
          <w:lang w:val="en-US" w:eastAsia="zh-CN"/>
        </w:rPr>
      </w:pPr>
      <w:r>
        <w:rPr>
          <w:rFonts w:hint="eastAsia" w:ascii="仿宋" w:hAnsi="仿宋" w:eastAsia="仿宋" w:cs="仿宋"/>
          <w:w w:val="95"/>
          <w:sz w:val="32"/>
          <w:szCs w:val="32"/>
          <w:highlight w:val="none"/>
          <w:lang w:val="en-US" w:eastAsia="zh-CN"/>
        </w:rPr>
        <w:t>6.从验收合格之日起计，标物剩余有效期不少于标物总有效期的三分之二，有机类标物剩余有效期不少于10个月（供货前已获我中心确认同意的除外）。3个月内因质量问题须包换，如有在质量保证范围和质量保证期内发生非因我中心正常使用造成的质量问题的，供应商应在收到更换货物的有关通知后 7 天内予以更换。质保期内全部服务费和更换货物的费用由供应商承担。</w:t>
      </w:r>
    </w:p>
    <w:p w14:paraId="5B9C5E6B">
      <w:pPr>
        <w:keepNext w:val="0"/>
        <w:keepLines w:val="0"/>
        <w:widowControl/>
        <w:suppressLineNumbers w:val="0"/>
        <w:ind w:firstLine="643" w:firstLineChars="200"/>
        <w:jc w:val="both"/>
        <w:textAlignment w:val="center"/>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二、供货期及交货地点</w:t>
      </w:r>
    </w:p>
    <w:p w14:paraId="1D33E0B2">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both"/>
        <w:textAlignment w:val="center"/>
        <w:rPr>
          <w:rFonts w:hint="eastAsia" w:ascii="仿宋" w:hAnsi="仿宋" w:eastAsia="仿宋" w:cs="仿宋"/>
          <w:w w:val="95"/>
          <w:kern w:val="2"/>
          <w:sz w:val="32"/>
          <w:szCs w:val="32"/>
          <w:highlight w:val="none"/>
          <w:lang w:val="en-US" w:eastAsia="zh-CN" w:bidi="ar-SA"/>
        </w:rPr>
      </w:pPr>
      <w:r>
        <w:rPr>
          <w:rFonts w:hint="eastAsia" w:ascii="仿宋" w:hAnsi="仿宋" w:eastAsia="仿宋" w:cs="仿宋"/>
          <w:w w:val="95"/>
          <w:kern w:val="2"/>
          <w:sz w:val="32"/>
          <w:szCs w:val="32"/>
          <w:highlight w:val="none"/>
          <w:lang w:val="en-US" w:eastAsia="zh-CN" w:bidi="ar-SA"/>
        </w:rPr>
        <w:t>1.供货期：签订合同后30个工作日内完成交付。特殊情况除外，如延迟供货应提前书面告知并征得我中心同意后，方可再按双方协商约定时间进行供货。</w:t>
      </w:r>
    </w:p>
    <w:p w14:paraId="27AA4C15">
      <w:pPr>
        <w:pStyle w:val="3"/>
        <w:keepNext w:val="0"/>
        <w:keepLines w:val="0"/>
        <w:pageBreakBefore w:val="0"/>
        <w:kinsoku/>
        <w:wordWrap/>
        <w:overflowPunct/>
        <w:topLinePunct w:val="0"/>
        <w:autoSpaceDE/>
        <w:autoSpaceDN/>
        <w:bidi w:val="0"/>
        <w:adjustRightInd/>
        <w:snapToGrid/>
        <w:spacing w:line="600" w:lineRule="exact"/>
        <w:ind w:left="0" w:leftChars="0" w:firstLine="608" w:firstLineChars="200"/>
        <w:rPr>
          <w:rFonts w:hint="eastAsia" w:ascii="仿宋" w:hAnsi="仿宋" w:eastAsia="仿宋" w:cs="仿宋"/>
          <w:w w:val="95"/>
          <w:kern w:val="2"/>
          <w:sz w:val="32"/>
          <w:szCs w:val="32"/>
          <w:highlight w:val="none"/>
          <w:lang w:val="en-US" w:eastAsia="zh-CN" w:bidi="ar-SA"/>
        </w:rPr>
      </w:pPr>
      <w:r>
        <w:rPr>
          <w:rFonts w:hint="eastAsia" w:ascii="仿宋" w:hAnsi="仿宋" w:eastAsia="仿宋" w:cs="仿宋"/>
          <w:w w:val="95"/>
          <w:kern w:val="2"/>
          <w:sz w:val="32"/>
          <w:szCs w:val="32"/>
          <w:highlight w:val="none"/>
          <w:lang w:val="en-US" w:eastAsia="zh-CN" w:bidi="ar-SA"/>
        </w:rPr>
        <w:t>2.交货地点：广西梧州市长洲区菊湖路8号梧州生态环境监测中心</w:t>
      </w:r>
    </w:p>
    <w:p w14:paraId="3B16A224">
      <w:pPr>
        <w:pStyle w:val="3"/>
        <w:ind w:left="0" w:leftChars="0" w:firstLine="643" w:firstLineChars="200"/>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三、付款方式</w:t>
      </w:r>
    </w:p>
    <w:p w14:paraId="6166034F">
      <w:pPr>
        <w:pStyle w:val="3"/>
        <w:ind w:left="0" w:leftChars="0" w:firstLine="608" w:firstLineChars="200"/>
        <w:rPr>
          <w:rFonts w:hint="eastAsia" w:ascii="仿宋" w:hAnsi="仿宋" w:eastAsia="仿宋" w:cs="仿宋"/>
          <w:w w:val="95"/>
          <w:kern w:val="2"/>
          <w:sz w:val="32"/>
          <w:szCs w:val="32"/>
          <w:highlight w:val="none"/>
          <w:lang w:val="en-US" w:eastAsia="zh-CN" w:bidi="ar-SA"/>
        </w:rPr>
      </w:pPr>
      <w:r>
        <w:rPr>
          <w:rFonts w:hint="eastAsia" w:ascii="仿宋" w:hAnsi="仿宋" w:eastAsia="仿宋" w:cs="仿宋"/>
          <w:w w:val="95"/>
          <w:kern w:val="2"/>
          <w:sz w:val="32"/>
          <w:szCs w:val="32"/>
          <w:highlight w:val="none"/>
          <w:lang w:val="en-US" w:eastAsia="zh-CN" w:bidi="ar-SA"/>
        </w:rPr>
        <w:t>我中心根据实际供货情况对货物分批次验收或统一验收，供应商根据我中心已验收货物价值开具等额增值税普通发票，我中心在验收合格及收到供应商开具的合格增值税普通发票之日起15个工作日内向供应商支付已验收合格货物的货款。最终结算款以实际购买及验收合格货物价值为准。</w:t>
      </w:r>
    </w:p>
    <w:p w14:paraId="507060E4">
      <w:pPr>
        <w:pStyle w:val="3"/>
        <w:ind w:left="0" w:leftChars="0" w:firstLine="608" w:firstLineChars="200"/>
        <w:rPr>
          <w:rFonts w:hint="eastAsia" w:ascii="仿宋" w:hAnsi="仿宋" w:eastAsia="仿宋" w:cs="仿宋"/>
          <w:w w:val="95"/>
          <w:kern w:val="2"/>
          <w:sz w:val="32"/>
          <w:szCs w:val="32"/>
          <w:highlight w:val="none"/>
          <w:lang w:val="en-US" w:eastAsia="zh-CN" w:bidi="ar-SA"/>
        </w:rPr>
      </w:pPr>
    </w:p>
    <w:p w14:paraId="5BEE86AD">
      <w:pPr>
        <w:pStyle w:val="3"/>
        <w:ind w:left="0" w:leftChars="0" w:firstLine="608" w:firstLineChars="200"/>
        <w:rPr>
          <w:rFonts w:hint="eastAsia" w:ascii="仿宋" w:hAnsi="仿宋" w:eastAsia="仿宋" w:cs="仿宋"/>
          <w:w w:val="95"/>
          <w:kern w:val="2"/>
          <w:sz w:val="32"/>
          <w:szCs w:val="32"/>
          <w:highlight w:val="none"/>
          <w:lang w:val="en-US" w:eastAsia="zh-CN" w:bidi="ar-SA"/>
        </w:rPr>
      </w:pPr>
    </w:p>
    <w:p w14:paraId="227BAB58">
      <w:pPr>
        <w:pStyle w:val="3"/>
        <w:ind w:left="0" w:leftChars="0" w:firstLine="608" w:firstLineChars="200"/>
        <w:rPr>
          <w:rFonts w:hint="eastAsia" w:ascii="仿宋" w:hAnsi="仿宋" w:eastAsia="仿宋" w:cs="仿宋"/>
          <w:w w:val="95"/>
          <w:kern w:val="2"/>
          <w:sz w:val="32"/>
          <w:szCs w:val="32"/>
          <w:highlight w:val="none"/>
          <w:lang w:val="en-US" w:eastAsia="zh-CN" w:bidi="ar-SA"/>
        </w:rPr>
      </w:pPr>
    </w:p>
    <w:p w14:paraId="24247738">
      <w:pPr>
        <w:pStyle w:val="3"/>
        <w:ind w:left="0" w:leftChars="0" w:firstLine="608" w:firstLineChars="200"/>
        <w:rPr>
          <w:rFonts w:hint="eastAsia" w:ascii="仿宋" w:hAnsi="仿宋" w:eastAsia="仿宋" w:cs="仿宋"/>
          <w:w w:val="95"/>
          <w:kern w:val="2"/>
          <w:sz w:val="32"/>
          <w:szCs w:val="32"/>
          <w:highlight w:val="none"/>
          <w:lang w:val="en-US" w:eastAsia="zh-CN" w:bidi="ar-SA"/>
        </w:rPr>
      </w:pPr>
    </w:p>
    <w:p w14:paraId="26C088A7">
      <w:pPr>
        <w:pStyle w:val="3"/>
        <w:ind w:left="0" w:leftChars="0" w:firstLine="608" w:firstLineChars="200"/>
        <w:rPr>
          <w:rFonts w:hint="eastAsia" w:ascii="仿宋" w:hAnsi="仿宋" w:eastAsia="仿宋" w:cs="仿宋"/>
          <w:w w:val="95"/>
          <w:kern w:val="2"/>
          <w:sz w:val="32"/>
          <w:szCs w:val="32"/>
          <w:highlight w:val="none"/>
          <w:lang w:val="en-US" w:eastAsia="zh-CN" w:bidi="ar-SA"/>
        </w:rPr>
      </w:pPr>
    </w:p>
    <w:p w14:paraId="6C2103F4">
      <w:pPr>
        <w:widowControl w:val="0"/>
        <w:wordWrap/>
        <w:overflowPunct w:val="0"/>
        <w:adjustRightInd/>
        <w:snapToGrid/>
        <w:spacing w:before="0" w:beforeLines="0" w:after="0" w:afterLines="0" w:line="600" w:lineRule="exact"/>
        <w:ind w:left="0" w:leftChars="0" w:right="0" w:firstLine="0" w:firstLineChars="0"/>
        <w:jc w:val="left"/>
        <w:textAlignment w:val="auto"/>
        <w:outlineLvl w:val="9"/>
        <w:rPr>
          <w:rFonts w:hint="eastAsia" w:ascii="Times New Roman" w:hAnsi="Times New Roman" w:eastAsia="仿宋" w:cs="仿宋"/>
          <w:sz w:val="32"/>
          <w:szCs w:val="32"/>
          <w:lang w:val="en-US" w:eastAsia="zh-CN"/>
        </w:rPr>
        <w:sectPr>
          <w:pgSz w:w="11906" w:h="16838"/>
          <w:pgMar w:top="873" w:right="839" w:bottom="873" w:left="839"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2AF0BBE1">
      <w:pPr>
        <w:widowControl w:val="0"/>
        <w:wordWrap/>
        <w:overflowPunct w:val="0"/>
        <w:adjustRightInd/>
        <w:snapToGrid/>
        <w:spacing w:before="0" w:beforeLines="0" w:after="0" w:afterLines="0" w:line="600" w:lineRule="exact"/>
        <w:ind w:left="0" w:leftChars="0" w:right="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14:paraId="68F09AAA">
      <w:pPr>
        <w:widowControl w:val="0"/>
        <w:wordWrap/>
        <w:overflowPunct w:val="0"/>
        <w:adjustRightInd/>
        <w:snapToGrid/>
        <w:spacing w:before="0" w:beforeLines="0" w:after="0" w:afterLines="0" w:line="600" w:lineRule="exact"/>
        <w:ind w:left="0" w:leftChars="0" w:right="0" w:firstLine="0" w:firstLineChars="0"/>
        <w:jc w:val="center"/>
        <w:textAlignment w:val="auto"/>
        <w:outlineLvl w:val="9"/>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标准物质导入模板</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14:paraId="3501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454" w:type="dxa"/>
            <w:tcBorders>
              <w:tl2br w:val="nil"/>
              <w:tr2bl w:val="nil"/>
            </w:tcBorders>
            <w:noWrap w:val="0"/>
            <w:vAlign w:val="center"/>
          </w:tcPr>
          <w:p w14:paraId="610EFB76">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序号</w:t>
            </w:r>
          </w:p>
        </w:tc>
        <w:tc>
          <w:tcPr>
            <w:tcW w:w="454" w:type="dxa"/>
            <w:tcBorders>
              <w:tl2br w:val="nil"/>
              <w:tr2bl w:val="nil"/>
            </w:tcBorders>
            <w:noWrap w:val="0"/>
            <w:vAlign w:val="center"/>
          </w:tcPr>
          <w:p w14:paraId="6A40722F">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分析项目</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4A7324CC">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标准物质类型</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14BBC5B6">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标准物质小类</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55F18031">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标准物质名称</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0C2BB972">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英文描述</w:t>
            </w:r>
          </w:p>
        </w:tc>
        <w:tc>
          <w:tcPr>
            <w:tcW w:w="454" w:type="dxa"/>
            <w:tcBorders>
              <w:tl2br w:val="nil"/>
              <w:tr2bl w:val="nil"/>
            </w:tcBorders>
            <w:noWrap w:val="0"/>
            <w:vAlign w:val="center"/>
          </w:tcPr>
          <w:p w14:paraId="296E90D6">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标准号</w:t>
            </w:r>
          </w:p>
        </w:tc>
        <w:tc>
          <w:tcPr>
            <w:tcW w:w="454" w:type="dxa"/>
            <w:tcBorders>
              <w:tl2br w:val="nil"/>
              <w:tr2bl w:val="nil"/>
            </w:tcBorders>
            <w:noWrap w:val="0"/>
            <w:vAlign w:val="center"/>
          </w:tcPr>
          <w:p w14:paraId="798BAED2">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批号</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01A1412F">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研发单位</w:t>
            </w:r>
          </w:p>
        </w:tc>
        <w:tc>
          <w:tcPr>
            <w:tcW w:w="454" w:type="dxa"/>
            <w:tcBorders>
              <w:tl2br w:val="nil"/>
              <w:tr2bl w:val="nil"/>
            </w:tcBorders>
            <w:noWrap w:val="0"/>
            <w:vAlign w:val="center"/>
          </w:tcPr>
          <w:p w14:paraId="34CEF1B3">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当前数量</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09C42CB5">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单位</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3B5A7D51">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数量低限</w:t>
            </w:r>
          </w:p>
        </w:tc>
        <w:tc>
          <w:tcPr>
            <w:tcW w:w="454" w:type="dxa"/>
            <w:tcBorders>
              <w:tl2br w:val="nil"/>
              <w:tr2bl w:val="nil"/>
            </w:tcBorders>
            <w:noWrap w:val="0"/>
            <w:vAlign w:val="center"/>
          </w:tcPr>
          <w:p w14:paraId="7183FFF9">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规格</w:t>
            </w:r>
          </w:p>
        </w:tc>
        <w:tc>
          <w:tcPr>
            <w:tcW w:w="454" w:type="dxa"/>
            <w:tcBorders>
              <w:tl2br w:val="nil"/>
              <w:tr2bl w:val="nil"/>
            </w:tcBorders>
            <w:noWrap w:val="0"/>
            <w:vAlign w:val="center"/>
          </w:tcPr>
          <w:p w14:paraId="65FB9511">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定制日期（yyyy/MM/dd）</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3B6AE7FF">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有效期（yyyy/MM/dd）</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19752DB0">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存放要求</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431B2D0A">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存放地点</w:t>
            </w:r>
          </w:p>
        </w:tc>
        <w:tc>
          <w:tcPr>
            <w:tcW w:w="454" w:type="dxa"/>
            <w:tcBorders>
              <w:tl2br w:val="nil"/>
              <w:tr2bl w:val="nil"/>
            </w:tcBorders>
            <w:noWrap w:val="0"/>
            <w:vAlign w:val="center"/>
          </w:tcPr>
          <w:p w14:paraId="541EB51B">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稀释方法</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1674D08E">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单价(输入数字)</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76904E0F">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盘存日期（yyyy/MM/dd）</w:t>
            </w:r>
          </w:p>
        </w:tc>
        <w:tc>
          <w:tcPr>
            <w:tcW w:w="454" w:type="dxa"/>
            <w:tcBorders>
              <w:tl2br w:val="nil"/>
              <w:tr2bl w:val="nil"/>
            </w:tcBorders>
            <w:noWrap w:val="0"/>
            <w:vAlign w:val="center"/>
          </w:tcPr>
          <w:p w14:paraId="59D2600A">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供应商</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042D55C4">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购买日期（yyyy/MM/dd）</w:t>
            </w:r>
          </w:p>
        </w:tc>
        <w:tc>
          <w:tcPr>
            <w:tcW w:w="454" w:type="dxa"/>
            <w:tcBorders>
              <w:tl2br w:val="nil"/>
              <w:tr2bl w:val="nil"/>
            </w:tcBorders>
            <w:noWrap w:val="0"/>
            <w:vAlign w:val="center"/>
          </w:tcPr>
          <w:p w14:paraId="1FDC5A18">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备注</w:t>
            </w:r>
          </w:p>
        </w:tc>
        <w:tc>
          <w:tcPr>
            <w:tcW w:w="454" w:type="dxa"/>
            <w:tcBorders>
              <w:tl2br w:val="nil"/>
              <w:tr2bl w:val="nil"/>
            </w:tcBorders>
            <w:noWrap w:val="0"/>
            <w:vAlign w:val="center"/>
          </w:tcPr>
          <w:p w14:paraId="3DBF967A">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组分名称</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2D56FB4F">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CAS号</w:t>
            </w:r>
          </w:p>
        </w:tc>
        <w:tc>
          <w:tcPr>
            <w:tcW w:w="454" w:type="dxa"/>
            <w:tcBorders>
              <w:tl2br w:val="nil"/>
              <w:tr2bl w:val="nil"/>
            </w:tcBorders>
            <w:noWrap w:val="0"/>
            <w:vAlign w:val="center"/>
          </w:tcPr>
          <w:p w14:paraId="25C1804F">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标准值</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1D03AE75">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不确定度</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6C66B3A3">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不确定度%</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15F41DDD">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浓度上限</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02558401">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浓度下限</w:t>
            </w:r>
            <w:r>
              <w:rPr>
                <w:rStyle w:val="6"/>
                <w:rFonts w:hint="eastAsia" w:ascii="仿宋" w:hAnsi="仿宋" w:eastAsia="仿宋" w:cs="仿宋"/>
                <w:color w:val="auto"/>
                <w:sz w:val="24"/>
                <w:szCs w:val="24"/>
                <w:lang w:val="en-US" w:eastAsia="zh-CN" w:bidi="ar-SA"/>
              </w:rPr>
              <w:t>*</w:t>
            </w:r>
          </w:p>
        </w:tc>
        <w:tc>
          <w:tcPr>
            <w:tcW w:w="454" w:type="dxa"/>
            <w:tcBorders>
              <w:tl2br w:val="nil"/>
              <w:tr2bl w:val="nil"/>
            </w:tcBorders>
            <w:noWrap w:val="0"/>
            <w:vAlign w:val="center"/>
          </w:tcPr>
          <w:p w14:paraId="26BA85EC">
            <w:pPr>
              <w:widowControl/>
              <w:jc w:val="center"/>
              <w:textAlignment w:val="center"/>
              <w:rPr>
                <w:rFonts w:hint="eastAsia" w:ascii="仿宋" w:hAnsi="仿宋" w:eastAsia="仿宋" w:cs="仿宋"/>
                <w:i w:val="0"/>
                <w:color w:val="auto"/>
                <w:sz w:val="24"/>
                <w:szCs w:val="24"/>
              </w:rPr>
            </w:pPr>
            <w:r>
              <w:rPr>
                <w:rFonts w:hint="eastAsia" w:ascii="仿宋" w:hAnsi="仿宋" w:eastAsia="仿宋" w:cs="仿宋"/>
                <w:i w:val="0"/>
                <w:color w:val="auto"/>
                <w:kern w:val="0"/>
                <w:sz w:val="24"/>
                <w:szCs w:val="24"/>
                <w:lang w:val="en-US" w:eastAsia="zh-CN" w:bidi="ar-SA"/>
              </w:rPr>
              <w:t>浓度单位</w:t>
            </w:r>
            <w:r>
              <w:rPr>
                <w:rStyle w:val="6"/>
                <w:rFonts w:hint="eastAsia" w:ascii="仿宋" w:hAnsi="仿宋" w:eastAsia="仿宋" w:cs="仿宋"/>
                <w:color w:val="auto"/>
                <w:sz w:val="24"/>
                <w:szCs w:val="24"/>
                <w:lang w:val="en-US" w:eastAsia="zh-CN" w:bidi="ar-SA"/>
              </w:rPr>
              <w:t>*</w:t>
            </w:r>
          </w:p>
        </w:tc>
      </w:tr>
      <w:tr w14:paraId="44A8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 w:hRule="atLeast"/>
          <w:jc w:val="center"/>
        </w:trPr>
        <w:tc>
          <w:tcPr>
            <w:tcW w:w="454" w:type="dxa"/>
            <w:tcBorders>
              <w:tl2br w:val="nil"/>
              <w:tr2bl w:val="nil"/>
            </w:tcBorders>
            <w:noWrap w:val="0"/>
            <w:vAlign w:val="center"/>
          </w:tcPr>
          <w:p w14:paraId="64B08C05">
            <w:pPr>
              <w:jc w:val="center"/>
              <w:rPr>
                <w:rFonts w:hint="eastAsia" w:ascii="仿宋" w:hAnsi="仿宋" w:eastAsia="仿宋" w:cs="仿宋"/>
                <w:i w:val="0"/>
                <w:color w:val="auto"/>
                <w:sz w:val="24"/>
                <w:szCs w:val="24"/>
                <w:lang w:val="en-US" w:eastAsia="zh-CN"/>
              </w:rPr>
            </w:pPr>
            <w:r>
              <w:rPr>
                <w:rFonts w:hint="eastAsia" w:ascii="仿宋" w:hAnsi="仿宋" w:eastAsia="仿宋" w:cs="仿宋"/>
                <w:i w:val="0"/>
                <w:color w:val="auto"/>
                <w:sz w:val="24"/>
                <w:szCs w:val="24"/>
                <w:lang w:val="en-US" w:eastAsia="zh-CN"/>
              </w:rPr>
              <w:t>1</w:t>
            </w:r>
          </w:p>
        </w:tc>
        <w:tc>
          <w:tcPr>
            <w:tcW w:w="454" w:type="dxa"/>
            <w:tcBorders>
              <w:tl2br w:val="nil"/>
              <w:tr2bl w:val="nil"/>
            </w:tcBorders>
            <w:noWrap w:val="0"/>
            <w:vAlign w:val="center"/>
          </w:tcPr>
          <w:p w14:paraId="6A671CC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5B33FFF">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6A41ADA">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786DDB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1CF1908">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30A7D29">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FC4D82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73D4C5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C555D2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99506E8">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54B0B5A">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D093CC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3FF1328">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2544131">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3B2F52C">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C3551D6">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24F1D3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922F9A3">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F22E215">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E879A8C">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876668C">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7096B3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084478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AB91C2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A68386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393012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780AD23">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6D7FEB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797B939">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93E95F3">
            <w:pPr>
              <w:jc w:val="center"/>
              <w:rPr>
                <w:rFonts w:hint="eastAsia" w:ascii="仿宋" w:hAnsi="仿宋" w:eastAsia="仿宋" w:cs="仿宋"/>
                <w:i w:val="0"/>
                <w:color w:val="auto"/>
                <w:sz w:val="24"/>
                <w:szCs w:val="24"/>
              </w:rPr>
            </w:pPr>
          </w:p>
        </w:tc>
      </w:tr>
      <w:tr w14:paraId="2058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 w:hRule="atLeast"/>
          <w:jc w:val="center"/>
        </w:trPr>
        <w:tc>
          <w:tcPr>
            <w:tcW w:w="454" w:type="dxa"/>
            <w:tcBorders>
              <w:tl2br w:val="nil"/>
              <w:tr2bl w:val="nil"/>
            </w:tcBorders>
            <w:noWrap w:val="0"/>
            <w:vAlign w:val="center"/>
          </w:tcPr>
          <w:p w14:paraId="63AF3934">
            <w:pPr>
              <w:jc w:val="center"/>
              <w:rPr>
                <w:rFonts w:hint="eastAsia" w:ascii="仿宋" w:hAnsi="仿宋" w:eastAsia="仿宋" w:cs="仿宋"/>
                <w:i w:val="0"/>
                <w:color w:val="auto"/>
                <w:sz w:val="24"/>
                <w:szCs w:val="24"/>
                <w:lang w:val="en-US" w:eastAsia="zh-CN"/>
              </w:rPr>
            </w:pPr>
            <w:r>
              <w:rPr>
                <w:rFonts w:hint="eastAsia" w:ascii="仿宋" w:hAnsi="仿宋" w:eastAsia="仿宋" w:cs="仿宋"/>
                <w:i w:val="0"/>
                <w:color w:val="auto"/>
                <w:sz w:val="24"/>
                <w:szCs w:val="24"/>
                <w:lang w:val="en-US" w:eastAsia="zh-CN"/>
              </w:rPr>
              <w:t>2</w:t>
            </w:r>
          </w:p>
        </w:tc>
        <w:tc>
          <w:tcPr>
            <w:tcW w:w="454" w:type="dxa"/>
            <w:tcBorders>
              <w:tl2br w:val="nil"/>
              <w:tr2bl w:val="nil"/>
            </w:tcBorders>
            <w:noWrap w:val="0"/>
            <w:vAlign w:val="center"/>
          </w:tcPr>
          <w:p w14:paraId="616DB7D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2538011">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944330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959A22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98E065E">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0AAD3D3">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2093BC5">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AB4CED1">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D46737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2C77F66">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E2347B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A27368E">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DF645FE">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303CA95">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21389C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FE2FDBA">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269070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425F43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5FD7F1F">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2649204">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C968B1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A3D6D06">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73BA7EE">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1220F5C">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1D318A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2C1497F">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DB3A8C8">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1C11D39">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241B101">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A49816B">
            <w:pPr>
              <w:jc w:val="center"/>
              <w:rPr>
                <w:rFonts w:hint="eastAsia" w:ascii="仿宋" w:hAnsi="仿宋" w:eastAsia="仿宋" w:cs="仿宋"/>
                <w:i w:val="0"/>
                <w:color w:val="auto"/>
                <w:sz w:val="24"/>
                <w:szCs w:val="24"/>
              </w:rPr>
            </w:pPr>
          </w:p>
        </w:tc>
      </w:tr>
      <w:tr w14:paraId="0667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 w:hRule="atLeast"/>
          <w:jc w:val="center"/>
        </w:trPr>
        <w:tc>
          <w:tcPr>
            <w:tcW w:w="454" w:type="dxa"/>
            <w:tcBorders>
              <w:tl2br w:val="nil"/>
              <w:tr2bl w:val="nil"/>
            </w:tcBorders>
            <w:noWrap w:val="0"/>
            <w:vAlign w:val="center"/>
          </w:tcPr>
          <w:p w14:paraId="648122E4">
            <w:pPr>
              <w:jc w:val="center"/>
              <w:rPr>
                <w:rFonts w:hint="eastAsia" w:ascii="仿宋" w:hAnsi="仿宋" w:eastAsia="仿宋" w:cs="仿宋"/>
                <w:i w:val="0"/>
                <w:color w:val="auto"/>
                <w:sz w:val="24"/>
                <w:szCs w:val="24"/>
                <w:lang w:val="en-US" w:eastAsia="zh-CN"/>
              </w:rPr>
            </w:pPr>
            <w:r>
              <w:rPr>
                <w:rFonts w:hint="eastAsia" w:ascii="仿宋" w:hAnsi="仿宋" w:eastAsia="仿宋" w:cs="仿宋"/>
                <w:i w:val="0"/>
                <w:color w:val="auto"/>
                <w:sz w:val="24"/>
                <w:szCs w:val="24"/>
                <w:lang w:val="en-US" w:eastAsia="zh-CN"/>
              </w:rPr>
              <w:t>3</w:t>
            </w:r>
          </w:p>
        </w:tc>
        <w:tc>
          <w:tcPr>
            <w:tcW w:w="454" w:type="dxa"/>
            <w:tcBorders>
              <w:tl2br w:val="nil"/>
              <w:tr2bl w:val="nil"/>
            </w:tcBorders>
            <w:noWrap w:val="0"/>
            <w:vAlign w:val="center"/>
          </w:tcPr>
          <w:p w14:paraId="6F393D03">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1CB1B39">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8EA6EE0">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3441CB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66B665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4516789">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F1B083E">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050B22F">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B0F7D4C">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2C1882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E8DE01A">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135118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ACC5F1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4A30455">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E0CC12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29E3DB6">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B924E6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5B633DB">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765AF73">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2168C0E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A771138">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B7B6CC2">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4170B6B8">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5977A41D">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66CCB9FC">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76196AF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0B8FD27">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3890EF83">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01C04B61">
            <w:pPr>
              <w:jc w:val="center"/>
              <w:rPr>
                <w:rFonts w:hint="eastAsia" w:ascii="仿宋" w:hAnsi="仿宋" w:eastAsia="仿宋" w:cs="仿宋"/>
                <w:i w:val="0"/>
                <w:color w:val="auto"/>
                <w:sz w:val="24"/>
                <w:szCs w:val="24"/>
              </w:rPr>
            </w:pPr>
          </w:p>
        </w:tc>
        <w:tc>
          <w:tcPr>
            <w:tcW w:w="454" w:type="dxa"/>
            <w:tcBorders>
              <w:tl2br w:val="nil"/>
              <w:tr2bl w:val="nil"/>
            </w:tcBorders>
            <w:noWrap w:val="0"/>
            <w:vAlign w:val="center"/>
          </w:tcPr>
          <w:p w14:paraId="1E12B790">
            <w:pPr>
              <w:jc w:val="center"/>
              <w:rPr>
                <w:rFonts w:hint="eastAsia" w:ascii="仿宋" w:hAnsi="仿宋" w:eastAsia="仿宋" w:cs="仿宋"/>
                <w:i w:val="0"/>
                <w:color w:val="auto"/>
                <w:sz w:val="24"/>
                <w:szCs w:val="24"/>
              </w:rPr>
            </w:pPr>
          </w:p>
        </w:tc>
      </w:tr>
    </w:tbl>
    <w:p w14:paraId="1896A129">
      <w:pPr>
        <w:widowControl w:val="0"/>
        <w:wordWrap/>
        <w:overflowPunct w:val="0"/>
        <w:adjustRightInd/>
        <w:snapToGrid/>
        <w:spacing w:before="0" w:beforeLines="0" w:after="0" w:afterLines="0" w:line="600" w:lineRule="exact"/>
        <w:ind w:left="0" w:leftChars="0" w:right="0" w:firstLine="0" w:firstLineChars="0"/>
        <w:jc w:val="left"/>
        <w:textAlignment w:val="auto"/>
        <w:outlineLvl w:val="9"/>
        <w:rPr>
          <w:rFonts w:hint="eastAsia" w:ascii="Times New Roman" w:hAnsi="Times New Roman" w:eastAsia="仿宋" w:cs="仿宋"/>
          <w:sz w:val="32"/>
          <w:szCs w:val="32"/>
          <w:lang w:val="en-US" w:eastAsia="zh-CN"/>
        </w:rPr>
        <w:sectPr>
          <w:pgSz w:w="16838" w:h="11906" w:orient="landscape"/>
          <w:pgMar w:top="839" w:right="873" w:bottom="839" w:left="873"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0" w:name="_GoBack"/>
      <w:bookmarkEnd w:id="0"/>
    </w:p>
    <w:p w14:paraId="336BB91D">
      <w:pPr>
        <w:pStyle w:val="3"/>
        <w:ind w:left="0" w:leftChars="0" w:firstLine="0" w:firstLineChars="0"/>
        <w:rPr>
          <w:rFonts w:hint="default" w:ascii="仿宋" w:hAnsi="仿宋" w:eastAsia="仿宋" w:cs="仿宋"/>
          <w:w w:val="95"/>
          <w:kern w:val="2"/>
          <w:sz w:val="32"/>
          <w:szCs w:val="32"/>
          <w:highlight w:val="none"/>
          <w:lang w:val="en-US" w:eastAsia="zh-CN" w:bidi="ar-SA"/>
        </w:rPr>
      </w:pPr>
    </w:p>
    <w:sectPr>
      <w:pgSz w:w="11906" w:h="16838"/>
      <w:pgMar w:top="873" w:right="839" w:bottom="873" w:left="839"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DU3ZDcxNmFjMTFkMTU3MDc5YTJiNWU5N2NmZmEifQ=="/>
  </w:docVars>
  <w:rsids>
    <w:rsidRoot w:val="00000000"/>
    <w:rsid w:val="05112D4D"/>
    <w:rsid w:val="0A5E5382"/>
    <w:rsid w:val="0AE138BD"/>
    <w:rsid w:val="13095F4B"/>
    <w:rsid w:val="20FB6E2C"/>
    <w:rsid w:val="45717E72"/>
    <w:rsid w:val="46312654"/>
    <w:rsid w:val="4DE2659A"/>
    <w:rsid w:val="4EE56D27"/>
    <w:rsid w:val="56836CF0"/>
    <w:rsid w:val="72B61604"/>
    <w:rsid w:val="73906506"/>
    <w:rsid w:val="784B4BEC"/>
    <w:rsid w:val="7B4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7"/>
    </w:pPr>
    <w:rPr>
      <w:sz w:val="20"/>
      <w:szCs w:val="20"/>
    </w:rPr>
  </w:style>
  <w:style w:type="paragraph" w:styleId="3">
    <w:name w:val="Body Text First Indent"/>
    <w:basedOn w:val="2"/>
    <w:qFormat/>
    <w:uiPriority w:val="99"/>
    <w:pPr>
      <w:ind w:firstLine="420" w:firstLineChars="100"/>
    </w:pPr>
  </w:style>
  <w:style w:type="character" w:customStyle="1" w:styleId="6">
    <w:name w:val="font01"/>
    <w:basedOn w:val="5"/>
    <w:qFormat/>
    <w:uiPriority w:val="0"/>
    <w:rPr>
      <w:rFonts w:hint="eastAsia" w:ascii="宋体" w:hAnsi="宋体" w:eastAsia="宋体" w:cs="宋体"/>
      <w:color w:val="FF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1220</Words>
  <Characters>1279</Characters>
  <Lines>0</Lines>
  <Paragraphs>0</Paragraphs>
  <TotalTime>1</TotalTime>
  <ScaleCrop>false</ScaleCrop>
  <LinksUpToDate>false</LinksUpToDate>
  <CharactersWithSpaces>1308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2025-02-27T03:48:00Z</dcterms:created>
  <dc:creator>HUAWEI</dc:creator>
  <cp:lastModifiedBy>欧铭</cp:lastModifiedBy>
  <dcterms:modified xsi:type="dcterms:W3CDTF">2025-04-29T13:37:21Z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548DF8F746DC42108F66CD53F985F6BC_12</vt:lpwstr>
  </property>
  <property fmtid="{D5CDD505-2E9C-101B-9397-08002B2CF9AE}" pid="4" name="KSOTemplateDocerSaveRecord">
    <vt:lpwstr>eyJoZGlkIjoiNTFhZDU3ZDcxNmFjMTFkMTU3MDc5YTJiNWU5N2NmZmEiLCJ1c2VySWQiOiI5NTY3NDU1NjkifQ==</vt:lpwstr>
  </property>
</Properties>
</file>