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6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</w:t>
      </w:r>
      <w:bookmarkStart w:id="2" w:name="_GoBack"/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：</w:t>
      </w:r>
      <w:bookmarkStart w:id="0" w:name="OLE_LINK2"/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2024年广西生态环境质量报告出版服务</w:t>
      </w:r>
      <w:bookmarkEnd w:id="0"/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</w:t>
      </w:r>
      <w:bookmarkEnd w:id="2"/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                                       </w:t>
      </w:r>
    </w:p>
    <w:tbl>
      <w:tblPr>
        <w:tblStyle w:val="4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440"/>
        <w:gridCol w:w="3983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1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1"/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服务内容：</w:t>
            </w:r>
            <w:r>
              <w:rPr>
                <w:rFonts w:hint="eastAsia" w:ascii="仿宋" w:hAnsi="仿宋" w:eastAsia="仿宋" w:cs="仿宋"/>
                <w:sz w:val="24"/>
              </w:rPr>
              <w:t>完成《2024年广西生态环境质量报告》书稿的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编辑加工、</w:t>
            </w:r>
            <w:r>
              <w:rPr>
                <w:rFonts w:hint="eastAsia" w:ascii="仿宋" w:hAnsi="仿宋" w:eastAsia="仿宋" w:cs="仿宋"/>
                <w:sz w:val="24"/>
              </w:rPr>
              <w:t>一校、二校、三校、审读、装帧设计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4"/>
              </w:rPr>
              <w:t>书号申请等编撰与出版工作。全书稿面字数约22万字。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服务要求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服务成果：2026年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日前向采购人提交《2024年广西生态环境质量报告》图书100册及图书最终的电子稿（PDF文档）。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印刷要求：图书成品规格为16开（成品尺寸185mm×260mm）。内文采用100克纯质纸彩色印刷，图片为全彩，封面用纸为250克特种彩色纸，图书装订方式采用精装。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保密要求：稿件内容未经采购方允许，不得擅自交予第三方传看，不泄露其内容；不以任何方式与外界讨论、报告、发表、传播不允许公开的工作环境、内容、数据、图件和成果等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4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2025年12月20日前，成交人提供的一校稿；</w:t>
            </w: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年6月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将100本编著和最终电子稿（PDF文档）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交付至南宁市青秀区佛子岭路16号广西壮族自治区生态环境监测中心。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应在“响应内容”一栏中加粗字体标注。</w:t>
      </w:r>
    </w:p>
    <w:sectPr>
      <w:pgSz w:w="16838" w:h="11906" w:orient="landscape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BE67494"/>
    <w:rsid w:val="0EFC1DC2"/>
    <w:rsid w:val="0F65034F"/>
    <w:rsid w:val="1382238D"/>
    <w:rsid w:val="13F11296"/>
    <w:rsid w:val="19E5590B"/>
    <w:rsid w:val="1E7C1811"/>
    <w:rsid w:val="1EB3776D"/>
    <w:rsid w:val="1F085625"/>
    <w:rsid w:val="204F4F90"/>
    <w:rsid w:val="22665581"/>
    <w:rsid w:val="28A33B88"/>
    <w:rsid w:val="294B23CF"/>
    <w:rsid w:val="2D4550DF"/>
    <w:rsid w:val="319A2B6E"/>
    <w:rsid w:val="33607171"/>
    <w:rsid w:val="342811E5"/>
    <w:rsid w:val="34303A26"/>
    <w:rsid w:val="37FA5167"/>
    <w:rsid w:val="3C7E7F9F"/>
    <w:rsid w:val="3F950BB5"/>
    <w:rsid w:val="40672095"/>
    <w:rsid w:val="41390A92"/>
    <w:rsid w:val="430147FA"/>
    <w:rsid w:val="45667709"/>
    <w:rsid w:val="488D5B16"/>
    <w:rsid w:val="4D5E2AFB"/>
    <w:rsid w:val="4E7E67D5"/>
    <w:rsid w:val="514A30E4"/>
    <w:rsid w:val="537E210B"/>
    <w:rsid w:val="575136EE"/>
    <w:rsid w:val="58B640DC"/>
    <w:rsid w:val="5B382018"/>
    <w:rsid w:val="5C89392A"/>
    <w:rsid w:val="60DF20EB"/>
    <w:rsid w:val="60E53887"/>
    <w:rsid w:val="6271300E"/>
    <w:rsid w:val="62D50B34"/>
    <w:rsid w:val="640E1B35"/>
    <w:rsid w:val="64212D54"/>
    <w:rsid w:val="698450AA"/>
    <w:rsid w:val="6A763739"/>
    <w:rsid w:val="6AD66FD5"/>
    <w:rsid w:val="6C21796F"/>
    <w:rsid w:val="6C784183"/>
    <w:rsid w:val="6FC42B34"/>
    <w:rsid w:val="700B1AE0"/>
    <w:rsid w:val="719E4475"/>
    <w:rsid w:val="74A65227"/>
    <w:rsid w:val="77773939"/>
    <w:rsid w:val="77A30552"/>
    <w:rsid w:val="77C70B12"/>
    <w:rsid w:val="787466AD"/>
    <w:rsid w:val="789F07F6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609</Characters>
  <Lines>0</Lines>
  <Paragraphs>0</Paragraphs>
  <TotalTime>4</TotalTime>
  <ScaleCrop>false</ScaleCrop>
  <LinksUpToDate>false</LinksUpToDate>
  <CharactersWithSpaces>795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'吕保玉'</cp:lastModifiedBy>
  <dcterms:modified xsi:type="dcterms:W3CDTF">2025-10-15T00:50:02Z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