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-SA"/>
        </w:rPr>
        <w:t>年度国有资产清查盘点服务项目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</w:t>
      </w:r>
    </w:p>
    <w:tbl>
      <w:tblPr>
        <w:tblStyle w:val="5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40"/>
        <w:gridCol w:w="398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2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资产清查范围：以202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年12月31日为基准日，对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采购人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占有、使用及管理的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全部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资产进行清查盘点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2.工作地点：南宁市城区、阳朔县城区及广西区内6个城市，阳朔县盘点工作时间约为3天、6个城市各1天（以实际工作时间为准）。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2" w:firstLineChars="200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盘点前：核对2025年财务账与广西预算管理一体化资产模块系统资产数据，达到账账、账卡相符后实施盘点。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2.盘点过程中：（1）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逐项核对资产信息（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包括但不限于名称、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品牌、型号、存放地点、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使用部门、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使用人、使用状态等），完善资产卡片信息，张贴统一标签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。（2）如实记录资产存放地点、使用部门、使用人及使用状况等事项的变化情况；并充分与相关人员沟通，完成待报废资产的登记。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3.盘点结束后：（1）根据盘点内容形成准确的实物清查盘点表，并由资产使用人对盘点结果进行确认。（2）核实资产是否存在盘盈、盘亏、损毁等情况，查明原因并提出处理意见。（3）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核查会计账目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、广西预算管理一体化平台资产管理模块的数据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与实物资产的一致性，调整账务差异，确保账账相符、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账卡相符、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账实相符。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4.提交材料：（1）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资产清查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盘点明细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表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。对实物盘点情况形成资产清查盘点表，并由资产使用人签字确认。（2）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专项审计报告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对清查结果进行审计，出具资产清查专项审计报告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，对国有资产管理情况进行分析总结，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针对清查发现问题，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提供相应的对策建议。（3）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资产损益鉴证报告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。如本年度存在盘盈、盘亏、毁损报废情况，须对损失的资产形成资产经济鉴证报告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，提出盘亏、报废资产的处置建议。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对供应商的要求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bookmarkStart w:id="1" w:name="OLE_LINK12"/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具有独立法人资格，持有效的《会计师事务所执业证书》或《会计师事务所分所执业证书》。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2.供应商须至少投入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名人员，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项目团队需包含至少1名注册会计师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/>
              </w:rPr>
              <w:t>投入本项目清查工作人员2人的（未经采购人同意中途不得换人）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近三年内无重大违法记录，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未被列入“信用中国”失信名单或“政府采购严重违法失信行为记录”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提供近两年同类项目案例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2个（需提供合同关键页）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。</w:t>
            </w:r>
          </w:p>
          <w:bookmarkEnd w:id="1"/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供应商须提供资产清查服务方案（包含但不限于工作步骤、进度计划、</w:t>
            </w: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人员安排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等）。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6.本次清查盘点的资产存放在多个地点（包括本地和外地），在安排人力和制定清查盘点方案时请给予充分考虑。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7.实地盘点工作基本结束后，供应商须每周向采购人汇报工作进度，每半个月到采购人办公地点核对工作内容、解决工作难点，直至清查盘点工作全部结束。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商务要求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合同签订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发出之日起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个工作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日内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/>
                <w:sz w:val="24"/>
                <w:szCs w:val="24"/>
                <w:highlight w:val="none"/>
                <w:shd w:val="clear" w:color="auto" w:fill="FFFFFF"/>
              </w:rPr>
              <w:t>自合同签订之日起</w:t>
            </w: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shd w:val="clear" w:color="auto" w:fill="FFFFFF"/>
                <w:lang w:eastAsia="zh-CN"/>
              </w:rPr>
              <w:t>至2</w:t>
            </w: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026年6月30日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采购人指定的盘点地点</w:t>
            </w:r>
            <w:bookmarkStart w:id="2" w:name="_GoBack"/>
            <w:bookmarkEnd w:id="2"/>
            <w:r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报价要求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本项目采购预算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9.34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万元，实行总承包报价，报价为采购人指定服务范围内的全部价格，包括：（1）项目实施期间所需设备（如电脑等）、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人员均由成交供应商提供。（2）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因盘点产生的交通费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差旅费、食宿费及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必要的保险费用和各项税金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；（3）与本项目有关的其他一切费用。采购人不再支付成交价格以外的任何费用。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BE67494"/>
    <w:rsid w:val="0EFC1DC2"/>
    <w:rsid w:val="0F65034F"/>
    <w:rsid w:val="1382238D"/>
    <w:rsid w:val="13F11296"/>
    <w:rsid w:val="19E5590B"/>
    <w:rsid w:val="1D2E73E5"/>
    <w:rsid w:val="1E7C1811"/>
    <w:rsid w:val="1EB3776D"/>
    <w:rsid w:val="1F085625"/>
    <w:rsid w:val="204F4F90"/>
    <w:rsid w:val="22665581"/>
    <w:rsid w:val="28A33B88"/>
    <w:rsid w:val="294B23CF"/>
    <w:rsid w:val="2D4550DF"/>
    <w:rsid w:val="319A2B6E"/>
    <w:rsid w:val="33607171"/>
    <w:rsid w:val="342811E5"/>
    <w:rsid w:val="34303A26"/>
    <w:rsid w:val="37FA5167"/>
    <w:rsid w:val="3C7E7F9F"/>
    <w:rsid w:val="3F950BB5"/>
    <w:rsid w:val="40672095"/>
    <w:rsid w:val="41390A92"/>
    <w:rsid w:val="430147FA"/>
    <w:rsid w:val="43552086"/>
    <w:rsid w:val="45667709"/>
    <w:rsid w:val="488D5B16"/>
    <w:rsid w:val="4AE72472"/>
    <w:rsid w:val="4D5E2AFB"/>
    <w:rsid w:val="4E7E67D5"/>
    <w:rsid w:val="514A30E4"/>
    <w:rsid w:val="537E210B"/>
    <w:rsid w:val="575136EE"/>
    <w:rsid w:val="58527F95"/>
    <w:rsid w:val="58B640DC"/>
    <w:rsid w:val="5A8D4DFF"/>
    <w:rsid w:val="5B382018"/>
    <w:rsid w:val="5C89392A"/>
    <w:rsid w:val="60DF20EB"/>
    <w:rsid w:val="60E53887"/>
    <w:rsid w:val="6271300E"/>
    <w:rsid w:val="62D50B34"/>
    <w:rsid w:val="640E1B35"/>
    <w:rsid w:val="64212D54"/>
    <w:rsid w:val="698450AA"/>
    <w:rsid w:val="6A763739"/>
    <w:rsid w:val="6AD66FD5"/>
    <w:rsid w:val="6C21796F"/>
    <w:rsid w:val="6C784183"/>
    <w:rsid w:val="6FC42B34"/>
    <w:rsid w:val="700B1AE0"/>
    <w:rsid w:val="719E4475"/>
    <w:rsid w:val="74A65227"/>
    <w:rsid w:val="77773939"/>
    <w:rsid w:val="77A30552"/>
    <w:rsid w:val="77C70B12"/>
    <w:rsid w:val="77D210A2"/>
    <w:rsid w:val="787466AD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1419</Characters>
  <Lines>0</Lines>
  <Paragraphs>0</Paragraphs>
  <TotalTime>0</TotalTime>
  <ScaleCrop>false</ScaleCrop>
  <LinksUpToDate>false</LinksUpToDate>
  <CharactersWithSpaces>1605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'吕保玉'</cp:lastModifiedBy>
  <dcterms:modified xsi:type="dcterms:W3CDTF">2025-10-21T01:32:01Z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