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98F8A">
      <w:pPr>
        <w:tabs>
          <w:tab w:val="left" w:pos="0"/>
        </w:tabs>
        <w:spacing w:line="600" w:lineRule="exact"/>
        <w:jc w:val="both"/>
        <w:rPr>
          <w:rFonts w:hint="default" w:ascii="方正小标宋简体" w:hAnsi="方正小标宋简体" w:eastAsia="方正小标宋简体" w:cs="方正小标宋简体"/>
          <w:b w:val="0"/>
          <w:bCs w:val="0"/>
          <w:sz w:val="44"/>
          <w:szCs w:val="44"/>
          <w:lang w:val="en-US" w:eastAsia="zh-CN"/>
        </w:rPr>
      </w:pPr>
      <w:bookmarkStart w:id="0" w:name="_Toc97390416"/>
      <w:r>
        <w:rPr>
          <w:rFonts w:hint="eastAsia" w:ascii="方正小标宋简体" w:hAnsi="方正小标宋简体" w:eastAsia="方正小标宋简体" w:cs="方正小标宋简体"/>
          <w:b w:val="0"/>
          <w:bCs w:val="0"/>
          <w:sz w:val="32"/>
          <w:szCs w:val="32"/>
          <w:lang w:val="en-US" w:eastAsia="zh-CN"/>
        </w:rPr>
        <w:t>附件2</w:t>
      </w:r>
      <w:bookmarkStart w:id="1" w:name="_GoBack"/>
      <w:bookmarkEnd w:id="1"/>
    </w:p>
    <w:p w14:paraId="2EA9944D">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880" w:firstLineChars="200"/>
        <w:jc w:val="center"/>
        <w:textAlignment w:val="auto"/>
        <w:rPr>
          <w:rFonts w:hint="default"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2025年区控水质自动监测站维护维修项目</w:t>
      </w:r>
      <w:r>
        <w:rPr>
          <w:rFonts w:hint="eastAsia" w:ascii="方正小标宋简体" w:hAnsi="方正小标宋简体" w:eastAsia="方正小标宋简体" w:cs="方正小标宋简体"/>
          <w:b w:val="0"/>
          <w:bCs w:val="0"/>
          <w:sz w:val="44"/>
          <w:szCs w:val="44"/>
          <w:lang w:val="en-US" w:eastAsia="zh-CN"/>
        </w:rPr>
        <w:t>评分标准</w:t>
      </w:r>
    </w:p>
    <w:p w14:paraId="6E9E17CC">
      <w:pPr>
        <w:keepNext w:val="0"/>
        <w:keepLines w:val="0"/>
        <w:pageBreakBefore w:val="0"/>
        <w:widowControl w:val="0"/>
        <w:tabs>
          <w:tab w:val="left" w:pos="0"/>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0"/>
          <w:szCs w:val="30"/>
        </w:rPr>
      </w:pPr>
    </w:p>
    <w:bookmarkEnd w:id="0"/>
    <w:p w14:paraId="62E10440">
      <w:pPr>
        <w:pStyle w:val="18"/>
        <w:spacing w:line="440" w:lineRule="exact"/>
        <w:ind w:firstLine="420"/>
        <w:rPr>
          <w:rFonts w:hint="eastAsia" w:hAnsi="宋体"/>
          <w:bCs/>
          <w:color w:val="auto"/>
          <w:highlight w:val="none"/>
        </w:rPr>
      </w:pPr>
      <w:r>
        <w:rPr>
          <w:rFonts w:hint="eastAsia" w:hAnsi="宋体"/>
          <w:bCs/>
          <w:color w:val="auto"/>
          <w:highlight w:val="none"/>
        </w:rPr>
        <w:t>注：</w:t>
      </w:r>
    </w:p>
    <w:p w14:paraId="40F5E4BD">
      <w:pPr>
        <w:pStyle w:val="18"/>
        <w:spacing w:line="440" w:lineRule="exact"/>
        <w:ind w:firstLine="420"/>
        <w:rPr>
          <w:rFonts w:hint="eastAsia" w:hAnsi="宋体"/>
          <w:bCs/>
          <w:color w:val="auto"/>
          <w:highlight w:val="none"/>
        </w:rPr>
      </w:pPr>
      <w:r>
        <w:rPr>
          <w:rFonts w:hint="eastAsia" w:hAnsi="宋体"/>
          <w:bCs/>
          <w:color w:val="auto"/>
          <w:highlight w:val="none"/>
        </w:rPr>
        <w:t>1、计分方法按四舍五入取至百分位。</w:t>
      </w:r>
    </w:p>
    <w:p w14:paraId="07EBBB17">
      <w:pPr>
        <w:pStyle w:val="18"/>
        <w:spacing w:line="440" w:lineRule="exact"/>
        <w:ind w:firstLine="420"/>
        <w:rPr>
          <w:rFonts w:hint="eastAsia" w:hAnsi="宋体"/>
          <w:bCs/>
          <w:color w:val="auto"/>
          <w:highlight w:val="none"/>
        </w:rPr>
      </w:pPr>
      <w:r>
        <w:rPr>
          <w:rFonts w:hint="eastAsia" w:hAnsi="宋体"/>
          <w:bCs/>
          <w:color w:val="auto"/>
          <w:highlight w:val="none"/>
        </w:rPr>
        <w:t>2、商务技术评审因素为客观评分项的，应在评分项目或评分标准中予以标注为“客观分”。对投标人的客观评分项目，各评标专家评分应当一致。</w:t>
      </w:r>
    </w:p>
    <w:tbl>
      <w:tblPr>
        <w:tblStyle w:val="28"/>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55"/>
        <w:gridCol w:w="992"/>
        <w:gridCol w:w="7145"/>
      </w:tblGrid>
      <w:tr w14:paraId="0975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gridSpan w:val="2"/>
            <w:noWrap w:val="0"/>
            <w:vAlign w:val="center"/>
          </w:tcPr>
          <w:p w14:paraId="72C64156">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92" w:type="dxa"/>
            <w:noWrap w:val="0"/>
            <w:vAlign w:val="center"/>
          </w:tcPr>
          <w:p w14:paraId="430A376B">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145" w:type="dxa"/>
            <w:noWrap w:val="0"/>
            <w:vAlign w:val="center"/>
          </w:tcPr>
          <w:p w14:paraId="2C88DECE">
            <w:pPr>
              <w:pStyle w:val="18"/>
              <w:keepNext w:val="0"/>
              <w:keepLines w:val="0"/>
              <w:pageBreakBefore w:val="0"/>
              <w:widowControl w:val="0"/>
              <w:kinsoku/>
              <w:wordWrap/>
              <w:overflowPunct/>
              <w:topLinePunct w:val="0"/>
              <w:autoSpaceDE/>
              <w:autoSpaceDN/>
              <w:bidi w:val="0"/>
              <w:adjustRightInd/>
              <w:spacing w:line="30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r>
      <w:tr w14:paraId="1496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noWrap w:val="0"/>
            <w:vAlign w:val="center"/>
          </w:tcPr>
          <w:p w14:paraId="1FD3DCB1">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55" w:type="dxa"/>
            <w:noWrap w:val="0"/>
            <w:vAlign w:val="center"/>
          </w:tcPr>
          <w:p w14:paraId="1A3BE95F">
            <w:pPr>
              <w:pStyle w:val="18"/>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7EF99A2B">
            <w:pPr>
              <w:pStyle w:val="18"/>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06DA7160">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宋体" w:hAnsi="宋体" w:eastAsia="宋体" w:cs="宋体"/>
                <w:color w:val="auto"/>
                <w:sz w:val="21"/>
                <w:szCs w:val="21"/>
                <w:highlight w:val="none"/>
              </w:rPr>
            </w:pPr>
          </w:p>
        </w:tc>
        <w:tc>
          <w:tcPr>
            <w:tcW w:w="992" w:type="dxa"/>
            <w:noWrap w:val="0"/>
            <w:vAlign w:val="center"/>
          </w:tcPr>
          <w:p w14:paraId="62FBF475">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145" w:type="dxa"/>
            <w:noWrap w:val="0"/>
            <w:vAlign w:val="center"/>
          </w:tcPr>
          <w:p w14:paraId="498871DC">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25B4A9EA">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547FFF1E">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0E5D961">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397EB21">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4365CA61">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54C97ACF">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64EF19C5">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0E776F49">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0分。</w:t>
            </w:r>
          </w:p>
          <w:p w14:paraId="142211BD">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（8）低价说明。</w:t>
            </w:r>
          </w:p>
          <w:p w14:paraId="5BE06D14">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29A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vMerge w:val="restart"/>
            <w:noWrap w:val="0"/>
            <w:vAlign w:val="center"/>
          </w:tcPr>
          <w:p w14:paraId="58FFB5B6">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755" w:type="dxa"/>
            <w:vMerge w:val="restart"/>
            <w:noWrap w:val="0"/>
            <w:vAlign w:val="center"/>
          </w:tcPr>
          <w:p w14:paraId="0E2A6CB9">
            <w:pPr>
              <w:keepNext w:val="0"/>
              <w:keepLines w:val="0"/>
              <w:pageBreakBefore w:val="0"/>
              <w:widowControl w:val="0"/>
              <w:kinsoku/>
              <w:wordWrap/>
              <w:overflowPunct/>
              <w:topLinePunct w:val="0"/>
              <w:autoSpaceDE/>
              <w:autoSpaceDN/>
              <w:bidi w:val="0"/>
              <w:adjustRightInd/>
              <w:snapToGrid/>
              <w:spacing w:line="300" w:lineRule="auto"/>
              <w:ind w:right="-105" w:rightChars="-50"/>
              <w:jc w:val="both"/>
              <w:textAlignment w:val="auto"/>
              <w:rPr>
                <w:rFonts w:hint="eastAsia"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技术分（满分</w:t>
            </w:r>
            <w:r>
              <w:rPr>
                <w:rFonts w:hint="eastAsia" w:ascii="宋体" w:hAnsi="宋体" w:cs="宋体"/>
                <w:bCs/>
                <w:color w:val="auto"/>
                <w:sz w:val="21"/>
                <w:szCs w:val="21"/>
                <w:highlight w:val="none"/>
                <w:lang w:val="en-US" w:eastAsia="zh-CN"/>
              </w:rPr>
              <w:t>65</w:t>
            </w:r>
            <w:r>
              <w:rPr>
                <w:rFonts w:hint="eastAsia" w:ascii="宋体" w:hAnsi="宋体" w:eastAsia="宋体" w:cs="宋体"/>
                <w:bCs/>
                <w:color w:val="auto"/>
                <w:sz w:val="21"/>
                <w:szCs w:val="21"/>
                <w:highlight w:val="none"/>
              </w:rPr>
              <w:t>分）</w:t>
            </w:r>
          </w:p>
        </w:tc>
        <w:tc>
          <w:tcPr>
            <w:tcW w:w="992" w:type="dxa"/>
            <w:noWrap w:val="0"/>
            <w:vAlign w:val="center"/>
          </w:tcPr>
          <w:p w14:paraId="4187A4EB">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实施方案（满分</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c>
          <w:tcPr>
            <w:tcW w:w="7145" w:type="dxa"/>
            <w:noWrap w:val="0"/>
            <w:vAlign w:val="center"/>
          </w:tcPr>
          <w:p w14:paraId="726AE1FC">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对实施方案（至少包括：工作计划、人员、进度安排，组织措施和保障方案）的合理性、科学性、可操作性，从以下方面进行评分：</w:t>
            </w:r>
          </w:p>
          <w:p w14:paraId="4D4179CA">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分）：实施方案符合项目基本要求，工作流程、人员配备、工作措施、工作方法、工作手段等基本规范，且项目进度控制措施、质量控制措施、安全保障机制和应急预案有一定可操作性，满足工作时限要求。</w:t>
            </w:r>
          </w:p>
          <w:p w14:paraId="71C67BD6">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实施方案详细、合理，符合项目要求。工作流程、人员配备、工作措施、工作方法、工作手段等规范且可操作；项目进度控制措施详细可行；管理体系完整；质量保证及质量控制措施可行；具体的数据检查、质量控制以及反馈纠正措施详细；安全保障机制完整且具有明确的预防和补救措施应急预案，完成工作时间具有一定的提前量。</w:t>
            </w:r>
          </w:p>
          <w:p w14:paraId="636D5A98">
            <w:pPr>
              <w:keepNext w:val="0"/>
              <w:keepLines w:val="0"/>
              <w:pageBreakBefore w:val="0"/>
              <w:widowControl w:val="0"/>
              <w:kinsoku/>
              <w:wordWrap/>
              <w:overflowPunct/>
              <w:topLinePunct w:val="0"/>
              <w:autoSpaceDE/>
              <w:autoSpaceDN/>
              <w:bidi w:val="0"/>
              <w:adjustRightInd/>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实施方案详细、科学、合理，除符合项目要求外，提高额外保障服务。工作流程、人员配备分工合理、工作措施、工作方法、工作手段等规范、详细，可操作性强；列出项目工作进度计划表，进度控制措施详细、科学；管理制度和管理体系完善，有明确详尽的质量保证及质量控制措施，并落实到具体负责人；数据检查、质量控制以及反馈纠正措施全面、科学、合理，并落实到具体质量监督人员；有安全保障机制且可操作性强；有合理可行的应急预案，充分考虑多种突发情况，具有有效的预防和补救措施，完成工作时间有充足的提前量。</w:t>
            </w:r>
          </w:p>
        </w:tc>
      </w:tr>
      <w:tr w14:paraId="050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525" w:type="dxa"/>
            <w:vMerge w:val="continue"/>
            <w:noWrap w:val="0"/>
            <w:vAlign w:val="center"/>
          </w:tcPr>
          <w:p w14:paraId="2A0216C0">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755" w:type="dxa"/>
            <w:vMerge w:val="continue"/>
            <w:noWrap w:val="0"/>
            <w:vAlign w:val="center"/>
          </w:tcPr>
          <w:p w14:paraId="1F63DD73">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992" w:type="dxa"/>
            <w:noWrap w:val="0"/>
            <w:vAlign w:val="center"/>
          </w:tcPr>
          <w:p w14:paraId="03B8D393">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质量控制方案分（满分16分）</w:t>
            </w:r>
          </w:p>
        </w:tc>
        <w:tc>
          <w:tcPr>
            <w:tcW w:w="7145" w:type="dxa"/>
            <w:noWrap w:val="0"/>
            <w:vAlign w:val="center"/>
          </w:tcPr>
          <w:p w14:paraId="3A06720D">
            <w:pPr>
              <w:pStyle w:val="18"/>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对质量控制方案（至少包括：控制项目、控制措施、控制环节、质量评价指标和标准、实施频次和时间等）的合理性、科学性，从以下方面进行评分：</w:t>
            </w:r>
          </w:p>
          <w:p w14:paraId="1E98317A">
            <w:pPr>
              <w:pStyle w:val="18"/>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一档（0分）：方案无法满足项目需求或不完整或存在其他无关本项目表述，资料和数据检查、质量控制以及反馈纠错工作表述缺失，质量保证机制在项目执行过程不具可实施性。</w:t>
            </w:r>
          </w:p>
          <w:p w14:paraId="3AF3FB2E">
            <w:pPr>
              <w:pStyle w:val="18"/>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分）：方案框架无缺失，措施和实施人员安排满足项目质控要求，纠错流程完整但质控方案在执行过程人员安排重复，部分内容穿插无序。</w:t>
            </w:r>
          </w:p>
          <w:p w14:paraId="44A9D0AC">
            <w:pPr>
              <w:pStyle w:val="18"/>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分）：方案框架完整，措施和实施人员安排满足项目质控要求，纠错流程完整,质控方案在执行过程实施部门和人员安排充足，提供有应急预案。</w:t>
            </w:r>
          </w:p>
        </w:tc>
      </w:tr>
      <w:tr w14:paraId="1F84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525" w:type="dxa"/>
            <w:vMerge w:val="continue"/>
            <w:noWrap w:val="0"/>
            <w:vAlign w:val="center"/>
          </w:tcPr>
          <w:p w14:paraId="4441209D">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755" w:type="dxa"/>
            <w:vMerge w:val="continue"/>
            <w:noWrap w:val="0"/>
            <w:vAlign w:val="center"/>
          </w:tcPr>
          <w:p w14:paraId="7C910CFD">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992" w:type="dxa"/>
            <w:noWrap w:val="0"/>
            <w:vAlign w:val="center"/>
          </w:tcPr>
          <w:p w14:paraId="06DCEDAA">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设备保障分（满分4分）</w:t>
            </w:r>
          </w:p>
        </w:tc>
        <w:tc>
          <w:tcPr>
            <w:tcW w:w="7145" w:type="dxa"/>
            <w:noWrap w:val="0"/>
            <w:vAlign w:val="center"/>
          </w:tcPr>
          <w:p w14:paraId="097F2D2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拟投入本采购项目的</w:t>
            </w:r>
            <w:r>
              <w:rPr>
                <w:rFonts w:hint="eastAsia" w:ascii="宋体" w:hAnsi="宋体" w:eastAsia="宋体" w:cs="宋体"/>
                <w:bCs/>
                <w:color w:val="auto"/>
                <w:sz w:val="21"/>
                <w:szCs w:val="21"/>
                <w:highlight w:val="none"/>
                <w:lang w:val="en-US" w:eastAsia="zh-CN"/>
              </w:rPr>
              <w:t>备机在满足最低要求的基础上</w:t>
            </w:r>
            <w:r>
              <w:rPr>
                <w:rFonts w:hint="eastAsia" w:ascii="宋体" w:hAnsi="宋体" w:eastAsia="宋体" w:cs="宋体"/>
                <w:bCs/>
                <w:color w:val="auto"/>
                <w:sz w:val="21"/>
                <w:szCs w:val="21"/>
                <w:highlight w:val="none"/>
              </w:rPr>
              <w:t>每增加1台加1分，满分4分。</w:t>
            </w:r>
          </w:p>
          <w:p w14:paraId="66FEAA83">
            <w:pPr>
              <w:pStyle w:val="18"/>
              <w:keepNext w:val="0"/>
              <w:keepLines w:val="0"/>
              <w:pageBreakBefore w:val="0"/>
              <w:widowControl w:val="0"/>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必须提供有效证明（属于投标人自有，租用不予计算），即仪器设备列表、设备的彩色照片、采购发票（发票抬头为投标人名字）和有效期限内的检定证书（校准证书）复印件等，并加盖公章。上述证明材料需清晰、完整、有效，经评标委员会认可方可赋分，否则不予计分。</w:t>
            </w:r>
          </w:p>
        </w:tc>
      </w:tr>
      <w:tr w14:paraId="460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25" w:type="dxa"/>
            <w:vMerge w:val="continue"/>
            <w:noWrap w:val="0"/>
            <w:vAlign w:val="center"/>
          </w:tcPr>
          <w:p w14:paraId="63E19F55">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755" w:type="dxa"/>
            <w:vMerge w:val="continue"/>
            <w:noWrap w:val="0"/>
            <w:vAlign w:val="center"/>
          </w:tcPr>
          <w:p w14:paraId="7544792B">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992" w:type="dxa"/>
            <w:noWrap w:val="0"/>
            <w:vAlign w:val="center"/>
          </w:tcPr>
          <w:p w14:paraId="3ADE3A04">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项目服务团队分（满分</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tc>
        <w:tc>
          <w:tcPr>
            <w:tcW w:w="7145" w:type="dxa"/>
            <w:noWrap w:val="0"/>
            <w:vAlign w:val="center"/>
          </w:tcPr>
          <w:p w14:paraId="5EB556A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.技术人员能力（满分 5分）</w:t>
            </w:r>
          </w:p>
          <w:p w14:paraId="2F4C84F7">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（1）参加国家级</w:t>
            </w:r>
            <w:r>
              <w:rPr>
                <w:rFonts w:hint="eastAsia" w:cs="宋体"/>
                <w:color w:val="000000"/>
                <w:sz w:val="21"/>
                <w:szCs w:val="21"/>
                <w:lang w:eastAsia="zh-CN"/>
              </w:rPr>
              <w:t>水站运维</w:t>
            </w:r>
            <w:r>
              <w:rPr>
                <w:rFonts w:hint="eastAsia" w:ascii="宋体" w:hAnsi="宋体" w:eastAsia="宋体" w:cs="宋体"/>
                <w:color w:val="000000"/>
                <w:sz w:val="21"/>
                <w:szCs w:val="21"/>
              </w:rPr>
              <w:t>培训并取得证书得</w:t>
            </w:r>
            <w:r>
              <w:rPr>
                <w:rFonts w:hint="eastAsia" w:cs="宋体"/>
                <w:color w:val="000000"/>
                <w:sz w:val="21"/>
                <w:szCs w:val="21"/>
                <w:lang w:val="en-US" w:eastAsia="zh-CN"/>
              </w:rPr>
              <w:t>5</w:t>
            </w:r>
            <w:r>
              <w:rPr>
                <w:rFonts w:hint="eastAsia" w:ascii="宋体" w:hAnsi="宋体" w:eastAsia="宋体" w:cs="宋体"/>
                <w:color w:val="000000"/>
                <w:sz w:val="21"/>
                <w:szCs w:val="21"/>
              </w:rPr>
              <w:t>分。</w:t>
            </w:r>
          </w:p>
          <w:p w14:paraId="20E68061">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（2）参加自治区级</w:t>
            </w:r>
            <w:r>
              <w:rPr>
                <w:rFonts w:hint="eastAsia" w:cs="宋体"/>
                <w:color w:val="000000"/>
                <w:sz w:val="21"/>
                <w:szCs w:val="21"/>
                <w:lang w:eastAsia="zh-CN"/>
              </w:rPr>
              <w:t>水站运维</w:t>
            </w:r>
            <w:r>
              <w:rPr>
                <w:rFonts w:hint="eastAsia" w:ascii="宋体" w:hAnsi="宋体" w:eastAsia="宋体" w:cs="宋体"/>
                <w:color w:val="000000"/>
                <w:sz w:val="21"/>
                <w:szCs w:val="21"/>
              </w:rPr>
              <w:t>培训并取得证书得</w:t>
            </w:r>
            <w:r>
              <w:rPr>
                <w:rFonts w:hint="eastAsia" w:cs="宋体"/>
                <w:color w:val="000000"/>
                <w:sz w:val="21"/>
                <w:szCs w:val="21"/>
                <w:lang w:val="en-US" w:eastAsia="zh-CN"/>
              </w:rPr>
              <w:t>3</w:t>
            </w:r>
            <w:r>
              <w:rPr>
                <w:rFonts w:hint="eastAsia" w:cs="宋体"/>
                <w:color w:val="000000"/>
                <w:sz w:val="21"/>
                <w:szCs w:val="21"/>
                <w:lang w:eastAsia="zh-CN"/>
              </w:rPr>
              <w:t>为</w:t>
            </w:r>
            <w:r>
              <w:rPr>
                <w:rFonts w:hint="eastAsia" w:ascii="宋体" w:hAnsi="宋体" w:eastAsia="宋体" w:cs="宋体"/>
                <w:color w:val="000000"/>
                <w:sz w:val="21"/>
                <w:szCs w:val="21"/>
              </w:rPr>
              <w:t>分。</w:t>
            </w:r>
          </w:p>
          <w:p w14:paraId="7175E77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.项目投入技术人员数量（满分5分）</w:t>
            </w:r>
          </w:p>
          <w:p w14:paraId="7EDB6DBF">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（1）项目投入技术人员</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人以上得5分。</w:t>
            </w:r>
          </w:p>
          <w:p w14:paraId="4004B6EF">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（2）项目投入技术人员</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人得3分。</w:t>
            </w:r>
          </w:p>
          <w:p w14:paraId="11F53AD9">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000000"/>
                <w:sz w:val="21"/>
                <w:szCs w:val="21"/>
              </w:rPr>
              <w:t>*投标人提供以上体系认证相关证明材料、人员聘任合同</w:t>
            </w:r>
            <w:r>
              <w:rPr>
                <w:rFonts w:hint="eastAsia" w:cs="宋体"/>
                <w:color w:val="000000"/>
                <w:sz w:val="21"/>
                <w:szCs w:val="21"/>
                <w:lang w:eastAsia="zh-CN"/>
              </w:rPr>
              <w:t>、</w:t>
            </w:r>
            <w:r>
              <w:rPr>
                <w:rFonts w:hint="eastAsia" w:ascii="宋体" w:hAnsi="宋体" w:eastAsia="宋体" w:cs="宋体"/>
                <w:color w:val="000000"/>
                <w:sz w:val="21"/>
                <w:szCs w:val="21"/>
              </w:rPr>
              <w:t>职称证书、培训证书等证明资料（所有资料均要求提供复印件并加盖公章，原件备查）。拟投入本项目的以上人员是投标人在职在岗正式员工（非退休，不含项目负责人），投标文件需提供人员职称证书证明材料复印件并加盖公章，否则不得分。</w:t>
            </w:r>
          </w:p>
        </w:tc>
      </w:tr>
      <w:tr w14:paraId="2B54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525" w:type="dxa"/>
            <w:vMerge w:val="continue"/>
            <w:noWrap w:val="0"/>
            <w:vAlign w:val="center"/>
          </w:tcPr>
          <w:p w14:paraId="01C298B8">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p>
        </w:tc>
        <w:tc>
          <w:tcPr>
            <w:tcW w:w="755" w:type="dxa"/>
            <w:vMerge w:val="continue"/>
            <w:noWrap w:val="0"/>
            <w:vAlign w:val="center"/>
          </w:tcPr>
          <w:p w14:paraId="4E1B1263">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22" w:firstLineChars="200"/>
              <w:jc w:val="center"/>
              <w:textAlignment w:val="auto"/>
              <w:rPr>
                <w:rFonts w:hint="eastAsia" w:ascii="宋体" w:hAnsi="宋体" w:eastAsia="宋体" w:cs="宋体"/>
                <w:b/>
                <w:bCs/>
                <w:color w:val="auto"/>
                <w:sz w:val="21"/>
                <w:szCs w:val="21"/>
                <w:highlight w:val="none"/>
              </w:rPr>
            </w:pPr>
          </w:p>
        </w:tc>
        <w:tc>
          <w:tcPr>
            <w:tcW w:w="992" w:type="dxa"/>
            <w:noWrap w:val="0"/>
            <w:vAlign w:val="center"/>
          </w:tcPr>
          <w:p w14:paraId="064CEFD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rPr>
              <w:t>车辆投入</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p>
        </w:tc>
        <w:tc>
          <w:tcPr>
            <w:tcW w:w="7145" w:type="dxa"/>
            <w:noWrap w:val="0"/>
            <w:vAlign w:val="center"/>
          </w:tcPr>
          <w:p w14:paraId="0B28D68C">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项目投入车辆满足最低数量1台得3分，每增加1台加</w:t>
            </w:r>
            <w:r>
              <w:rPr>
                <w:rFonts w:hint="eastAsia" w:cs="宋体"/>
                <w:color w:val="000000"/>
                <w:sz w:val="21"/>
                <w:szCs w:val="21"/>
                <w:lang w:val="en-US" w:eastAsia="zh-CN"/>
              </w:rPr>
              <w:t>2</w:t>
            </w:r>
            <w:r>
              <w:rPr>
                <w:rFonts w:hint="eastAsia" w:ascii="宋体" w:hAnsi="宋体" w:eastAsia="宋体" w:cs="宋体"/>
                <w:color w:val="000000"/>
                <w:sz w:val="21"/>
                <w:szCs w:val="21"/>
              </w:rPr>
              <w:t>分，满分5分。</w:t>
            </w:r>
          </w:p>
          <w:p w14:paraId="0092E25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000000"/>
                <w:sz w:val="21"/>
                <w:szCs w:val="21"/>
              </w:rPr>
              <w:t>投标人自有车辆要求提供车辆清单、有效的行驶证或购车合同，租赁车辆需提供租赁合同或租赁合作意向书（租赁合同或租赁合作意向书应明确车辆数量）。</w:t>
            </w:r>
          </w:p>
        </w:tc>
      </w:tr>
      <w:tr w14:paraId="5D6A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525" w:type="dxa"/>
            <w:noWrap w:val="0"/>
            <w:vAlign w:val="center"/>
          </w:tcPr>
          <w:p w14:paraId="3C1CEF8D">
            <w:pPr>
              <w:pStyle w:val="1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755" w:type="dxa"/>
            <w:noWrap w:val="0"/>
            <w:vAlign w:val="center"/>
          </w:tcPr>
          <w:p w14:paraId="49EC167B">
            <w:pPr>
              <w:pStyle w:val="18"/>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992" w:type="dxa"/>
            <w:noWrap w:val="0"/>
            <w:vAlign w:val="center"/>
          </w:tcPr>
          <w:p w14:paraId="76A7D60E">
            <w:pPr>
              <w:pStyle w:val="18"/>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业绩分（满分</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7145" w:type="dxa"/>
            <w:noWrap w:val="0"/>
            <w:vAlign w:val="center"/>
          </w:tcPr>
          <w:p w14:paraId="3DAD69F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00" w:lineRule="auto"/>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rPr>
              <w:t>投标人近3年来（从2022年1月1日起算），具有</w:t>
            </w:r>
            <w:r>
              <w:rPr>
                <w:rFonts w:hint="eastAsia" w:cs="宋体"/>
                <w:color w:val="000000"/>
                <w:sz w:val="21"/>
                <w:szCs w:val="21"/>
                <w:lang w:eastAsia="zh-CN"/>
              </w:rPr>
              <w:t>省级及以上水站运维</w:t>
            </w:r>
            <w:r>
              <w:rPr>
                <w:rFonts w:hint="eastAsia" w:ascii="宋体" w:hAnsi="宋体" w:eastAsia="宋体" w:cs="宋体"/>
                <w:color w:val="000000"/>
                <w:sz w:val="21"/>
                <w:szCs w:val="21"/>
              </w:rPr>
              <w:t>项目业绩的，每项得3分，该项满分15分。投标人须提供以下证明材料，否则不计分。证明材料包括但不限于以下文件（提供复印件，原件备查）：（1）合同，必须包含金额、签订合同双方的名称及印章、合同标的等；（2）验收材料及相关采购方意见等。</w:t>
            </w:r>
          </w:p>
        </w:tc>
      </w:tr>
      <w:tr w14:paraId="2265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7" w:type="dxa"/>
            <w:gridSpan w:val="4"/>
            <w:noWrap w:val="0"/>
            <w:vAlign w:val="center"/>
          </w:tcPr>
          <w:p w14:paraId="16AAC227">
            <w:pPr>
              <w:pStyle w:val="18"/>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eastAsia" w:eastAsia="宋体"/>
                <w:sz w:val="21"/>
                <w:szCs w:val="21"/>
                <w:lang w:eastAsia="zh-CN"/>
              </w:rPr>
            </w:pPr>
            <w:r>
              <w:rPr>
                <w:rFonts w:hint="eastAsia" w:ascii="宋体" w:hAnsi="宋体" w:eastAsia="宋体" w:cs="宋体"/>
                <w:b/>
                <w:bCs/>
                <w:color w:val="auto"/>
                <w:sz w:val="21"/>
                <w:szCs w:val="21"/>
                <w:highlight w:val="none"/>
              </w:rPr>
              <w:t>总得分=1+2+3。</w:t>
            </w:r>
          </w:p>
        </w:tc>
      </w:tr>
    </w:tbl>
    <w:p w14:paraId="3CC0D7D0">
      <w:pPr>
        <w:pStyle w:val="15"/>
        <w:spacing w:before="312" w:beforeLines="100" w:after="0"/>
        <w:rPr>
          <w:sz w:val="28"/>
          <w:szCs w:val="28"/>
        </w:rPr>
      </w:pPr>
    </w:p>
    <w:p w14:paraId="4CCB3162">
      <w:pPr>
        <w:pStyle w:val="15"/>
        <w:spacing w:before="312" w:beforeLines="100" w:after="0"/>
        <w:rPr>
          <w:sz w:val="28"/>
          <w:szCs w:val="28"/>
        </w:rPr>
      </w:pPr>
    </w:p>
    <w:p w14:paraId="7A56792B">
      <w:pPr>
        <w:pStyle w:val="15"/>
        <w:spacing w:before="312" w:beforeLines="100" w:after="0"/>
        <w:rPr>
          <w:sz w:val="28"/>
          <w:szCs w:val="28"/>
        </w:rPr>
      </w:pPr>
    </w:p>
    <w:p w14:paraId="0E707F29">
      <w:pPr>
        <w:pStyle w:val="15"/>
        <w:spacing w:before="312" w:beforeLines="100" w:after="0"/>
        <w:rPr>
          <w:sz w:val="28"/>
          <w:szCs w:val="28"/>
        </w:rPr>
      </w:pPr>
    </w:p>
    <w:p w14:paraId="53BE7924">
      <w:pPr>
        <w:pStyle w:val="15"/>
        <w:spacing w:before="312" w:beforeLines="100" w:after="0"/>
        <w:rPr>
          <w:sz w:val="28"/>
          <w:szCs w:val="28"/>
        </w:rPr>
      </w:pPr>
    </w:p>
    <w:p w14:paraId="344FD92A">
      <w:pPr>
        <w:pStyle w:val="15"/>
        <w:spacing w:before="312" w:beforeLines="100" w:after="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2308">
    <w:pPr>
      <w:pStyle w:val="20"/>
      <w:jc w:val="center"/>
    </w:pPr>
  </w:p>
  <w:p w14:paraId="51E82248">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8A72">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59797"/>
    </w:sdtPr>
    <w:sdtContent>
      <w:p w14:paraId="3DCC91F2">
        <w:pPr>
          <w:pStyle w:val="20"/>
          <w:jc w:val="center"/>
        </w:pPr>
      </w:p>
    </w:sdtContent>
  </w:sdt>
  <w:p w14:paraId="465C555A">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661F">
    <w:pPr>
      <w:pStyle w:val="21"/>
    </w:pPr>
  </w:p>
  <w:p w14:paraId="1F2A1384">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C6EB">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40F6">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30DF"/>
    <w:multiLevelType w:val="multilevel"/>
    <w:tmpl w:val="597030DF"/>
    <w:lvl w:ilvl="0" w:tentative="0">
      <w:start w:val="1"/>
      <w:numFmt w:val="decimal"/>
      <w:pStyle w:val="2"/>
      <w:lvlText w:val="%1."/>
      <w:lvlJc w:val="left"/>
      <w:pPr>
        <w:ind w:left="3552" w:hanging="432"/>
      </w:pPr>
      <w:rPr>
        <w:rFonts w:hint="default"/>
      </w:rPr>
    </w:lvl>
    <w:lvl w:ilvl="1" w:tentative="0">
      <w:start w:val="1"/>
      <w:numFmt w:val="decimal"/>
      <w:pStyle w:val="3"/>
      <w:lvlText w:val="%1.%2."/>
      <w:lvlJc w:val="left"/>
      <w:pPr>
        <w:ind w:left="4262" w:hanging="575"/>
      </w:pPr>
      <w:rPr>
        <w:rFonts w:hint="default"/>
      </w:rPr>
    </w:lvl>
    <w:lvl w:ilvl="2" w:tentative="0">
      <w:start w:val="1"/>
      <w:numFmt w:val="decimal"/>
      <w:pStyle w:val="4"/>
      <w:lvlText w:val="%1.%2.%3."/>
      <w:lvlJc w:val="left"/>
      <w:pPr>
        <w:ind w:left="1996"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GRmZGJkNTIwNmM4MDg5YzIwZDc2NGFmODdkZTgifQ=="/>
  </w:docVars>
  <w:rsids>
    <w:rsidRoot w:val="00771477"/>
    <w:rsid w:val="00000E72"/>
    <w:rsid w:val="00005742"/>
    <w:rsid w:val="00040108"/>
    <w:rsid w:val="00046C5A"/>
    <w:rsid w:val="000507F1"/>
    <w:rsid w:val="00051A8A"/>
    <w:rsid w:val="00051DE5"/>
    <w:rsid w:val="00053F8F"/>
    <w:rsid w:val="00056380"/>
    <w:rsid w:val="000602CE"/>
    <w:rsid w:val="000A2314"/>
    <w:rsid w:val="000C43EB"/>
    <w:rsid w:val="000C5A32"/>
    <w:rsid w:val="000D6FF4"/>
    <w:rsid w:val="000F0328"/>
    <w:rsid w:val="000F671E"/>
    <w:rsid w:val="00115F85"/>
    <w:rsid w:val="00121501"/>
    <w:rsid w:val="00127F9E"/>
    <w:rsid w:val="001411AF"/>
    <w:rsid w:val="001649A7"/>
    <w:rsid w:val="00171EB8"/>
    <w:rsid w:val="001C6A7F"/>
    <w:rsid w:val="001C7985"/>
    <w:rsid w:val="001E6A58"/>
    <w:rsid w:val="00210EED"/>
    <w:rsid w:val="00214F74"/>
    <w:rsid w:val="00224AC2"/>
    <w:rsid w:val="0023455C"/>
    <w:rsid w:val="00234BCA"/>
    <w:rsid w:val="00237DDB"/>
    <w:rsid w:val="00257717"/>
    <w:rsid w:val="002A114D"/>
    <w:rsid w:val="002C4321"/>
    <w:rsid w:val="002C6261"/>
    <w:rsid w:val="002D5EC1"/>
    <w:rsid w:val="002D6FA5"/>
    <w:rsid w:val="002E3193"/>
    <w:rsid w:val="002F0CD8"/>
    <w:rsid w:val="00310898"/>
    <w:rsid w:val="00343645"/>
    <w:rsid w:val="003657C7"/>
    <w:rsid w:val="00367EB8"/>
    <w:rsid w:val="0037797D"/>
    <w:rsid w:val="003829AB"/>
    <w:rsid w:val="00392738"/>
    <w:rsid w:val="003A3F3D"/>
    <w:rsid w:val="003B4AE4"/>
    <w:rsid w:val="003C4456"/>
    <w:rsid w:val="003C7102"/>
    <w:rsid w:val="00415C15"/>
    <w:rsid w:val="00465178"/>
    <w:rsid w:val="00477193"/>
    <w:rsid w:val="004865A7"/>
    <w:rsid w:val="004A1FF9"/>
    <w:rsid w:val="004A65E9"/>
    <w:rsid w:val="004A7FB1"/>
    <w:rsid w:val="004B5803"/>
    <w:rsid w:val="004B71D2"/>
    <w:rsid w:val="00501FC2"/>
    <w:rsid w:val="00503E8D"/>
    <w:rsid w:val="00524236"/>
    <w:rsid w:val="005258BE"/>
    <w:rsid w:val="00536356"/>
    <w:rsid w:val="00545920"/>
    <w:rsid w:val="0056076F"/>
    <w:rsid w:val="005654A6"/>
    <w:rsid w:val="005819FE"/>
    <w:rsid w:val="005C66C0"/>
    <w:rsid w:val="005F5C68"/>
    <w:rsid w:val="0060365B"/>
    <w:rsid w:val="00617C6C"/>
    <w:rsid w:val="006215F8"/>
    <w:rsid w:val="0063454A"/>
    <w:rsid w:val="00634AE6"/>
    <w:rsid w:val="006D57FB"/>
    <w:rsid w:val="006F0E65"/>
    <w:rsid w:val="006F3799"/>
    <w:rsid w:val="006F5294"/>
    <w:rsid w:val="007279DD"/>
    <w:rsid w:val="007355CC"/>
    <w:rsid w:val="00744987"/>
    <w:rsid w:val="00771477"/>
    <w:rsid w:val="00792183"/>
    <w:rsid w:val="007E1FA7"/>
    <w:rsid w:val="007F18CE"/>
    <w:rsid w:val="00815397"/>
    <w:rsid w:val="008241D1"/>
    <w:rsid w:val="00827736"/>
    <w:rsid w:val="008352FB"/>
    <w:rsid w:val="00853A5F"/>
    <w:rsid w:val="00897A0E"/>
    <w:rsid w:val="008A45A1"/>
    <w:rsid w:val="008A6028"/>
    <w:rsid w:val="008A6865"/>
    <w:rsid w:val="008A7B57"/>
    <w:rsid w:val="008B2083"/>
    <w:rsid w:val="008B21E4"/>
    <w:rsid w:val="008B6502"/>
    <w:rsid w:val="008E4CD3"/>
    <w:rsid w:val="008F0D10"/>
    <w:rsid w:val="008F48AF"/>
    <w:rsid w:val="008F7258"/>
    <w:rsid w:val="00900F4C"/>
    <w:rsid w:val="00904CD8"/>
    <w:rsid w:val="009076E6"/>
    <w:rsid w:val="00913546"/>
    <w:rsid w:val="00923B9D"/>
    <w:rsid w:val="00935430"/>
    <w:rsid w:val="009355D7"/>
    <w:rsid w:val="00937553"/>
    <w:rsid w:val="00946E15"/>
    <w:rsid w:val="0095539C"/>
    <w:rsid w:val="00955D69"/>
    <w:rsid w:val="00963C9F"/>
    <w:rsid w:val="00972E85"/>
    <w:rsid w:val="00997CF0"/>
    <w:rsid w:val="009C17FB"/>
    <w:rsid w:val="009F0BD5"/>
    <w:rsid w:val="00A133EA"/>
    <w:rsid w:val="00A145B4"/>
    <w:rsid w:val="00A4386B"/>
    <w:rsid w:val="00A63B81"/>
    <w:rsid w:val="00A83295"/>
    <w:rsid w:val="00AB0491"/>
    <w:rsid w:val="00AD737A"/>
    <w:rsid w:val="00AE7312"/>
    <w:rsid w:val="00B07C89"/>
    <w:rsid w:val="00B1192D"/>
    <w:rsid w:val="00B33F19"/>
    <w:rsid w:val="00B36105"/>
    <w:rsid w:val="00B36EC3"/>
    <w:rsid w:val="00B63052"/>
    <w:rsid w:val="00B95F07"/>
    <w:rsid w:val="00B97853"/>
    <w:rsid w:val="00BB0708"/>
    <w:rsid w:val="00BB075B"/>
    <w:rsid w:val="00BB1DE4"/>
    <w:rsid w:val="00BB369C"/>
    <w:rsid w:val="00BE55CC"/>
    <w:rsid w:val="00BE7BBA"/>
    <w:rsid w:val="00BE7E73"/>
    <w:rsid w:val="00BF0ED4"/>
    <w:rsid w:val="00BF28E8"/>
    <w:rsid w:val="00BF56C8"/>
    <w:rsid w:val="00C07EB1"/>
    <w:rsid w:val="00C16CCC"/>
    <w:rsid w:val="00C25A48"/>
    <w:rsid w:val="00C46372"/>
    <w:rsid w:val="00C5384E"/>
    <w:rsid w:val="00C80F5F"/>
    <w:rsid w:val="00C94ED1"/>
    <w:rsid w:val="00CA2709"/>
    <w:rsid w:val="00CC0155"/>
    <w:rsid w:val="00CC7B6F"/>
    <w:rsid w:val="00CE1B65"/>
    <w:rsid w:val="00CF0EC7"/>
    <w:rsid w:val="00D02348"/>
    <w:rsid w:val="00D076CA"/>
    <w:rsid w:val="00D23586"/>
    <w:rsid w:val="00D521A4"/>
    <w:rsid w:val="00D577CB"/>
    <w:rsid w:val="00D6182E"/>
    <w:rsid w:val="00D9040C"/>
    <w:rsid w:val="00DA680A"/>
    <w:rsid w:val="00DE758F"/>
    <w:rsid w:val="00E00C52"/>
    <w:rsid w:val="00E169FE"/>
    <w:rsid w:val="00E40F23"/>
    <w:rsid w:val="00E60DCF"/>
    <w:rsid w:val="00E63CE7"/>
    <w:rsid w:val="00E65A00"/>
    <w:rsid w:val="00E74F9E"/>
    <w:rsid w:val="00E93325"/>
    <w:rsid w:val="00EA48F6"/>
    <w:rsid w:val="00EA5FA3"/>
    <w:rsid w:val="00EB1E12"/>
    <w:rsid w:val="00EB5C64"/>
    <w:rsid w:val="00EB6D0B"/>
    <w:rsid w:val="00EE0502"/>
    <w:rsid w:val="00EE20F1"/>
    <w:rsid w:val="00EF1E21"/>
    <w:rsid w:val="00F00879"/>
    <w:rsid w:val="00F14E27"/>
    <w:rsid w:val="00F170B3"/>
    <w:rsid w:val="00F17FF0"/>
    <w:rsid w:val="00F2346C"/>
    <w:rsid w:val="00F33640"/>
    <w:rsid w:val="00F53001"/>
    <w:rsid w:val="00F61316"/>
    <w:rsid w:val="00F64ABD"/>
    <w:rsid w:val="00F7005B"/>
    <w:rsid w:val="00F710AC"/>
    <w:rsid w:val="00F80B19"/>
    <w:rsid w:val="00F854FE"/>
    <w:rsid w:val="00F943BC"/>
    <w:rsid w:val="00FA084B"/>
    <w:rsid w:val="00FA6F6D"/>
    <w:rsid w:val="00FB25CA"/>
    <w:rsid w:val="00FB2F07"/>
    <w:rsid w:val="00FC7FE6"/>
    <w:rsid w:val="00FF1D2E"/>
    <w:rsid w:val="01157568"/>
    <w:rsid w:val="04DE5B47"/>
    <w:rsid w:val="0B9F1F73"/>
    <w:rsid w:val="0E3B22B4"/>
    <w:rsid w:val="15AE1730"/>
    <w:rsid w:val="19836A30"/>
    <w:rsid w:val="1EE066D3"/>
    <w:rsid w:val="20DF3843"/>
    <w:rsid w:val="21B27431"/>
    <w:rsid w:val="22C24A14"/>
    <w:rsid w:val="25B701E5"/>
    <w:rsid w:val="27DA6AD1"/>
    <w:rsid w:val="29312005"/>
    <w:rsid w:val="2B8A1EA0"/>
    <w:rsid w:val="32BF68D3"/>
    <w:rsid w:val="32EC3440"/>
    <w:rsid w:val="35E250E3"/>
    <w:rsid w:val="36310CF1"/>
    <w:rsid w:val="38BE55C3"/>
    <w:rsid w:val="395A55A8"/>
    <w:rsid w:val="3B6C3E19"/>
    <w:rsid w:val="3DFD4754"/>
    <w:rsid w:val="402F6D38"/>
    <w:rsid w:val="40AD06B3"/>
    <w:rsid w:val="43454BD3"/>
    <w:rsid w:val="44BF18CD"/>
    <w:rsid w:val="44CC6C2E"/>
    <w:rsid w:val="47460F19"/>
    <w:rsid w:val="47DD54CE"/>
    <w:rsid w:val="489D100D"/>
    <w:rsid w:val="4BE11211"/>
    <w:rsid w:val="4BED5E07"/>
    <w:rsid w:val="4CE0596C"/>
    <w:rsid w:val="4F8E16AF"/>
    <w:rsid w:val="505F2CB7"/>
    <w:rsid w:val="534D3630"/>
    <w:rsid w:val="58533496"/>
    <w:rsid w:val="62A654A1"/>
    <w:rsid w:val="6A5A5554"/>
    <w:rsid w:val="6A5F2C3D"/>
    <w:rsid w:val="715E6F0F"/>
    <w:rsid w:val="71E35433"/>
    <w:rsid w:val="7501454E"/>
    <w:rsid w:val="75E07F93"/>
    <w:rsid w:val="773404C4"/>
    <w:rsid w:val="77850E64"/>
    <w:rsid w:val="792D7B75"/>
    <w:rsid w:val="7B4C6597"/>
    <w:rsid w:val="7DF0415C"/>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0"/>
    <w:pPr>
      <w:keepNext/>
      <w:keepLines/>
      <w:numPr>
        <w:ilvl w:val="0"/>
        <w:numId w:val="1"/>
      </w:numPr>
      <w:tabs>
        <w:tab w:val="left" w:pos="0"/>
      </w:tabs>
      <w:ind w:left="0" w:firstLine="0"/>
      <w:jc w:val="center"/>
      <w:outlineLvl w:val="0"/>
    </w:pPr>
    <w:rPr>
      <w:b/>
      <w:kern w:val="44"/>
      <w:sz w:val="36"/>
      <w:szCs w:val="22"/>
    </w:rPr>
  </w:style>
  <w:style w:type="paragraph" w:styleId="3">
    <w:name w:val="heading 2"/>
    <w:basedOn w:val="1"/>
    <w:next w:val="1"/>
    <w:link w:val="35"/>
    <w:unhideWhenUsed/>
    <w:qFormat/>
    <w:uiPriority w:val="0"/>
    <w:pPr>
      <w:keepNext/>
      <w:keepLines/>
      <w:numPr>
        <w:ilvl w:val="1"/>
        <w:numId w:val="1"/>
      </w:numPr>
      <w:ind w:left="0" w:firstLine="0"/>
      <w:jc w:val="center"/>
      <w:outlineLvl w:val="1"/>
    </w:pPr>
    <w:rPr>
      <w:rFonts w:ascii="Arial" w:hAnsi="Arial"/>
      <w:b/>
      <w:sz w:val="32"/>
    </w:rPr>
  </w:style>
  <w:style w:type="paragraph" w:styleId="4">
    <w:name w:val="heading 3"/>
    <w:basedOn w:val="1"/>
    <w:next w:val="1"/>
    <w:link w:val="36"/>
    <w:unhideWhenUsed/>
    <w:qFormat/>
    <w:uiPriority w:val="0"/>
    <w:pPr>
      <w:keepNext/>
      <w:keepLines/>
      <w:numPr>
        <w:ilvl w:val="2"/>
        <w:numId w:val="1"/>
      </w:numPr>
      <w:ind w:left="0" w:firstLine="0"/>
      <w:outlineLvl w:val="2"/>
    </w:pPr>
    <w:rPr>
      <w:b/>
      <w:sz w:val="30"/>
    </w:rPr>
  </w:style>
  <w:style w:type="paragraph" w:styleId="5">
    <w:name w:val="heading 4"/>
    <w:basedOn w:val="1"/>
    <w:next w:val="1"/>
    <w:link w:val="37"/>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link w:val="38"/>
    <w:unhideWhenUsed/>
    <w:qFormat/>
    <w:uiPriority w:val="0"/>
    <w:pPr>
      <w:keepNext/>
      <w:keepLines/>
      <w:numPr>
        <w:ilvl w:val="4"/>
        <w:numId w:val="1"/>
      </w:numPr>
      <w:spacing w:before="280" w:after="290" w:line="372" w:lineRule="auto"/>
      <w:outlineLvl w:val="4"/>
    </w:pPr>
    <w:rPr>
      <w:b/>
      <w:sz w:val="24"/>
    </w:rPr>
  </w:style>
  <w:style w:type="paragraph" w:styleId="7">
    <w:name w:val="heading 6"/>
    <w:basedOn w:val="1"/>
    <w:next w:val="1"/>
    <w:link w:val="39"/>
    <w:unhideWhenUsed/>
    <w:qFormat/>
    <w:uiPriority w:val="0"/>
    <w:pPr>
      <w:keepNext/>
      <w:keepLines/>
      <w:numPr>
        <w:ilvl w:val="5"/>
        <w:numId w:val="1"/>
      </w:numPr>
      <w:spacing w:before="240" w:after="64" w:line="317" w:lineRule="auto"/>
      <w:outlineLvl w:val="5"/>
    </w:pPr>
    <w:rPr>
      <w:rFonts w:ascii="Arial" w:hAnsi="Arial"/>
      <w:b/>
    </w:rPr>
  </w:style>
  <w:style w:type="paragraph" w:styleId="8">
    <w:name w:val="heading 7"/>
    <w:basedOn w:val="1"/>
    <w:next w:val="1"/>
    <w:link w:val="40"/>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link w:val="4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42"/>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360" w:lineRule="atLeast"/>
      <w:ind w:left="1680" w:hanging="210"/>
      <w:textAlignment w:val="baseline"/>
    </w:pPr>
    <w:rPr>
      <w:sz w:val="20"/>
      <w:szCs w:val="20"/>
    </w:rPr>
  </w:style>
  <w:style w:type="paragraph" w:styleId="12">
    <w:name w:val="Normal Indent"/>
    <w:basedOn w:val="1"/>
    <w:qFormat/>
    <w:uiPriority w:val="0"/>
    <w:pPr>
      <w:spacing w:line="240" w:lineRule="auto"/>
      <w:ind w:firstLine="420"/>
    </w:pPr>
    <w:rPr>
      <w:rFonts w:asciiTheme="minorHAnsi" w:hAnsiTheme="minorHAnsi" w:eastAsiaTheme="minorEastAsia" w:cstheme="minorBidi"/>
      <w:szCs w:val="20"/>
    </w:rPr>
  </w:style>
  <w:style w:type="paragraph" w:styleId="13">
    <w:name w:val="caption"/>
    <w:basedOn w:val="1"/>
    <w:next w:val="1"/>
    <w:qFormat/>
    <w:uiPriority w:val="0"/>
    <w:pPr>
      <w:keepNext/>
      <w:spacing w:before="120"/>
      <w:ind w:left="425" w:hanging="425"/>
      <w:jc w:val="center"/>
    </w:pPr>
    <w:rPr>
      <w:rFonts w:ascii="黑体" w:hAnsi="黑体" w:eastAsia="黑体"/>
      <w:sz w:val="20"/>
      <w:szCs w:val="20"/>
    </w:rPr>
  </w:style>
  <w:style w:type="paragraph" w:styleId="14">
    <w:name w:val="annotation text"/>
    <w:basedOn w:val="1"/>
    <w:link w:val="44"/>
    <w:unhideWhenUsed/>
    <w:qFormat/>
    <w:uiPriority w:val="0"/>
    <w:pPr>
      <w:jc w:val="left"/>
    </w:pPr>
    <w:rPr>
      <w:kern w:val="0"/>
      <w:sz w:val="20"/>
    </w:rPr>
  </w:style>
  <w:style w:type="paragraph" w:styleId="15">
    <w:name w:val="Body Text"/>
    <w:basedOn w:val="1"/>
    <w:link w:val="43"/>
    <w:unhideWhenUsed/>
    <w:qFormat/>
    <w:uiPriority w:val="0"/>
    <w:pPr>
      <w:spacing w:after="120"/>
    </w:pPr>
  </w:style>
  <w:style w:type="paragraph" w:styleId="16">
    <w:name w:val="Body Text Indent"/>
    <w:basedOn w:val="1"/>
    <w:link w:val="64"/>
    <w:unhideWhenUsed/>
    <w:qFormat/>
    <w:uiPriority w:val="99"/>
    <w:pPr>
      <w:spacing w:after="120"/>
      <w:ind w:left="420" w:leftChars="200"/>
    </w:pPr>
  </w:style>
  <w:style w:type="paragraph" w:styleId="17">
    <w:name w:val="toc 3"/>
    <w:basedOn w:val="1"/>
    <w:next w:val="1"/>
    <w:unhideWhenUsed/>
    <w:qFormat/>
    <w:uiPriority w:val="39"/>
    <w:pPr>
      <w:ind w:left="840" w:leftChars="400"/>
    </w:pPr>
  </w:style>
  <w:style w:type="paragraph" w:styleId="18">
    <w:name w:val="Plain Text"/>
    <w:basedOn w:val="1"/>
    <w:next w:val="5"/>
    <w:link w:val="68"/>
    <w:qFormat/>
    <w:uiPriority w:val="0"/>
    <w:pPr>
      <w:spacing w:line="240" w:lineRule="auto"/>
    </w:pPr>
    <w:rPr>
      <w:rFonts w:ascii="宋体" w:hAnsi="Courier New"/>
      <w:szCs w:val="20"/>
    </w:rPr>
  </w:style>
  <w:style w:type="paragraph" w:styleId="19">
    <w:name w:val="Balloon Text"/>
    <w:basedOn w:val="1"/>
    <w:link w:val="67"/>
    <w:unhideWhenUsed/>
    <w:qFormat/>
    <w:uiPriority w:val="99"/>
    <w:pPr>
      <w:spacing w:line="240" w:lineRule="auto"/>
    </w:pPr>
    <w:rPr>
      <w:sz w:val="18"/>
      <w:szCs w:val="18"/>
    </w:rPr>
  </w:style>
  <w:style w:type="paragraph" w:styleId="20">
    <w:name w:val="footer"/>
    <w:basedOn w:val="1"/>
    <w:link w:val="45"/>
    <w:qFormat/>
    <w:uiPriority w:val="99"/>
    <w:pPr>
      <w:tabs>
        <w:tab w:val="center" w:pos="4153"/>
        <w:tab w:val="right" w:pos="8306"/>
      </w:tabs>
      <w:snapToGrid w:val="0"/>
      <w:jc w:val="left"/>
    </w:pPr>
    <w:rPr>
      <w:rFonts w:ascii="Times New Roman" w:hAnsi="Times New Roman"/>
      <w:sz w:val="18"/>
      <w:szCs w:val="18"/>
    </w:rPr>
  </w:style>
  <w:style w:type="paragraph" w:styleId="21">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unhideWhenUsed/>
    <w:qFormat/>
    <w:uiPriority w:val="39"/>
    <w:pPr>
      <w:tabs>
        <w:tab w:val="left" w:pos="420"/>
        <w:tab w:val="right" w:leader="dot" w:pos="8296"/>
      </w:tabs>
      <w:jc w:val="center"/>
    </w:pPr>
  </w:style>
  <w:style w:type="paragraph" w:styleId="23">
    <w:name w:val="toc 2"/>
    <w:basedOn w:val="1"/>
    <w:next w:val="1"/>
    <w:unhideWhenUsed/>
    <w:qFormat/>
    <w:uiPriority w:val="39"/>
    <w:pPr>
      <w:ind w:left="420" w:leftChars="200"/>
    </w:pPr>
  </w:style>
  <w:style w:type="paragraph" w:styleId="24">
    <w:name w:val="Body Text 2"/>
    <w:basedOn w:val="1"/>
    <w:link w:val="69"/>
    <w:qFormat/>
    <w:uiPriority w:val="0"/>
    <w:pPr>
      <w:spacing w:after="120" w:line="480" w:lineRule="auto"/>
    </w:pPr>
    <w:rPr>
      <w:rFonts w:ascii="Times New Roman" w:hAnsi="Times New Roman"/>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Body Text First Indent"/>
    <w:basedOn w:val="15"/>
    <w:link w:val="47"/>
    <w:qFormat/>
    <w:uiPriority w:val="0"/>
    <w:pPr>
      <w:spacing w:line="312" w:lineRule="auto"/>
      <w:ind w:firstLine="420"/>
    </w:pPr>
    <w:rPr>
      <w:rFonts w:ascii="Times New Roman" w:hAnsi="Times New Roman"/>
      <w:color w:val="000000" w:themeColor="text1"/>
      <w14:textFill>
        <w14:solidFill>
          <w14:schemeClr w14:val="tx1"/>
        </w14:solidFill>
      </w14:textFill>
    </w:rPr>
  </w:style>
  <w:style w:type="paragraph" w:styleId="27">
    <w:name w:val="Body Text First Indent 2"/>
    <w:basedOn w:val="16"/>
    <w:link w:val="65"/>
    <w:unhideWhenUsed/>
    <w:qFormat/>
    <w:uiPriority w:val="99"/>
    <w:pPr>
      <w:ind w:firstLine="420" w:firstLineChars="200"/>
    </w:pPr>
  </w:style>
  <w:style w:type="table" w:styleId="29">
    <w:name w:val="Table Grid"/>
    <w:basedOn w:val="2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customStyle="1" w:styleId="34">
    <w:name w:val="标题 1 Char"/>
    <w:basedOn w:val="30"/>
    <w:link w:val="2"/>
    <w:qFormat/>
    <w:uiPriority w:val="0"/>
    <w:rPr>
      <w:rFonts w:ascii="Calibri" w:hAnsi="Calibri" w:eastAsia="宋体" w:cs="Times New Roman"/>
      <w:b/>
      <w:kern w:val="44"/>
      <w:sz w:val="36"/>
    </w:rPr>
  </w:style>
  <w:style w:type="character" w:customStyle="1" w:styleId="35">
    <w:name w:val="标题 2 Char"/>
    <w:basedOn w:val="30"/>
    <w:link w:val="3"/>
    <w:qFormat/>
    <w:uiPriority w:val="0"/>
    <w:rPr>
      <w:rFonts w:ascii="Arial" w:hAnsi="Arial" w:eastAsia="宋体" w:cs="Times New Roman"/>
      <w:b/>
      <w:sz w:val="32"/>
      <w:szCs w:val="24"/>
    </w:rPr>
  </w:style>
  <w:style w:type="character" w:customStyle="1" w:styleId="36">
    <w:name w:val="标题 3 Char1"/>
    <w:basedOn w:val="30"/>
    <w:link w:val="4"/>
    <w:qFormat/>
    <w:uiPriority w:val="0"/>
    <w:rPr>
      <w:rFonts w:ascii="Calibri" w:hAnsi="Calibri" w:eastAsia="宋体" w:cs="Times New Roman"/>
      <w:b/>
      <w:sz w:val="30"/>
      <w:szCs w:val="24"/>
    </w:rPr>
  </w:style>
  <w:style w:type="character" w:customStyle="1" w:styleId="37">
    <w:name w:val="标题 4 Char"/>
    <w:basedOn w:val="30"/>
    <w:link w:val="5"/>
    <w:qFormat/>
    <w:uiPriority w:val="0"/>
    <w:rPr>
      <w:rFonts w:ascii="Arial" w:hAnsi="Arial" w:eastAsia="宋体" w:cs="Times New Roman"/>
      <w:b/>
      <w:sz w:val="28"/>
      <w:szCs w:val="24"/>
    </w:rPr>
  </w:style>
  <w:style w:type="character" w:customStyle="1" w:styleId="38">
    <w:name w:val="标题 5 Char"/>
    <w:basedOn w:val="30"/>
    <w:link w:val="6"/>
    <w:qFormat/>
    <w:uiPriority w:val="0"/>
    <w:rPr>
      <w:rFonts w:ascii="Calibri" w:hAnsi="Calibri" w:eastAsia="宋体" w:cs="Times New Roman"/>
      <w:b/>
      <w:sz w:val="24"/>
      <w:szCs w:val="24"/>
    </w:rPr>
  </w:style>
  <w:style w:type="character" w:customStyle="1" w:styleId="39">
    <w:name w:val="标题 6 Char"/>
    <w:basedOn w:val="30"/>
    <w:link w:val="7"/>
    <w:qFormat/>
    <w:uiPriority w:val="0"/>
    <w:rPr>
      <w:rFonts w:ascii="Arial" w:hAnsi="Arial" w:eastAsia="宋体" w:cs="Times New Roman"/>
      <w:b/>
      <w:szCs w:val="24"/>
    </w:rPr>
  </w:style>
  <w:style w:type="character" w:customStyle="1" w:styleId="40">
    <w:name w:val="标题 7 Char"/>
    <w:basedOn w:val="30"/>
    <w:link w:val="8"/>
    <w:semiHidden/>
    <w:qFormat/>
    <w:uiPriority w:val="0"/>
    <w:rPr>
      <w:rFonts w:ascii="Calibri" w:hAnsi="Calibri" w:eastAsia="仿宋" w:cs="Times New Roman"/>
      <w:b/>
      <w:sz w:val="24"/>
      <w:szCs w:val="24"/>
    </w:rPr>
  </w:style>
  <w:style w:type="character" w:customStyle="1" w:styleId="41">
    <w:name w:val="标题 8 Char"/>
    <w:basedOn w:val="30"/>
    <w:link w:val="9"/>
    <w:semiHidden/>
    <w:qFormat/>
    <w:uiPriority w:val="0"/>
    <w:rPr>
      <w:rFonts w:ascii="Arial" w:hAnsi="Arial" w:eastAsia="黑体" w:cs="Times New Roman"/>
      <w:sz w:val="24"/>
      <w:szCs w:val="24"/>
    </w:rPr>
  </w:style>
  <w:style w:type="character" w:customStyle="1" w:styleId="42">
    <w:name w:val="标题 9 Char"/>
    <w:basedOn w:val="30"/>
    <w:link w:val="10"/>
    <w:semiHidden/>
    <w:qFormat/>
    <w:uiPriority w:val="0"/>
    <w:rPr>
      <w:rFonts w:ascii="Arial" w:hAnsi="Arial" w:eastAsia="黑体" w:cs="Times New Roman"/>
      <w:szCs w:val="24"/>
    </w:rPr>
  </w:style>
  <w:style w:type="character" w:customStyle="1" w:styleId="43">
    <w:name w:val="正文文本 Char"/>
    <w:basedOn w:val="30"/>
    <w:link w:val="15"/>
    <w:semiHidden/>
    <w:qFormat/>
    <w:uiPriority w:val="99"/>
    <w:rPr>
      <w:rFonts w:ascii="Calibri" w:hAnsi="Calibri" w:eastAsia="仿宋" w:cs="Times New Roman"/>
      <w:sz w:val="32"/>
      <w:szCs w:val="24"/>
    </w:rPr>
  </w:style>
  <w:style w:type="character" w:customStyle="1" w:styleId="44">
    <w:name w:val="批注文字 Char1"/>
    <w:basedOn w:val="30"/>
    <w:link w:val="14"/>
    <w:qFormat/>
    <w:uiPriority w:val="99"/>
    <w:rPr>
      <w:rFonts w:ascii="Calibri" w:hAnsi="Calibri" w:eastAsia="仿宋" w:cs="Times New Roman"/>
      <w:kern w:val="0"/>
      <w:sz w:val="20"/>
      <w:szCs w:val="24"/>
    </w:rPr>
  </w:style>
  <w:style w:type="character" w:customStyle="1" w:styleId="45">
    <w:name w:val="页脚 Char"/>
    <w:basedOn w:val="30"/>
    <w:link w:val="20"/>
    <w:qFormat/>
    <w:uiPriority w:val="99"/>
    <w:rPr>
      <w:rFonts w:ascii="Times New Roman" w:hAnsi="Times New Roman" w:eastAsia="宋体" w:cs="Times New Roman"/>
      <w:sz w:val="18"/>
      <w:szCs w:val="18"/>
    </w:rPr>
  </w:style>
  <w:style w:type="character" w:customStyle="1" w:styleId="46">
    <w:name w:val="页眉 Char"/>
    <w:basedOn w:val="30"/>
    <w:link w:val="21"/>
    <w:qFormat/>
    <w:uiPriority w:val="99"/>
    <w:rPr>
      <w:rFonts w:ascii="Calibri" w:hAnsi="Calibri" w:eastAsia="仿宋" w:cs="Times New Roman"/>
      <w:sz w:val="18"/>
      <w:szCs w:val="24"/>
    </w:rPr>
  </w:style>
  <w:style w:type="character" w:customStyle="1" w:styleId="47">
    <w:name w:val="正文首行缩进 Char"/>
    <w:basedOn w:val="43"/>
    <w:link w:val="26"/>
    <w:qFormat/>
    <w:uiPriority w:val="0"/>
    <w:rPr>
      <w:rFonts w:ascii="Times New Roman" w:hAnsi="Times New Roman" w:eastAsia="仿宋" w:cs="Times New Roman"/>
      <w:color w:val="000000" w:themeColor="text1"/>
      <w:sz w:val="32"/>
      <w:szCs w:val="24"/>
      <w14:textFill>
        <w14:solidFill>
          <w14:schemeClr w14:val="tx1"/>
        </w14:solidFill>
      </w14:textFill>
    </w:rPr>
  </w:style>
  <w:style w:type="paragraph" w:customStyle="1" w:styleId="48">
    <w:name w:val="kn首缩2"/>
    <w:basedOn w:val="1"/>
    <w:qFormat/>
    <w:uiPriority w:val="0"/>
    <w:pPr>
      <w:adjustRightInd w:val="0"/>
      <w:snapToGrid w:val="0"/>
      <w:ind w:firstLine="480"/>
    </w:pPr>
  </w:style>
  <w:style w:type="paragraph" w:customStyle="1" w:styleId="49">
    <w:name w:val="列出段落1"/>
    <w:basedOn w:val="1"/>
    <w:qFormat/>
    <w:uiPriority w:val="34"/>
    <w:pPr>
      <w:ind w:firstLine="420"/>
    </w:pPr>
    <w:rPr>
      <w:rFonts w:ascii="Times New Roman" w:hAnsi="Times New Roman"/>
      <w:sz w:val="24"/>
    </w:rPr>
  </w:style>
  <w:style w:type="paragraph" w:customStyle="1" w:styleId="50">
    <w:name w:val="表格标题"/>
    <w:basedOn w:val="1"/>
    <w:next w:val="15"/>
    <w:qFormat/>
    <w:uiPriority w:val="0"/>
    <w:pPr>
      <w:widowControl/>
      <w:jc w:val="center"/>
    </w:pPr>
    <w:rPr>
      <w:b/>
      <w:color w:val="000000"/>
      <w:kern w:val="0"/>
      <w:sz w:val="24"/>
      <w:lang w:bidi="he-IL"/>
    </w:rPr>
  </w:style>
  <w:style w:type="paragraph" w:customStyle="1" w:styleId="51">
    <w:name w:val="正文格式"/>
    <w:basedOn w:val="1"/>
    <w:qFormat/>
    <w:uiPriority w:val="0"/>
    <w:pPr>
      <w:spacing w:beforeLines="50" w:afterLines="50"/>
      <w:ind w:firstLine="480"/>
    </w:pPr>
    <w:rPr>
      <w:rFonts w:ascii="宋体" w:hAnsi="宋体"/>
      <w:kern w:val="0"/>
      <w:sz w:val="24"/>
      <w:lang w:val="en-GB"/>
    </w:rPr>
  </w:style>
  <w:style w:type="paragraph" w:customStyle="1" w:styleId="52">
    <w:name w:val="表格题注"/>
    <w:basedOn w:val="13"/>
    <w:qFormat/>
    <w:uiPriority w:val="0"/>
    <w:pPr>
      <w:spacing w:before="0" w:line="240" w:lineRule="auto"/>
      <w:ind w:left="0" w:firstLine="0"/>
    </w:pPr>
  </w:style>
  <w:style w:type="paragraph" w:customStyle="1" w:styleId="53">
    <w:name w:val="（投标文件）首行缩进"/>
    <w:basedOn w:val="15"/>
    <w:next w:val="11"/>
    <w:qFormat/>
    <w:uiPriority w:val="0"/>
    <w:pPr>
      <w:spacing w:afterLines="100"/>
      <w:ind w:firstLine="963"/>
    </w:pPr>
    <w:rPr>
      <w:rFonts w:asciiTheme="minorHAnsi" w:hAnsiTheme="minorHAnsi"/>
      <w:sz w:val="28"/>
    </w:rPr>
  </w:style>
  <w:style w:type="paragraph" w:customStyle="1" w:styleId="54">
    <w:name w:val="我的正文"/>
    <w:basedOn w:val="53"/>
    <w:qFormat/>
    <w:uiPriority w:val="0"/>
    <w:pPr>
      <w:spacing w:afterLines="0"/>
      <w:ind w:firstLine="480"/>
    </w:pPr>
    <w:rPr>
      <w:rFonts w:asciiTheme="minorEastAsia" w:hAnsiTheme="minorEastAsia" w:eastAsiaTheme="minorEastAsia"/>
      <w:color w:val="000000" w:themeColor="text1"/>
      <w:sz w:val="24"/>
      <w:szCs w:val="21"/>
      <w14:textFill>
        <w14:solidFill>
          <w14:schemeClr w14:val="tx1"/>
        </w14:solidFill>
      </w14:textFill>
    </w:rPr>
  </w:style>
  <w:style w:type="paragraph" w:customStyle="1" w:styleId="55">
    <w:name w:val="222"/>
    <w:basedOn w:val="1"/>
    <w:qFormat/>
    <w:uiPriority w:val="0"/>
    <w:pPr>
      <w:ind w:firstLine="480"/>
    </w:pPr>
    <w:rPr>
      <w:rFonts w:ascii="宋体" w:hAnsi="宋体"/>
      <w:sz w:val="24"/>
      <w:szCs w:val="20"/>
    </w:rPr>
  </w:style>
  <w:style w:type="paragraph" w:customStyle="1" w:styleId="56">
    <w:name w:val="My 正文"/>
    <w:basedOn w:val="1"/>
    <w:qFormat/>
    <w:uiPriority w:val="0"/>
    <w:pPr>
      <w:ind w:firstLine="200"/>
    </w:pPr>
    <w:rPr>
      <w:sz w:val="24"/>
      <w:szCs w:val="22"/>
    </w:rPr>
  </w:style>
  <w:style w:type="paragraph" w:customStyle="1" w:styleId="57">
    <w:name w:val="方案正文"/>
    <w:basedOn w:val="1"/>
    <w:qFormat/>
    <w:uiPriority w:val="0"/>
    <w:pPr>
      <w:spacing w:before="156"/>
      <w:ind w:firstLine="359" w:firstLineChars="171"/>
      <w:jc w:val="left"/>
    </w:pPr>
    <w:rPr>
      <w:rFonts w:ascii="Arial" w:hAnsi="Arial" w:cs="宋体"/>
      <w:sz w:val="24"/>
      <w:szCs w:val="21"/>
    </w:rPr>
  </w:style>
  <w:style w:type="paragraph" w:customStyle="1" w:styleId="58">
    <w:name w:val="正文样式"/>
    <w:basedOn w:val="1"/>
    <w:qFormat/>
    <w:uiPriority w:val="99"/>
    <w:pPr>
      <w:spacing w:line="240" w:lineRule="auto"/>
      <w:ind w:firstLine="480" w:firstLineChars="200"/>
    </w:pPr>
    <w:rPr>
      <w:rFonts w:ascii="Times New Roman" w:hAnsi="Times New Roman" w:eastAsiaTheme="minorEastAsia" w:cstheme="minorBidi"/>
      <w:sz w:val="30"/>
      <w:lang w:val="zh-CN"/>
    </w:rPr>
  </w:style>
  <w:style w:type="character" w:customStyle="1" w:styleId="59">
    <w:name w:val="列出段落 Char"/>
    <w:link w:val="60"/>
    <w:qFormat/>
    <w:locked/>
    <w:uiPriority w:val="34"/>
    <w:rPr>
      <w:szCs w:val="24"/>
    </w:rPr>
  </w:style>
  <w:style w:type="paragraph" w:customStyle="1" w:styleId="60">
    <w:name w:val="列出段落11"/>
    <w:basedOn w:val="1"/>
    <w:link w:val="59"/>
    <w:qFormat/>
    <w:uiPriority w:val="34"/>
    <w:pPr>
      <w:spacing w:line="240" w:lineRule="auto"/>
      <w:ind w:firstLine="420" w:firstLineChars="200"/>
    </w:pPr>
    <w:rPr>
      <w:rFonts w:asciiTheme="minorHAnsi" w:hAnsiTheme="minorHAnsi" w:eastAsiaTheme="minorEastAsia" w:cstheme="minorBidi"/>
    </w:rPr>
  </w:style>
  <w:style w:type="paragraph" w:customStyle="1" w:styleId="61">
    <w:name w:val="列表段落1"/>
    <w:basedOn w:val="1"/>
    <w:qFormat/>
    <w:uiPriority w:val="34"/>
    <w:pPr>
      <w:spacing w:line="240" w:lineRule="auto"/>
      <w:ind w:firstLine="420" w:firstLineChars="200"/>
    </w:pPr>
    <w:rPr>
      <w:szCs w:val="22"/>
    </w:rPr>
  </w:style>
  <w:style w:type="character" w:customStyle="1" w:styleId="62">
    <w:name w:val="标题 3 Char"/>
    <w:qFormat/>
    <w:uiPriority w:val="9"/>
    <w:rPr>
      <w:rFonts w:ascii="仿宋_GB2312" w:hAnsi="仿宋" w:eastAsia="仿宋_GB2312" w:cs="Arial"/>
      <w:b/>
      <w:kern w:val="2"/>
      <w:sz w:val="28"/>
      <w:szCs w:val="28"/>
    </w:rPr>
  </w:style>
  <w:style w:type="paragraph" w:customStyle="1" w:styleId="63">
    <w:name w:val="TOC 标题1"/>
    <w:basedOn w:val="2"/>
    <w:next w:val="1"/>
    <w:unhideWhenUsed/>
    <w:qFormat/>
    <w:uiPriority w:val="39"/>
    <w:pPr>
      <w:widowControl/>
      <w:numPr>
        <w:numId w:val="0"/>
      </w:numPr>
      <w:tabs>
        <w:tab w:val="clear" w:pos="0"/>
      </w:tabs>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64">
    <w:name w:val="正文文本缩进 Char"/>
    <w:basedOn w:val="30"/>
    <w:link w:val="16"/>
    <w:semiHidden/>
    <w:qFormat/>
    <w:uiPriority w:val="99"/>
    <w:rPr>
      <w:rFonts w:ascii="Calibri" w:hAnsi="Calibri" w:eastAsia="宋体" w:cs="Times New Roman"/>
      <w:szCs w:val="24"/>
    </w:rPr>
  </w:style>
  <w:style w:type="character" w:customStyle="1" w:styleId="65">
    <w:name w:val="正文首行缩进 2 Char"/>
    <w:basedOn w:val="64"/>
    <w:link w:val="27"/>
    <w:semiHidden/>
    <w:qFormat/>
    <w:uiPriority w:val="99"/>
    <w:rPr>
      <w:rFonts w:ascii="Calibri" w:hAnsi="Calibri" w:eastAsia="宋体" w:cs="Times New Roman"/>
      <w:szCs w:val="24"/>
    </w:rPr>
  </w:style>
  <w:style w:type="character" w:customStyle="1" w:styleId="66">
    <w:name w:val="批注文字 Char"/>
    <w:qFormat/>
    <w:uiPriority w:val="0"/>
    <w:rPr>
      <w:kern w:val="2"/>
      <w:sz w:val="21"/>
      <w:lang w:bidi="ar-SA"/>
    </w:rPr>
  </w:style>
  <w:style w:type="character" w:customStyle="1" w:styleId="67">
    <w:name w:val="批注框文本 Char"/>
    <w:basedOn w:val="30"/>
    <w:link w:val="19"/>
    <w:semiHidden/>
    <w:qFormat/>
    <w:uiPriority w:val="99"/>
    <w:rPr>
      <w:rFonts w:ascii="Calibri" w:hAnsi="Calibri" w:eastAsia="宋体" w:cs="Times New Roman"/>
      <w:sz w:val="18"/>
      <w:szCs w:val="18"/>
    </w:rPr>
  </w:style>
  <w:style w:type="character" w:customStyle="1" w:styleId="68">
    <w:name w:val="纯文本 Char"/>
    <w:basedOn w:val="30"/>
    <w:link w:val="18"/>
    <w:qFormat/>
    <w:uiPriority w:val="0"/>
    <w:rPr>
      <w:rFonts w:ascii="宋体" w:hAnsi="Courier New" w:eastAsia="宋体" w:cs="Times New Roman"/>
      <w:kern w:val="2"/>
      <w:sz w:val="21"/>
    </w:rPr>
  </w:style>
  <w:style w:type="character" w:customStyle="1" w:styleId="69">
    <w:name w:val="正文文本 2 Char"/>
    <w:basedOn w:val="30"/>
    <w:link w:val="24"/>
    <w:qFormat/>
    <w:uiPriority w:val="0"/>
    <w:rPr>
      <w:rFonts w:ascii="Times New Roman" w:hAnsi="Times New Roman" w:eastAsia="宋体" w:cs="Times New Roman"/>
      <w:kern w:val="2"/>
      <w:sz w:val="21"/>
      <w:szCs w:val="24"/>
    </w:rPr>
  </w:style>
  <w:style w:type="character" w:customStyle="1" w:styleId="70">
    <w:name w:val="Char Char10"/>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A1C-0573-41EA-8E7C-3A0A5B215D4B}">
  <ds:schemaRefs/>
</ds:datastoreItem>
</file>

<file path=docProps/app.xml><?xml version="1.0" encoding="utf-8"?>
<Properties xmlns="http://schemas.openxmlformats.org/officeDocument/2006/extended-properties" xmlns:vt="http://schemas.openxmlformats.org/officeDocument/2006/docPropsVTypes">
  <Template>Normal</Template>
  <Pages>4</Pages>
  <Words>2718</Words>
  <Characters>2789</Characters>
  <Lines>19</Lines>
  <Paragraphs>5</Paragraphs>
  <TotalTime>1</TotalTime>
  <ScaleCrop>false</ScaleCrop>
  <LinksUpToDate>false</LinksUpToDate>
  <CharactersWithSpaces>2790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2022-06-08T01:40:00Z</dcterms:created>
  <dc:creator>秀</dc:creator>
  <cp:lastModifiedBy>黄翠红</cp:lastModifiedBy>
  <cp:lastPrinted>2022-07-11T07:01:00Z</cp:lastPrinted>
  <dcterms:modified xsi:type="dcterms:W3CDTF">2025-10-20T02:32:10Z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292FFA5816C844478A60F7C682431845_13</vt:lpwstr>
  </property>
  <property fmtid="{D5CDD505-2E9C-101B-9397-08002B2CF9AE}" pid="4" name="KSOTemplateDocerSaveRecord">
    <vt:lpwstr>eyJoZGlkIjoiMTkzN2RkZDJjMzNlYjk5NGFkODg1MDNkNTI0OTYxMjUiLCJ1c2VySWQiOiI0Mzc2ODA3NjgifQ==</vt:lpwstr>
  </property>
</Properties>
</file>