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8B3EB">
      <w:pPr>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81552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2025年区控</w:t>
      </w:r>
      <w:r>
        <w:rPr>
          <w:rFonts w:hint="eastAsia" w:ascii="方正小标宋简体" w:hAnsi="方正小标宋简体" w:eastAsia="方正小标宋简体" w:cs="方正小标宋简体"/>
          <w:sz w:val="44"/>
          <w:szCs w:val="44"/>
        </w:rPr>
        <w:t>水质自动监测站维护维修</w:t>
      </w:r>
      <w:r>
        <w:rPr>
          <w:rFonts w:hint="eastAsia" w:ascii="方正小标宋简体" w:hAnsi="方正小标宋简体" w:eastAsia="方正小标宋简体" w:cs="方正小标宋简体"/>
          <w:sz w:val="44"/>
          <w:szCs w:val="44"/>
          <w:lang w:val="en-US" w:eastAsia="zh-CN"/>
        </w:rPr>
        <w:t>项目</w:t>
      </w:r>
    </w:p>
    <w:p w14:paraId="4DD90A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采购需求</w:t>
      </w:r>
    </w:p>
    <w:p w14:paraId="416E8128">
      <w:pPr>
        <w:pStyle w:val="11"/>
        <w:ind w:firstLine="320"/>
        <w:rPr>
          <w:rFonts w:ascii="黑体" w:hAnsi="黑体" w:eastAsia="黑体" w:cs="黑体"/>
          <w:sz w:val="32"/>
          <w:szCs w:val="32"/>
        </w:rPr>
      </w:pPr>
    </w:p>
    <w:p w14:paraId="42E213EB">
      <w:pPr>
        <w:pStyle w:val="11"/>
        <w:ind w:firstLine="320"/>
        <w:rPr>
          <w:rFonts w:ascii="黑体" w:hAnsi="黑体" w:eastAsia="黑体" w:cs="黑体"/>
          <w:sz w:val="32"/>
          <w:szCs w:val="32"/>
        </w:rPr>
      </w:pPr>
    </w:p>
    <w:p w14:paraId="0D4B22F8">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一、项目名称</w:t>
      </w:r>
    </w:p>
    <w:p w14:paraId="3012D6BE">
      <w:pPr>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2025年区控</w:t>
      </w:r>
      <w:r>
        <w:rPr>
          <w:rFonts w:hint="eastAsia" w:ascii="Times New Roman" w:hAnsi="Times New Roman" w:eastAsia="仿宋_GB2312"/>
          <w:sz w:val="32"/>
          <w:szCs w:val="32"/>
        </w:rPr>
        <w:t>水质自动监测站维护维修</w:t>
      </w:r>
      <w:r>
        <w:rPr>
          <w:rFonts w:hint="eastAsia" w:ascii="Times New Roman" w:hAnsi="Times New Roman" w:eastAsia="仿宋_GB2312"/>
          <w:sz w:val="32"/>
          <w:szCs w:val="32"/>
          <w:lang w:val="en-US" w:eastAsia="zh-CN"/>
        </w:rPr>
        <w:t>项目</w:t>
      </w:r>
    </w:p>
    <w:p w14:paraId="2C80AC29">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二、项目背景</w:t>
      </w:r>
    </w:p>
    <w:p w14:paraId="7071FF96">
      <w:pPr>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lang w:val="en-US" w:eastAsia="zh-CN"/>
        </w:rPr>
        <w:t>根据《自治区生态环境厅办公室关于做好2025年地表水环境质量监测网络运行维护项目预算的通知》文件精神，2025年8月开始，我中心负责辖区内9个区控水站运维工作。为确保辖区内自动监测网络稳定高效运行，加强贵港市地表水水质自动监测站的管理，提高自动监测系统仪器设备故障响应、维修速度，</w:t>
      </w:r>
      <w:r>
        <w:rPr>
          <w:rFonts w:hint="eastAsia" w:ascii="Times New Roman" w:hAnsi="Times New Roman" w:eastAsia="仿宋_GB2312"/>
          <w:sz w:val="32"/>
          <w:szCs w:val="32"/>
          <w:lang w:val="en-US" w:eastAsia="zh-CN"/>
        </w:rPr>
        <w:t>广西壮族自治区贵港生态环境监测中心（以下简称“贵港中心”）将辖区内6个区控水质自动监测站（详见附件1-1）的</w:t>
      </w:r>
      <w:r>
        <w:rPr>
          <w:rFonts w:hint="eastAsia" w:ascii="Times New Roman" w:hAnsi="Times New Roman" w:eastAsia="仿宋_GB2312" w:cs="Times New Roman"/>
          <w:sz w:val="32"/>
          <w:lang w:val="en-US" w:eastAsia="zh-CN"/>
        </w:rPr>
        <w:t>故障诊断、维修服务工作委托社会化专业机构进行服务保障</w:t>
      </w:r>
      <w:r>
        <w:rPr>
          <w:rFonts w:hint="eastAsia" w:ascii="Times New Roman" w:hAnsi="Times New Roman" w:eastAsia="仿宋_GB2312"/>
          <w:sz w:val="32"/>
          <w:szCs w:val="32"/>
          <w:lang w:val="en-US" w:eastAsia="zh-CN"/>
        </w:rPr>
        <w:t>。</w:t>
      </w:r>
    </w:p>
    <w:p w14:paraId="660651F8">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三、项目预算</w:t>
      </w:r>
    </w:p>
    <w:p w14:paraId="34E43BDD">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人民币</w:t>
      </w:r>
      <w:r>
        <w:rPr>
          <w:rFonts w:hint="eastAsia" w:ascii="Times New Roman" w:hAnsi="Times New Roman" w:eastAsia="仿宋_GB2312"/>
          <w:sz w:val="32"/>
          <w:szCs w:val="32"/>
          <w:lang w:val="en-US" w:eastAsia="zh-CN"/>
        </w:rPr>
        <w:t>壹拾玖</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伍仟</w:t>
      </w:r>
      <w:r>
        <w:rPr>
          <w:rFonts w:hint="eastAsia" w:ascii="Times New Roman" w:hAnsi="Times New Roman" w:eastAsia="仿宋_GB2312"/>
          <w:sz w:val="32"/>
          <w:szCs w:val="32"/>
        </w:rPr>
        <w:t>元</w:t>
      </w:r>
      <w:r>
        <w:rPr>
          <w:rFonts w:ascii="Times New Roman" w:hAnsi="Times New Roman" w:eastAsia="仿宋_GB2312"/>
          <w:sz w:val="32"/>
          <w:szCs w:val="32"/>
        </w:rPr>
        <w:t>整（¥1</w:t>
      </w:r>
      <w:r>
        <w:rPr>
          <w:rFonts w:hint="eastAsia" w:ascii="Times New Roman" w:hAnsi="Times New Roman" w:eastAsia="仿宋_GB2312"/>
          <w:sz w:val="32"/>
          <w:szCs w:val="32"/>
          <w:lang w:val="en-US" w:eastAsia="zh-CN"/>
        </w:rPr>
        <w:t>9.5万</w:t>
      </w:r>
      <w:r>
        <w:rPr>
          <w:rFonts w:hint="eastAsia" w:ascii="Times New Roman" w:hAnsi="Times New Roman" w:eastAsia="仿宋_GB2312"/>
          <w:sz w:val="32"/>
          <w:szCs w:val="32"/>
        </w:rPr>
        <w:t>元</w:t>
      </w:r>
      <w:r>
        <w:rPr>
          <w:rFonts w:ascii="Times New Roman" w:hAnsi="Times New Roman" w:eastAsia="仿宋_GB2312"/>
          <w:sz w:val="32"/>
          <w:szCs w:val="32"/>
        </w:rPr>
        <w:t>）</w:t>
      </w:r>
    </w:p>
    <w:p w14:paraId="58E0401B">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四、项目需求</w:t>
      </w:r>
    </w:p>
    <w:p w14:paraId="32EA5B80">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（一）服务内容</w:t>
      </w:r>
    </w:p>
    <w:p w14:paraId="6C597CE7">
      <w:pPr>
        <w:snapToGrid w:val="0"/>
        <w:spacing w:line="560" w:lineRule="exact"/>
        <w:ind w:firstLine="640" w:firstLineChars="200"/>
        <w:rPr>
          <w:rFonts w:hint="eastAsia" w:ascii="Times New Roman" w:hAnsi="Times New Roman" w:eastAsia="仿宋_GB2312"/>
          <w:sz w:val="32"/>
          <w:szCs w:val="32"/>
          <w:lang w:val="en-US"/>
        </w:rPr>
      </w:pPr>
      <w:r>
        <w:rPr>
          <w:rFonts w:ascii="Times New Roman" w:hAnsi="Times New Roman" w:eastAsia="仿宋_GB2312"/>
          <w:sz w:val="32"/>
          <w:szCs w:val="32"/>
        </w:rPr>
        <w:t>本项目主要</w:t>
      </w:r>
      <w:r>
        <w:rPr>
          <w:rFonts w:hint="eastAsia" w:ascii="Times New Roman" w:hAnsi="Times New Roman" w:eastAsia="仿宋_GB2312"/>
          <w:sz w:val="32"/>
          <w:szCs w:val="32"/>
        </w:rPr>
        <w:t>为</w:t>
      </w:r>
      <w:r>
        <w:rPr>
          <w:rFonts w:hint="eastAsia" w:ascii="Times New Roman" w:hAnsi="Times New Roman" w:eastAsia="仿宋_GB2312"/>
          <w:sz w:val="32"/>
          <w:szCs w:val="32"/>
          <w:lang w:val="en-US" w:eastAsia="zh-CN"/>
        </w:rPr>
        <w:t>贵港</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辖区内</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区控水站（详细附件1-1）</w:t>
      </w:r>
      <w:r>
        <w:rPr>
          <w:rFonts w:hint="eastAsia" w:ascii="Times New Roman" w:hAnsi="Times New Roman" w:eastAsia="仿宋_GB2312"/>
          <w:sz w:val="32"/>
          <w:szCs w:val="32"/>
        </w:rPr>
        <w:t>仪器设备提供故障诊断、</w:t>
      </w:r>
      <w:r>
        <w:rPr>
          <w:rFonts w:ascii="Times New Roman" w:hAnsi="Times New Roman" w:eastAsia="仿宋_GB2312"/>
          <w:sz w:val="32"/>
          <w:szCs w:val="32"/>
        </w:rPr>
        <w:t>维修</w:t>
      </w:r>
      <w:r>
        <w:rPr>
          <w:rFonts w:hint="eastAsia" w:ascii="Times New Roman" w:hAnsi="Times New Roman" w:eastAsia="仿宋_GB2312"/>
          <w:sz w:val="32"/>
          <w:szCs w:val="32"/>
        </w:rPr>
        <w:t>服务，协助</w:t>
      </w:r>
      <w:r>
        <w:rPr>
          <w:rFonts w:hint="eastAsia" w:ascii="Times New Roman" w:hAnsi="Times New Roman" w:eastAsia="仿宋_GB2312"/>
          <w:sz w:val="32"/>
          <w:szCs w:val="32"/>
          <w:lang w:val="en-US" w:eastAsia="zh-CN"/>
        </w:rPr>
        <w:t>贵港中心</w:t>
      </w:r>
      <w:r>
        <w:rPr>
          <w:rFonts w:hint="eastAsia" w:ascii="Times New Roman" w:hAnsi="Times New Roman" w:eastAsia="仿宋_GB2312"/>
          <w:sz w:val="32"/>
          <w:szCs w:val="32"/>
        </w:rPr>
        <w:t>开展周边环境、站房基础设施、仪器设备故障巡查等工作，</w:t>
      </w:r>
      <w:r>
        <w:rPr>
          <w:rFonts w:hint="eastAsia" w:ascii="Times New Roman" w:hAnsi="Times New Roman" w:eastAsia="仿宋_GB2312"/>
          <w:sz w:val="32"/>
          <w:szCs w:val="32"/>
          <w:lang w:val="en-US" w:eastAsia="zh-CN"/>
        </w:rPr>
        <w:t>提供自动监测仪器设备耗材、配件、试剂和标准物质、租船服务，做好区控水站辅助系统运行保障，仪器设备故障维修，站房基础保障设施维修（不可抗力引起的恢复性维修维护除外）等工作，服务质量达到贵港中心的</w:t>
      </w:r>
      <w:r>
        <w:rPr>
          <w:rFonts w:hint="eastAsia" w:ascii="Times New Roman" w:hAnsi="Times New Roman" w:eastAsia="仿宋_GB2312"/>
          <w:sz w:val="32"/>
          <w:szCs w:val="32"/>
          <w:lang w:val="en-US"/>
        </w:rPr>
        <w:t>考核</w:t>
      </w:r>
      <w:r>
        <w:rPr>
          <w:rFonts w:hint="eastAsia" w:ascii="Times New Roman" w:hAnsi="Times New Roman" w:eastAsia="仿宋_GB2312"/>
          <w:sz w:val="32"/>
          <w:szCs w:val="32"/>
          <w:lang w:val="en-US" w:eastAsia="zh-CN"/>
        </w:rPr>
        <w:t>要求</w:t>
      </w:r>
      <w:r>
        <w:rPr>
          <w:rFonts w:hint="eastAsia" w:ascii="Times New Roman" w:hAnsi="Times New Roman" w:eastAsia="仿宋_GB2312"/>
          <w:sz w:val="32"/>
          <w:szCs w:val="32"/>
          <w:lang w:val="en-US"/>
        </w:rPr>
        <w:t>。</w:t>
      </w:r>
    </w:p>
    <w:p w14:paraId="3B417D6F">
      <w:pPr>
        <w:tabs>
          <w:tab w:val="left" w:pos="1131"/>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依据《地表水水质自动监测站（常规五参数、COD</w:t>
      </w:r>
      <w:r>
        <w:rPr>
          <w:rFonts w:hint="eastAsia" w:ascii="Times New Roman" w:hAnsi="Times New Roman" w:eastAsia="仿宋_GB2312"/>
          <w:sz w:val="32"/>
          <w:szCs w:val="32"/>
          <w:vertAlign w:val="subscript"/>
        </w:rPr>
        <w:t>Mn</w:t>
      </w:r>
      <w:r>
        <w:rPr>
          <w:rFonts w:hint="eastAsia" w:ascii="Times New Roman" w:hAnsi="Times New Roman" w:eastAsia="仿宋_GB2312"/>
          <w:sz w:val="32"/>
          <w:szCs w:val="32"/>
        </w:rPr>
        <w:t>、NH</w:t>
      </w:r>
      <w:r>
        <w:rPr>
          <w:rFonts w:hint="eastAsia" w:ascii="Times New Roman" w:hAnsi="Times New Roman" w:eastAsia="仿宋_GB2312"/>
          <w:sz w:val="32"/>
          <w:szCs w:val="32"/>
          <w:vertAlign w:val="subscript"/>
        </w:rPr>
        <w:t>3</w:t>
      </w:r>
      <w:r>
        <w:rPr>
          <w:rFonts w:hint="eastAsia" w:ascii="Times New Roman" w:hAnsi="Times New Roman" w:eastAsia="仿宋_GB2312"/>
          <w:sz w:val="32"/>
          <w:szCs w:val="32"/>
        </w:rPr>
        <w:t>-N、TP、TN）运行维护技术规范》（HJ 915.3-2024）等地表水自动监测运行维护相关规范、要求，对水站仪器和辅助设备开展例行</w:t>
      </w:r>
      <w:r>
        <w:rPr>
          <w:rFonts w:hint="eastAsia" w:ascii="Times New Roman" w:hAnsi="Times New Roman" w:eastAsia="仿宋_GB2312"/>
          <w:sz w:val="32"/>
          <w:szCs w:val="32"/>
          <w:lang w:eastAsia="zh-CN"/>
        </w:rPr>
        <w:t>巡检（包含定期开展相应质控工作）</w:t>
      </w:r>
      <w:r>
        <w:rPr>
          <w:rFonts w:hint="eastAsia" w:ascii="Times New Roman" w:hAnsi="Times New Roman" w:eastAsia="仿宋_GB2312"/>
          <w:sz w:val="32"/>
          <w:szCs w:val="32"/>
        </w:rPr>
        <w:t>。</w:t>
      </w:r>
      <w:r>
        <w:rPr>
          <w:rFonts w:hint="eastAsia" w:ascii="Times New Roman" w:hAnsi="Times New Roman" w:eastAsia="仿宋_GB2312"/>
          <w:color w:val="FF0000"/>
          <w:sz w:val="32"/>
          <w:szCs w:val="32"/>
          <w:lang w:val="en-US" w:eastAsia="zh-CN"/>
        </w:rPr>
        <w:t>协助贵港监测中心技术人员做好水站日常巡检，每个站点每周至少1次。</w:t>
      </w:r>
    </w:p>
    <w:p w14:paraId="5D97033A">
      <w:pPr>
        <w:tabs>
          <w:tab w:val="left" w:pos="1131"/>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出现带有标识的异常数据、仪器设备状态参数异常、运行日志异常、不符合逻辑数据等其他情况导致的异常数据时，</w:t>
      </w:r>
      <w:r>
        <w:rPr>
          <w:rFonts w:hint="eastAsia" w:ascii="Times New Roman" w:hAnsi="Times New Roman" w:eastAsia="仿宋_GB2312"/>
          <w:sz w:val="32"/>
          <w:szCs w:val="32"/>
          <w:lang w:eastAsia="zh-CN"/>
        </w:rPr>
        <w:t>及时向贵港中心报告并</w:t>
      </w:r>
      <w:r>
        <w:rPr>
          <w:rFonts w:hint="eastAsia" w:ascii="Times New Roman" w:hAnsi="Times New Roman" w:eastAsia="仿宋_GB2312"/>
          <w:sz w:val="32"/>
          <w:szCs w:val="32"/>
          <w:lang w:val="en-US" w:eastAsia="zh-CN"/>
        </w:rPr>
        <w:t>及时进行</w:t>
      </w:r>
      <w:r>
        <w:rPr>
          <w:rFonts w:hint="eastAsia" w:ascii="Times New Roman" w:hAnsi="Times New Roman" w:eastAsia="仿宋_GB2312"/>
          <w:sz w:val="32"/>
          <w:szCs w:val="32"/>
        </w:rPr>
        <w:t>远程维护，必要时当天前往现场确认和维护，采取标样核查、现场排查、留样复测、实际水样比对等措施，确认数据是否有效</w:t>
      </w:r>
      <w:r>
        <w:rPr>
          <w:rFonts w:hint="eastAsia" w:ascii="Times New Roman" w:hAnsi="Times New Roman" w:eastAsia="仿宋_GB2312"/>
          <w:sz w:val="32"/>
          <w:szCs w:val="32"/>
          <w:lang w:eastAsia="zh-CN"/>
        </w:rPr>
        <w:t>。</w:t>
      </w:r>
    </w:p>
    <w:p w14:paraId="00EB097F">
      <w:pPr>
        <w:tabs>
          <w:tab w:val="left" w:pos="1131"/>
        </w:tabs>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确认仪器通讯存在障碍或仪器状态异常、仪器故障时，应尽快前往现场查明原因，处理故障。仪器或系统发生故障时，对于在现场能够诊断明确且可通过更换备件解决的问题，应在48小时内解决故障。在每次故障检修完成后，根据检修内容和更换部件情况，对仪器进行校准，</w:t>
      </w:r>
      <w:r>
        <w:rPr>
          <w:rFonts w:hint="eastAsia" w:ascii="Times New Roman" w:hAnsi="Times New Roman" w:eastAsia="仿宋_GB2312"/>
          <w:color w:val="FF0000"/>
          <w:sz w:val="32"/>
          <w:szCs w:val="32"/>
        </w:rPr>
        <w:t>并在维修后48小时内提交维修详细情况说明，包括故障情况、更换耗材情况、费用、维修效果等；</w:t>
      </w:r>
      <w:r>
        <w:rPr>
          <w:rFonts w:hint="eastAsia" w:ascii="Times New Roman" w:hAnsi="Times New Roman" w:eastAsia="仿宋_GB2312"/>
          <w:sz w:val="32"/>
          <w:szCs w:val="32"/>
        </w:rPr>
        <w:t>对于其他不易诊断和检修的故障，或48小时内无法排除的仪器故障，应及时更换备机，同时应对备机开展多点线性核查，并对监测数据进行分析，监测数据与更换备机前变化较大时，还应开展实际水样比对。</w:t>
      </w:r>
    </w:p>
    <w:p w14:paraId="36DDE21B">
      <w:pPr>
        <w:tabs>
          <w:tab w:val="left" w:pos="1131"/>
        </w:tabs>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备机保障服务：</w:t>
      </w:r>
      <w:r>
        <w:rPr>
          <w:rFonts w:hint="eastAsia" w:ascii="Times New Roman" w:hAnsi="Times New Roman" w:eastAsia="仿宋_GB2312"/>
          <w:sz w:val="32"/>
          <w:szCs w:val="32"/>
          <w:lang w:eastAsia="zh-CN"/>
        </w:rPr>
        <w:t>设备出现故障</w:t>
      </w:r>
      <w:r>
        <w:rPr>
          <w:rFonts w:hint="eastAsia" w:ascii="Times New Roman" w:hAnsi="Times New Roman" w:eastAsia="仿宋_GB2312"/>
          <w:sz w:val="32"/>
          <w:szCs w:val="32"/>
          <w:lang w:val="en-US" w:eastAsia="zh-CN"/>
        </w:rPr>
        <w:t>48小时不能处理的，</w:t>
      </w:r>
      <w:r>
        <w:rPr>
          <w:rFonts w:hint="eastAsia" w:ascii="Times New Roman" w:hAnsi="Times New Roman" w:eastAsia="仿宋_GB2312"/>
          <w:strike w:val="0"/>
          <w:dstrike w:val="0"/>
          <w:color w:val="FF0000"/>
          <w:sz w:val="32"/>
          <w:szCs w:val="32"/>
          <w:lang w:val="en-US" w:eastAsia="zh-CN"/>
        </w:rPr>
        <w:t>应当马上</w:t>
      </w:r>
      <w:r>
        <w:rPr>
          <w:rFonts w:hint="eastAsia" w:ascii="Times New Roman" w:hAnsi="Times New Roman" w:eastAsia="仿宋_GB2312"/>
          <w:sz w:val="32"/>
          <w:szCs w:val="32"/>
        </w:rPr>
        <w:t>提供适用于在用系统、性能安全可靠的备机。用于日常突发仪器故障的运行保障，要求提供备机设备清单（表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）、实物照片及设备购置/租赁合同、发票等，如为生产商自有产品，需提供自有产品清单、实物照片及铭牌等。</w:t>
      </w:r>
    </w:p>
    <w:p w14:paraId="16F9315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80"/>
        <w:jc w:val="center"/>
      </w:pPr>
      <w:r>
        <w:rPr>
          <w:rFonts w:hint="eastAsia" w:asciiTheme="majorEastAsia" w:hAnsiTheme="majorEastAsia" w:eastAsiaTheme="majorEastAsia" w:cstheme="majorEastAsia"/>
          <w:b/>
          <w:bCs/>
          <w:color w:val="000000"/>
          <w:sz w:val="28"/>
          <w:szCs w:val="28"/>
        </w:rPr>
        <w:t>表</w:t>
      </w:r>
      <w:r>
        <w:rPr>
          <w:rFonts w:hint="eastAsia" w:asciiTheme="majorEastAsia" w:hAnsiTheme="majorEastAsia" w:eastAsiaTheme="majorEastAsia" w:cstheme="majorEastAsia"/>
          <w:b/>
          <w:bCs/>
          <w:color w:val="000000"/>
          <w:sz w:val="28"/>
          <w:szCs w:val="28"/>
          <w:lang w:val="en-US" w:eastAsia="zh-CN"/>
        </w:rPr>
        <w:t xml:space="preserve">1 </w:t>
      </w:r>
      <w:r>
        <w:rPr>
          <w:rFonts w:hint="eastAsia" w:asciiTheme="majorEastAsia" w:hAnsiTheme="majorEastAsia" w:eastAsiaTheme="majorEastAsia" w:cstheme="majorEastAsia"/>
          <w:b/>
          <w:bCs/>
          <w:color w:val="000000"/>
          <w:sz w:val="28"/>
          <w:szCs w:val="28"/>
        </w:rPr>
        <w:t>仪器备机清单</w:t>
      </w:r>
    </w:p>
    <w:tbl>
      <w:tblPr>
        <w:tblStyle w:val="12"/>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061"/>
        <w:gridCol w:w="4142"/>
        <w:gridCol w:w="3101"/>
      </w:tblGrid>
      <w:tr w14:paraId="1C49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8" w:hRule="atLeast"/>
          <w:tblCellSpacing w:w="0" w:type="dxa"/>
        </w:trPr>
        <w:tc>
          <w:tcPr>
            <w:tcW w:w="1107" w:type="pct"/>
            <w:tcBorders>
              <w:tl2br w:val="nil"/>
              <w:tr2bl w:val="nil"/>
            </w:tcBorders>
            <w:shd w:val="clear" w:color="auto" w:fill="FFFFFF"/>
            <w:tcMar>
              <w:left w:w="108" w:type="dxa"/>
              <w:right w:w="108" w:type="dxa"/>
            </w:tcMar>
            <w:vAlign w:val="center"/>
          </w:tcPr>
          <w:p w14:paraId="62636E1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b/>
                <w:bCs/>
              </w:rPr>
            </w:pPr>
            <w:bookmarkStart w:id="0" w:name="_Hlk96415285"/>
            <w:r>
              <w:rPr>
                <w:rFonts w:hint="eastAsia" w:ascii="仿宋_GB2312" w:hAnsi="仿宋_GB2312" w:eastAsia="仿宋_GB2312" w:cs="仿宋_GB2312"/>
                <w:b/>
                <w:bCs/>
                <w:color w:val="000000"/>
                <w:sz w:val="24"/>
                <w:szCs w:val="24"/>
              </w:rPr>
              <w:t>序号</w:t>
            </w:r>
            <w:bookmarkEnd w:id="0"/>
          </w:p>
        </w:tc>
        <w:tc>
          <w:tcPr>
            <w:tcW w:w="2225" w:type="pct"/>
            <w:tcBorders>
              <w:tl2br w:val="nil"/>
              <w:tr2bl w:val="nil"/>
            </w:tcBorders>
            <w:shd w:val="clear" w:color="auto" w:fill="FFFFFF"/>
            <w:tcMar>
              <w:left w:w="108" w:type="dxa"/>
              <w:right w:w="108" w:type="dxa"/>
            </w:tcMar>
            <w:vAlign w:val="center"/>
          </w:tcPr>
          <w:p w14:paraId="5A8CDC7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center"/>
              <w:rPr>
                <w:rFonts w:hint="eastAsia" w:ascii="仿宋_GB2312" w:hAnsi="仿宋_GB2312" w:eastAsia="仿宋_GB2312" w:cs="仿宋_GB2312"/>
                <w:b/>
                <w:bCs/>
              </w:rPr>
            </w:pPr>
            <w:r>
              <w:rPr>
                <w:rFonts w:hint="eastAsia" w:ascii="仿宋_GB2312" w:hAnsi="仿宋_GB2312" w:eastAsia="仿宋_GB2312" w:cs="仿宋_GB2312"/>
                <w:b/>
                <w:bCs/>
                <w:color w:val="000000"/>
                <w:sz w:val="24"/>
                <w:szCs w:val="24"/>
              </w:rPr>
              <w:t>设备名称</w:t>
            </w:r>
          </w:p>
        </w:tc>
        <w:tc>
          <w:tcPr>
            <w:tcW w:w="1666" w:type="pct"/>
            <w:tcBorders>
              <w:tl2br w:val="nil"/>
              <w:tr2bl w:val="nil"/>
            </w:tcBorders>
            <w:shd w:val="clear" w:color="auto" w:fill="auto"/>
            <w:tcMar>
              <w:left w:w="108" w:type="dxa"/>
              <w:right w:w="108" w:type="dxa"/>
            </w:tcMar>
            <w:vAlign w:val="center"/>
          </w:tcPr>
          <w:p w14:paraId="53B2CDA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b/>
                <w:bCs/>
              </w:rPr>
            </w:pPr>
            <w:r>
              <w:rPr>
                <w:rFonts w:hint="eastAsia" w:ascii="仿宋_GB2312" w:hAnsi="仿宋_GB2312" w:eastAsia="仿宋_GB2312" w:cs="仿宋_GB2312"/>
                <w:b/>
                <w:bCs/>
                <w:color w:val="000000"/>
                <w:sz w:val="24"/>
                <w:szCs w:val="24"/>
              </w:rPr>
              <w:t>数量（台/套）</w:t>
            </w:r>
          </w:p>
        </w:tc>
      </w:tr>
      <w:tr w14:paraId="337E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2" w:hRule="atLeast"/>
          <w:tblCellSpacing w:w="0" w:type="dxa"/>
        </w:trPr>
        <w:tc>
          <w:tcPr>
            <w:tcW w:w="1107" w:type="pct"/>
            <w:tcBorders>
              <w:tl2br w:val="nil"/>
              <w:tr2bl w:val="nil"/>
            </w:tcBorders>
            <w:shd w:val="clear" w:color="auto" w:fill="FFFFFF"/>
            <w:tcMar>
              <w:left w:w="108" w:type="dxa"/>
              <w:right w:w="108" w:type="dxa"/>
            </w:tcMar>
            <w:vAlign w:val="center"/>
          </w:tcPr>
          <w:p w14:paraId="5C920DE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1</w:t>
            </w:r>
          </w:p>
        </w:tc>
        <w:tc>
          <w:tcPr>
            <w:tcW w:w="2225" w:type="pct"/>
            <w:tcBorders>
              <w:tl2br w:val="nil"/>
              <w:tr2bl w:val="nil"/>
            </w:tcBorders>
            <w:shd w:val="clear" w:color="auto" w:fill="FFFFFF"/>
            <w:tcMar>
              <w:left w:w="108" w:type="dxa"/>
              <w:right w:w="108" w:type="dxa"/>
            </w:tcMar>
            <w:vAlign w:val="center"/>
          </w:tcPr>
          <w:p w14:paraId="76E5BC4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常规五参数水质分析仪</w:t>
            </w:r>
          </w:p>
          <w:p w14:paraId="062D5D2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（水温、电导</w:t>
            </w:r>
            <w:r>
              <w:rPr>
                <w:rFonts w:hint="eastAsia" w:ascii="仿宋_GB2312" w:hAnsi="仿宋_GB2312" w:eastAsia="仿宋_GB2312" w:cs="仿宋_GB2312"/>
                <w:color w:val="000000"/>
                <w:sz w:val="24"/>
                <w:szCs w:val="24"/>
                <w:lang w:eastAsia="zh-CN"/>
              </w:rPr>
              <w:t>率</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p</w:t>
            </w:r>
            <w:r>
              <w:rPr>
                <w:rFonts w:hint="eastAsia" w:ascii="仿宋_GB2312" w:hAnsi="仿宋_GB2312" w:eastAsia="仿宋_GB2312" w:cs="仿宋_GB2312"/>
                <w:color w:val="000000"/>
                <w:sz w:val="24"/>
                <w:szCs w:val="24"/>
              </w:rPr>
              <w:t>H、浊度、溶解氧）</w:t>
            </w:r>
          </w:p>
        </w:tc>
        <w:tc>
          <w:tcPr>
            <w:tcW w:w="1666" w:type="pct"/>
            <w:tcBorders>
              <w:tl2br w:val="nil"/>
              <w:tr2bl w:val="nil"/>
            </w:tcBorders>
            <w:shd w:val="clear" w:color="auto" w:fill="auto"/>
            <w:tcMar>
              <w:left w:w="108" w:type="dxa"/>
              <w:right w:w="108" w:type="dxa"/>
            </w:tcMar>
            <w:vAlign w:val="center"/>
          </w:tcPr>
          <w:p w14:paraId="5E80835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lang w:eastAsia="zh-CN"/>
              </w:rPr>
            </w:pPr>
            <w:r>
              <w:rPr>
                <w:rFonts w:hint="eastAsia" w:ascii="仿宋_GB2312" w:hAnsi="仿宋_GB2312" w:eastAsia="仿宋_GB2312" w:cs="仿宋_GB2312"/>
                <w:color w:val="000000"/>
                <w:sz w:val="24"/>
                <w:szCs w:val="24"/>
                <w:lang w:val="en-US" w:eastAsia="zh-CN"/>
              </w:rPr>
              <w:t>1</w:t>
            </w:r>
          </w:p>
        </w:tc>
      </w:tr>
      <w:tr w14:paraId="5745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blCellSpacing w:w="0" w:type="dxa"/>
        </w:trPr>
        <w:tc>
          <w:tcPr>
            <w:tcW w:w="1107" w:type="pct"/>
            <w:tcBorders>
              <w:tl2br w:val="nil"/>
              <w:tr2bl w:val="nil"/>
            </w:tcBorders>
            <w:shd w:val="clear" w:color="auto" w:fill="FFFFFF"/>
            <w:tcMar>
              <w:left w:w="108" w:type="dxa"/>
              <w:right w:w="108" w:type="dxa"/>
            </w:tcMar>
            <w:vAlign w:val="center"/>
          </w:tcPr>
          <w:p w14:paraId="70C96DE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2</w:t>
            </w:r>
          </w:p>
        </w:tc>
        <w:tc>
          <w:tcPr>
            <w:tcW w:w="2225" w:type="pct"/>
            <w:tcBorders>
              <w:tl2br w:val="nil"/>
              <w:tr2bl w:val="nil"/>
            </w:tcBorders>
            <w:shd w:val="clear" w:color="auto" w:fill="FFFFFF"/>
            <w:tcMar>
              <w:left w:w="108" w:type="dxa"/>
              <w:right w:w="108" w:type="dxa"/>
            </w:tcMar>
            <w:vAlign w:val="center"/>
          </w:tcPr>
          <w:p w14:paraId="4F220F8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高锰酸盐指数水质分析仪</w:t>
            </w:r>
          </w:p>
        </w:tc>
        <w:tc>
          <w:tcPr>
            <w:tcW w:w="1666" w:type="pct"/>
            <w:tcBorders>
              <w:tl2br w:val="nil"/>
              <w:tr2bl w:val="nil"/>
            </w:tcBorders>
            <w:shd w:val="clear" w:color="auto" w:fill="auto"/>
            <w:tcMar>
              <w:left w:w="108" w:type="dxa"/>
              <w:right w:w="108" w:type="dxa"/>
            </w:tcMar>
            <w:vAlign w:val="center"/>
          </w:tcPr>
          <w:p w14:paraId="54C069C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lang w:eastAsia="zh-CN"/>
              </w:rPr>
            </w:pPr>
            <w:r>
              <w:rPr>
                <w:rFonts w:hint="eastAsia" w:ascii="仿宋_GB2312" w:hAnsi="仿宋_GB2312" w:eastAsia="仿宋_GB2312" w:cs="仿宋_GB2312"/>
                <w:color w:val="000000"/>
                <w:sz w:val="24"/>
                <w:szCs w:val="24"/>
                <w:lang w:val="en-US" w:eastAsia="zh-CN"/>
              </w:rPr>
              <w:t>1</w:t>
            </w:r>
          </w:p>
        </w:tc>
      </w:tr>
      <w:tr w14:paraId="5A32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blCellSpacing w:w="0" w:type="dxa"/>
        </w:trPr>
        <w:tc>
          <w:tcPr>
            <w:tcW w:w="1107" w:type="pct"/>
            <w:tcBorders>
              <w:tl2br w:val="nil"/>
              <w:tr2bl w:val="nil"/>
            </w:tcBorders>
            <w:shd w:val="clear" w:color="auto" w:fill="FFFFFF"/>
            <w:tcMar>
              <w:left w:w="108" w:type="dxa"/>
              <w:right w:w="108" w:type="dxa"/>
            </w:tcMar>
            <w:vAlign w:val="center"/>
          </w:tcPr>
          <w:p w14:paraId="62FF593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3</w:t>
            </w:r>
          </w:p>
        </w:tc>
        <w:tc>
          <w:tcPr>
            <w:tcW w:w="2225" w:type="pct"/>
            <w:tcBorders>
              <w:tl2br w:val="nil"/>
              <w:tr2bl w:val="nil"/>
            </w:tcBorders>
            <w:shd w:val="clear" w:color="auto" w:fill="FFFFFF"/>
            <w:tcMar>
              <w:left w:w="108" w:type="dxa"/>
              <w:right w:w="108" w:type="dxa"/>
            </w:tcMar>
            <w:vAlign w:val="center"/>
          </w:tcPr>
          <w:p w14:paraId="3E4BA1A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氨氮水质分析仪</w:t>
            </w:r>
          </w:p>
        </w:tc>
        <w:tc>
          <w:tcPr>
            <w:tcW w:w="1666" w:type="pct"/>
            <w:tcBorders>
              <w:tl2br w:val="nil"/>
              <w:tr2bl w:val="nil"/>
            </w:tcBorders>
            <w:shd w:val="clear" w:color="auto" w:fill="auto"/>
            <w:tcMar>
              <w:left w:w="108" w:type="dxa"/>
              <w:right w:w="108" w:type="dxa"/>
            </w:tcMar>
            <w:vAlign w:val="center"/>
          </w:tcPr>
          <w:p w14:paraId="0B56B81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lang w:eastAsia="zh-CN"/>
              </w:rPr>
            </w:pPr>
            <w:r>
              <w:rPr>
                <w:rFonts w:hint="eastAsia" w:ascii="仿宋_GB2312" w:hAnsi="仿宋_GB2312" w:eastAsia="仿宋_GB2312" w:cs="仿宋_GB2312"/>
                <w:color w:val="000000"/>
                <w:sz w:val="24"/>
                <w:szCs w:val="24"/>
                <w:lang w:val="en-US" w:eastAsia="zh-CN"/>
              </w:rPr>
              <w:t>1</w:t>
            </w:r>
          </w:p>
        </w:tc>
      </w:tr>
      <w:tr w14:paraId="3FAC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trPr>
        <w:tc>
          <w:tcPr>
            <w:tcW w:w="1107" w:type="pct"/>
            <w:tcBorders>
              <w:tl2br w:val="nil"/>
              <w:tr2bl w:val="nil"/>
            </w:tcBorders>
            <w:shd w:val="clear" w:color="auto" w:fill="FFFFFF"/>
            <w:tcMar>
              <w:left w:w="108" w:type="dxa"/>
              <w:right w:w="108" w:type="dxa"/>
            </w:tcMar>
            <w:vAlign w:val="center"/>
          </w:tcPr>
          <w:p w14:paraId="503C7B2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4</w:t>
            </w:r>
          </w:p>
        </w:tc>
        <w:tc>
          <w:tcPr>
            <w:tcW w:w="2225" w:type="pct"/>
            <w:tcBorders>
              <w:tl2br w:val="nil"/>
              <w:tr2bl w:val="nil"/>
            </w:tcBorders>
            <w:shd w:val="clear" w:color="auto" w:fill="FFFFFF"/>
            <w:tcMar>
              <w:left w:w="108" w:type="dxa"/>
              <w:right w:w="108" w:type="dxa"/>
            </w:tcMar>
            <w:vAlign w:val="center"/>
          </w:tcPr>
          <w:p w14:paraId="2737D8B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总磷水质分析仪</w:t>
            </w:r>
          </w:p>
        </w:tc>
        <w:tc>
          <w:tcPr>
            <w:tcW w:w="1666" w:type="pct"/>
            <w:tcBorders>
              <w:tl2br w:val="nil"/>
              <w:tr2bl w:val="nil"/>
            </w:tcBorders>
            <w:shd w:val="clear" w:color="auto" w:fill="auto"/>
            <w:tcMar>
              <w:left w:w="108" w:type="dxa"/>
              <w:right w:w="108" w:type="dxa"/>
            </w:tcMar>
            <w:vAlign w:val="center"/>
          </w:tcPr>
          <w:p w14:paraId="626E43C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lang w:eastAsia="zh-CN"/>
              </w:rPr>
            </w:pPr>
            <w:r>
              <w:rPr>
                <w:rFonts w:hint="eastAsia" w:ascii="仿宋_GB2312" w:hAnsi="仿宋_GB2312" w:eastAsia="仿宋_GB2312" w:cs="仿宋_GB2312"/>
                <w:color w:val="000000"/>
                <w:sz w:val="24"/>
                <w:szCs w:val="24"/>
                <w:lang w:val="en-US" w:eastAsia="zh-CN"/>
              </w:rPr>
              <w:t>1</w:t>
            </w:r>
          </w:p>
        </w:tc>
      </w:tr>
      <w:tr w14:paraId="7536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4" w:hRule="atLeast"/>
          <w:tblCellSpacing w:w="0" w:type="dxa"/>
        </w:trPr>
        <w:tc>
          <w:tcPr>
            <w:tcW w:w="1107" w:type="pct"/>
            <w:tcBorders>
              <w:tl2br w:val="nil"/>
              <w:tr2bl w:val="nil"/>
            </w:tcBorders>
            <w:shd w:val="clear" w:color="auto" w:fill="FFFFFF"/>
            <w:tcMar>
              <w:left w:w="108" w:type="dxa"/>
              <w:right w:w="108" w:type="dxa"/>
            </w:tcMar>
            <w:vAlign w:val="center"/>
          </w:tcPr>
          <w:p w14:paraId="230175D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5</w:t>
            </w:r>
          </w:p>
        </w:tc>
        <w:tc>
          <w:tcPr>
            <w:tcW w:w="2225" w:type="pct"/>
            <w:tcBorders>
              <w:tl2br w:val="nil"/>
              <w:tr2bl w:val="nil"/>
            </w:tcBorders>
            <w:shd w:val="clear" w:color="auto" w:fill="FFFFFF"/>
            <w:tcMar>
              <w:left w:w="108" w:type="dxa"/>
              <w:right w:w="108" w:type="dxa"/>
            </w:tcMar>
            <w:vAlign w:val="center"/>
          </w:tcPr>
          <w:p w14:paraId="0AEDB57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总氮水质分析仪</w:t>
            </w:r>
          </w:p>
        </w:tc>
        <w:tc>
          <w:tcPr>
            <w:tcW w:w="1666" w:type="pct"/>
            <w:tcBorders>
              <w:tl2br w:val="nil"/>
              <w:tr2bl w:val="nil"/>
            </w:tcBorders>
            <w:shd w:val="clear" w:color="auto" w:fill="auto"/>
            <w:tcMar>
              <w:left w:w="108" w:type="dxa"/>
              <w:right w:w="108" w:type="dxa"/>
            </w:tcMar>
            <w:vAlign w:val="center"/>
          </w:tcPr>
          <w:p w14:paraId="47337A2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lang w:eastAsia="zh-CN"/>
              </w:rPr>
            </w:pPr>
            <w:r>
              <w:rPr>
                <w:rFonts w:hint="eastAsia" w:ascii="仿宋_GB2312" w:hAnsi="仿宋_GB2312" w:eastAsia="仿宋_GB2312" w:cs="仿宋_GB2312"/>
                <w:color w:val="000000"/>
                <w:sz w:val="24"/>
                <w:szCs w:val="24"/>
                <w:lang w:val="en-US" w:eastAsia="zh-CN"/>
              </w:rPr>
              <w:t>1</w:t>
            </w:r>
          </w:p>
        </w:tc>
      </w:tr>
      <w:tr w14:paraId="71F8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1107" w:type="pct"/>
            <w:tcBorders>
              <w:tl2br w:val="nil"/>
              <w:tr2bl w:val="nil"/>
            </w:tcBorders>
            <w:shd w:val="clear" w:color="auto" w:fill="FFFFFF"/>
            <w:tcMar>
              <w:left w:w="108" w:type="dxa"/>
              <w:right w:w="108" w:type="dxa"/>
            </w:tcMar>
            <w:vAlign w:val="center"/>
          </w:tcPr>
          <w:p w14:paraId="7AF5435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6</w:t>
            </w:r>
          </w:p>
        </w:tc>
        <w:tc>
          <w:tcPr>
            <w:tcW w:w="2225" w:type="pct"/>
            <w:tcBorders>
              <w:tl2br w:val="nil"/>
              <w:tr2bl w:val="nil"/>
            </w:tcBorders>
            <w:shd w:val="clear" w:color="auto" w:fill="FFFFFF"/>
            <w:tcMar>
              <w:left w:w="108" w:type="dxa"/>
              <w:right w:w="108" w:type="dxa"/>
            </w:tcMar>
            <w:vAlign w:val="center"/>
          </w:tcPr>
          <w:p w14:paraId="6AB8BC2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藻密度水质分析仪</w:t>
            </w:r>
          </w:p>
        </w:tc>
        <w:tc>
          <w:tcPr>
            <w:tcW w:w="1666" w:type="pct"/>
            <w:tcBorders>
              <w:tl2br w:val="nil"/>
              <w:tr2bl w:val="nil"/>
            </w:tcBorders>
            <w:shd w:val="clear" w:color="auto" w:fill="auto"/>
            <w:tcMar>
              <w:left w:w="108" w:type="dxa"/>
              <w:right w:w="108" w:type="dxa"/>
            </w:tcMar>
            <w:vAlign w:val="center"/>
          </w:tcPr>
          <w:p w14:paraId="4D52A5D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lang w:eastAsia="zh-CN"/>
              </w:rPr>
            </w:pPr>
            <w:r>
              <w:rPr>
                <w:rFonts w:hint="eastAsia" w:ascii="仿宋_GB2312" w:hAnsi="仿宋_GB2312" w:eastAsia="仿宋_GB2312" w:cs="仿宋_GB2312"/>
                <w:color w:val="000000"/>
                <w:sz w:val="24"/>
                <w:szCs w:val="24"/>
                <w:lang w:val="en-US" w:eastAsia="zh-CN"/>
              </w:rPr>
              <w:t>1</w:t>
            </w:r>
          </w:p>
        </w:tc>
      </w:tr>
      <w:tr w14:paraId="761E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9" w:hRule="atLeast"/>
          <w:tblCellSpacing w:w="0" w:type="dxa"/>
        </w:trPr>
        <w:tc>
          <w:tcPr>
            <w:tcW w:w="1107" w:type="pct"/>
            <w:tcBorders>
              <w:tl2br w:val="nil"/>
              <w:tr2bl w:val="nil"/>
            </w:tcBorders>
            <w:shd w:val="clear" w:color="auto" w:fill="FFFFFF"/>
            <w:tcMar>
              <w:left w:w="108" w:type="dxa"/>
              <w:right w:w="108" w:type="dxa"/>
            </w:tcMar>
            <w:vAlign w:val="center"/>
          </w:tcPr>
          <w:p w14:paraId="3BBA364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7</w:t>
            </w:r>
          </w:p>
        </w:tc>
        <w:tc>
          <w:tcPr>
            <w:tcW w:w="2225" w:type="pct"/>
            <w:tcBorders>
              <w:tl2br w:val="nil"/>
              <w:tr2bl w:val="nil"/>
            </w:tcBorders>
            <w:shd w:val="clear" w:color="auto" w:fill="FFFFFF"/>
            <w:tcMar>
              <w:left w:w="108" w:type="dxa"/>
              <w:right w:w="108" w:type="dxa"/>
            </w:tcMar>
            <w:vAlign w:val="center"/>
          </w:tcPr>
          <w:p w14:paraId="6DB5DDD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rPr>
            </w:pPr>
            <w:r>
              <w:rPr>
                <w:rFonts w:hint="eastAsia" w:ascii="仿宋_GB2312" w:hAnsi="仿宋_GB2312" w:eastAsia="仿宋_GB2312" w:cs="仿宋_GB2312"/>
                <w:color w:val="000000"/>
                <w:sz w:val="24"/>
                <w:szCs w:val="24"/>
              </w:rPr>
              <w:t>叶绿素（叶绿素a）水质分析仪</w:t>
            </w:r>
          </w:p>
        </w:tc>
        <w:tc>
          <w:tcPr>
            <w:tcW w:w="1666" w:type="pct"/>
            <w:tcBorders>
              <w:tl2br w:val="nil"/>
              <w:tr2bl w:val="nil"/>
            </w:tcBorders>
            <w:shd w:val="clear" w:color="auto" w:fill="auto"/>
            <w:tcMar>
              <w:left w:w="108" w:type="dxa"/>
              <w:right w:w="108" w:type="dxa"/>
            </w:tcMar>
            <w:vAlign w:val="center"/>
          </w:tcPr>
          <w:p w14:paraId="3F19931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lang w:eastAsia="zh-CN"/>
              </w:rPr>
            </w:pPr>
            <w:r>
              <w:rPr>
                <w:rFonts w:hint="eastAsia" w:ascii="仿宋_GB2312" w:hAnsi="仿宋_GB2312" w:eastAsia="仿宋_GB2312" w:cs="仿宋_GB2312"/>
                <w:color w:val="000000"/>
                <w:sz w:val="24"/>
                <w:szCs w:val="24"/>
                <w:lang w:val="en-US" w:eastAsia="zh-CN"/>
              </w:rPr>
              <w:t>1</w:t>
            </w:r>
          </w:p>
        </w:tc>
      </w:tr>
    </w:tbl>
    <w:p w14:paraId="459C7A36">
      <w:pPr>
        <w:snapToGrid w:val="0"/>
        <w:spacing w:line="560" w:lineRule="exact"/>
        <w:ind w:firstLine="640" w:firstLineChars="200"/>
        <w:rPr>
          <w:rFonts w:hint="default" w:ascii="Times New Roman" w:hAnsi="Times New Roman" w:eastAsia="仿宋_GB2312"/>
          <w:color w:val="FF0000"/>
          <w:sz w:val="32"/>
          <w:szCs w:val="32"/>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耗材、试剂保障：根据区控水站运行需要，提供符合自动监测仪器设备、辅助系统运行保障要求的耗材、配件、试剂和标准物质，</w:t>
      </w:r>
      <w:r>
        <w:rPr>
          <w:rFonts w:hint="eastAsia" w:ascii="Times New Roman" w:hAnsi="Times New Roman" w:eastAsia="仿宋_GB2312"/>
          <w:sz w:val="32"/>
          <w:szCs w:val="32"/>
          <w:lang w:eastAsia="zh-CN"/>
        </w:rPr>
        <w:t>定期更换试剂、</w:t>
      </w:r>
      <w:r>
        <w:rPr>
          <w:rFonts w:hint="eastAsia" w:ascii="Times New Roman" w:hAnsi="Times New Roman" w:eastAsia="仿宋_GB2312"/>
          <w:sz w:val="32"/>
          <w:szCs w:val="32"/>
        </w:rPr>
        <w:t>耗材、配件</w:t>
      </w:r>
      <w:r>
        <w:rPr>
          <w:rFonts w:hint="eastAsia" w:ascii="Times New Roman" w:hAnsi="Times New Roman" w:eastAsia="仿宋_GB2312"/>
          <w:sz w:val="32"/>
          <w:szCs w:val="32"/>
          <w:lang w:eastAsia="zh-CN"/>
        </w:rPr>
        <w:t>并</w:t>
      </w:r>
      <w:r>
        <w:rPr>
          <w:rFonts w:hint="eastAsia" w:ascii="Times New Roman" w:hAnsi="Times New Roman" w:eastAsia="仿宋_GB2312"/>
          <w:sz w:val="32"/>
          <w:szCs w:val="32"/>
          <w:lang w:val="en-US" w:eastAsia="zh-CN"/>
        </w:rPr>
        <w:t>采取相应标准物质</w:t>
      </w:r>
      <w:r>
        <w:rPr>
          <w:rFonts w:hint="eastAsia" w:ascii="Times New Roman" w:hAnsi="Times New Roman" w:eastAsia="仿宋_GB2312"/>
          <w:sz w:val="32"/>
          <w:szCs w:val="32"/>
          <w:lang w:eastAsia="zh-CN"/>
        </w:rPr>
        <w:t>开展相应的质控</w:t>
      </w:r>
      <w:r>
        <w:rPr>
          <w:rFonts w:hint="eastAsia" w:ascii="Times New Roman" w:hAnsi="Times New Roman" w:eastAsia="仿宋_GB2312"/>
          <w:sz w:val="32"/>
          <w:szCs w:val="32"/>
        </w:rPr>
        <w:t>，</w:t>
      </w:r>
      <w:r>
        <w:rPr>
          <w:rFonts w:hint="eastAsia" w:ascii="Times New Roman" w:hAnsi="Times New Roman" w:eastAsia="仿宋"/>
          <w:color w:val="000000"/>
          <w:sz w:val="32"/>
          <w:szCs w:val="32"/>
        </w:rPr>
        <w:t>确保</w:t>
      </w:r>
      <w:r>
        <w:rPr>
          <w:rFonts w:hint="eastAsia" w:ascii="仿宋" w:hAnsi="仿宋" w:eastAsia="仿宋" w:cs="仿宋"/>
          <w:color w:val="000000"/>
          <w:sz w:val="32"/>
          <w:szCs w:val="32"/>
        </w:rPr>
        <w:t>试剂在使用期间能保证水站仪器正常运行，数据准确可靠。</w:t>
      </w:r>
      <w:r>
        <w:rPr>
          <w:rFonts w:hint="eastAsia" w:ascii="Times New Roman" w:hAnsi="Times New Roman" w:eastAsia="仿宋_GB2312"/>
          <w:sz w:val="32"/>
          <w:szCs w:val="32"/>
          <w:lang w:val="en-US" w:eastAsia="zh-CN"/>
        </w:rPr>
        <w:t>标准物质见附件1-2《水站运维所需标准物质试剂清单》。</w:t>
      </w:r>
      <w:r>
        <w:rPr>
          <w:rFonts w:hint="eastAsia" w:ascii="Times New Roman" w:hAnsi="Times New Roman" w:eastAsia="仿宋_GB2312"/>
          <w:color w:val="FF0000"/>
          <w:sz w:val="32"/>
          <w:szCs w:val="32"/>
          <w:lang w:val="en-US" w:eastAsia="zh-CN"/>
        </w:rPr>
        <w:t>特别要求：在4月份所有站点的试剂需全部更换为新配置的，且用量满足2个月及以上。</w:t>
      </w:r>
    </w:p>
    <w:p w14:paraId="0F7661D1">
      <w:pPr>
        <w:snapToGrid w:val="0"/>
        <w:spacing w:line="560" w:lineRule="exact"/>
        <w:ind w:firstLine="640" w:firstLineChars="200"/>
      </w:pPr>
      <w:r>
        <w:rPr>
          <w:rFonts w:hint="eastAsia" w:ascii="Times New Roman" w:hAnsi="Times New Roman" w:eastAsia="仿宋_GB2312"/>
          <w:sz w:val="32"/>
          <w:szCs w:val="32"/>
          <w:lang w:val="en-US" w:eastAsia="zh-CN"/>
        </w:rPr>
        <w:t>6.对合同期内运行产生的废液根据标准规范要求每两周收集移交给贵港中心，再由贵港中心进行废液委托处置。</w:t>
      </w:r>
    </w:p>
    <w:p w14:paraId="3B3B1EAC">
      <w:pPr>
        <w:pStyle w:val="8"/>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站点外围保障相关事项</w:t>
      </w:r>
      <w:r>
        <w:rPr>
          <w:rFonts w:hint="eastAsia" w:ascii="Times New Roman" w:hAnsi="Times New Roman" w:eastAsia="仿宋_GB2312"/>
          <w:sz w:val="32"/>
          <w:szCs w:val="32"/>
        </w:rPr>
        <w:t>。</w:t>
      </w:r>
    </w:p>
    <w:p w14:paraId="679C8B68">
      <w:pPr>
        <w:pStyle w:val="8"/>
        <w:spacing w:line="560" w:lineRule="exact"/>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供应商在项目服务期间需对</w:t>
      </w:r>
      <w:r>
        <w:rPr>
          <w:rFonts w:hint="eastAsia" w:ascii="Times New Roman" w:hAnsi="Times New Roman" w:eastAsia="仿宋_GB2312"/>
          <w:sz w:val="32"/>
          <w:szCs w:val="32"/>
          <w:lang w:val="en-US" w:eastAsia="zh-CN"/>
        </w:rPr>
        <w:t>贵港中心</w:t>
      </w:r>
      <w:r>
        <w:rPr>
          <w:rFonts w:hint="eastAsia" w:ascii="Times New Roman" w:hAnsi="Times New Roman" w:eastAsia="仿宋_GB2312"/>
          <w:sz w:val="32"/>
          <w:szCs w:val="32"/>
        </w:rPr>
        <w:t>进行水质监测设备及系统技术</w:t>
      </w:r>
      <w:r>
        <w:rPr>
          <w:rFonts w:hint="eastAsia" w:ascii="Times New Roman" w:hAnsi="Times New Roman" w:eastAsia="仿宋_GB2312"/>
          <w:sz w:val="32"/>
          <w:szCs w:val="32"/>
          <w:lang w:val="en-US" w:eastAsia="zh-CN"/>
        </w:rPr>
        <w:t>开展</w:t>
      </w:r>
      <w:r>
        <w:rPr>
          <w:rFonts w:hint="eastAsia" w:ascii="Times New Roman" w:hAnsi="Times New Roman" w:eastAsia="仿宋_GB2312"/>
          <w:sz w:val="32"/>
          <w:szCs w:val="32"/>
        </w:rPr>
        <w:t>指导与培训。</w:t>
      </w:r>
    </w:p>
    <w:p w14:paraId="23558065">
      <w:pPr>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9.供应商应具备应急监测能力，针对突发水质异常情况，根据贵港中心要求，配合开展相关工作。</w:t>
      </w:r>
    </w:p>
    <w:p w14:paraId="43F0E5A9">
      <w:pPr>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配合采购方开展水站其他相关工作。</w:t>
      </w:r>
    </w:p>
    <w:p w14:paraId="2662718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（二）服务要求</w:t>
      </w:r>
    </w:p>
    <w:p w14:paraId="0A7D8522">
      <w:pPr>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1.项目服务时间及服务地点</w:t>
      </w:r>
    </w:p>
    <w:p w14:paraId="37D114F8">
      <w:pPr>
        <w:autoSpaceDE w:val="0"/>
        <w:autoSpaceDN w:val="0"/>
        <w:adjustRightInd w:val="0"/>
        <w:ind w:firstLine="480" w:firstLineChars="15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rPr>
        <w:t>（1）以合同签订日期为准，</w:t>
      </w:r>
      <w:r>
        <w:rPr>
          <w:rFonts w:hint="eastAsia" w:ascii="Times New Roman" w:hAnsi="Times New Roman" w:eastAsia="仿宋_GB2312"/>
          <w:sz w:val="32"/>
          <w:szCs w:val="32"/>
          <w:lang w:val="en-US" w:eastAsia="zh-CN"/>
        </w:rPr>
        <w:t>服务期从</w:t>
      </w:r>
      <w:r>
        <w:rPr>
          <w:rFonts w:hint="eastAsia" w:ascii="Times New Roman" w:hAnsi="Times New Roman" w:eastAsia="仿宋_GB2312"/>
          <w:sz w:val="32"/>
          <w:szCs w:val="32"/>
        </w:rPr>
        <w:t>合同签订之日起</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个月</w:t>
      </w:r>
      <w:r>
        <w:rPr>
          <w:rFonts w:hint="eastAsia" w:ascii="Times New Roman" w:hAnsi="Times New Roman" w:eastAsia="仿宋_GB2312"/>
          <w:sz w:val="32"/>
          <w:szCs w:val="32"/>
          <w:lang w:eastAsia="zh-CN"/>
        </w:rPr>
        <w:t>。</w:t>
      </w:r>
    </w:p>
    <w:p w14:paraId="104C3CE2">
      <w:pPr>
        <w:autoSpaceDE w:val="0"/>
        <w:autoSpaceDN w:val="0"/>
        <w:adjustRightInd w:val="0"/>
        <w:ind w:firstLine="480" w:firstLineChars="150"/>
        <w:jc w:val="left"/>
        <w:rPr>
          <w:rFonts w:ascii="Times New Roman" w:hAnsi="Times New Roman" w:eastAsia="仿宋_GB2312"/>
          <w:sz w:val="32"/>
          <w:szCs w:val="32"/>
        </w:rPr>
      </w:pPr>
      <w:r>
        <w:rPr>
          <w:rFonts w:hint="eastAsia" w:ascii="Times New Roman" w:hAnsi="Times New Roman" w:eastAsia="仿宋_GB2312"/>
          <w:sz w:val="32"/>
          <w:szCs w:val="32"/>
        </w:rPr>
        <w:t>（2）服务地点：</w:t>
      </w:r>
      <w:r>
        <w:rPr>
          <w:rFonts w:hint="eastAsia" w:ascii="Times New Roman" w:hAnsi="Times New Roman" w:eastAsia="仿宋_GB2312"/>
          <w:sz w:val="32"/>
          <w:szCs w:val="32"/>
          <w:lang w:val="en-US" w:eastAsia="zh-CN"/>
        </w:rPr>
        <w:t>贵港</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（采购方指定地点）。</w:t>
      </w:r>
    </w:p>
    <w:p w14:paraId="627A3B69">
      <w:pPr>
        <w:snapToGrid w:val="0"/>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lang w:val="en-US" w:eastAsia="zh-CN"/>
        </w:rPr>
        <w:t>2.</w:t>
      </w:r>
      <w:r>
        <w:rPr>
          <w:rFonts w:hint="eastAsia" w:ascii="仿宋_GB2312" w:hAnsi="仿宋" w:eastAsia="仿宋_GB2312"/>
          <w:b/>
          <w:bCs/>
          <w:sz w:val="32"/>
          <w:szCs w:val="32"/>
        </w:rPr>
        <w:t>其他服务要求</w:t>
      </w:r>
    </w:p>
    <w:p w14:paraId="106138BD">
      <w:pPr>
        <w:snapToGrid w:val="0"/>
        <w:spacing w:line="560" w:lineRule="exact"/>
        <w:ind w:firstLine="640" w:firstLineChars="200"/>
        <w:rPr>
          <w:rFonts w:hint="eastAsia" w:ascii="仿宋_GB2312" w:hAnsi="仿宋" w:eastAsia="仿宋_GB2312"/>
          <w:color w:val="FF0000"/>
          <w:sz w:val="32"/>
          <w:szCs w:val="32"/>
          <w:lang w:eastAsia="zh-CN"/>
        </w:rPr>
      </w:pPr>
      <w:r>
        <w:rPr>
          <w:rFonts w:hint="eastAsia" w:ascii="Times New Roman" w:hAnsi="Times New Roman" w:eastAsia="仿宋_GB2312"/>
          <w:sz w:val="32"/>
          <w:szCs w:val="32"/>
        </w:rPr>
        <w:t>（1）</w:t>
      </w:r>
      <w:r>
        <w:rPr>
          <w:rFonts w:hint="eastAsia" w:ascii="Times New Roman" w:hAnsi="Times New Roman" w:eastAsia="仿宋_GB2312"/>
          <w:color w:val="auto"/>
          <w:sz w:val="32"/>
          <w:szCs w:val="32"/>
        </w:rPr>
        <w:t>供应商</w:t>
      </w:r>
      <w:r>
        <w:rPr>
          <w:rFonts w:hint="eastAsia" w:ascii="仿宋_GB2312" w:hAnsi="仿宋" w:eastAsia="仿宋_GB2312"/>
          <w:color w:val="auto"/>
          <w:sz w:val="32"/>
          <w:szCs w:val="32"/>
        </w:rPr>
        <w:t>需安排至少</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名专职技术人员</w:t>
      </w:r>
      <w:r>
        <w:rPr>
          <w:rFonts w:hint="eastAsia" w:ascii="仿宋_GB2312" w:hAnsi="仿宋" w:eastAsia="仿宋_GB2312"/>
          <w:color w:val="auto"/>
          <w:sz w:val="32"/>
          <w:szCs w:val="32"/>
          <w:lang w:val="en-US" w:eastAsia="zh-CN"/>
        </w:rPr>
        <w:t>常驻贵港市，</w:t>
      </w:r>
      <w:r>
        <w:rPr>
          <w:rFonts w:hint="eastAsia" w:ascii="仿宋_GB2312" w:hAnsi="仿宋" w:eastAsia="仿宋_GB2312"/>
          <w:color w:val="auto"/>
          <w:sz w:val="32"/>
          <w:szCs w:val="32"/>
        </w:rPr>
        <w:t>协助解决采购方购买的相关服务工作，采购方响应时间为</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小时以内。该人员应具有较好的沟通协调能力和文字表达能力，掌握化学分析的基本技能，有</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eastAsia="zh-CN"/>
        </w:rPr>
        <w:t>及</w:t>
      </w:r>
      <w:r>
        <w:rPr>
          <w:rFonts w:hint="eastAsia" w:ascii="仿宋_GB2312" w:hAnsi="仿宋" w:eastAsia="仿宋_GB2312"/>
          <w:color w:val="auto"/>
          <w:sz w:val="32"/>
          <w:szCs w:val="32"/>
        </w:rPr>
        <w:t>以上水质自动监测站运维工作经验，熟悉水站各品牌监测模块操作，熟悉水站常见故障原因分析及故障排除，熟悉区控水站数据审核要求，对区控水站运行过程</w:t>
      </w:r>
      <w:r>
        <w:rPr>
          <w:rFonts w:hint="eastAsia" w:ascii="仿宋_GB2312" w:hAnsi="仿宋" w:eastAsia="仿宋_GB2312"/>
          <w:sz w:val="32"/>
          <w:szCs w:val="32"/>
        </w:rPr>
        <w:t>中出现的各类异常情况和故障维修维护等情况能按照采购方要求及时进行现场指导。</w:t>
      </w:r>
      <w:r>
        <w:rPr>
          <w:rFonts w:hint="eastAsia" w:ascii="仿宋_GB2312" w:hAnsi="仿宋" w:eastAsia="仿宋_GB2312"/>
          <w:color w:val="FF0000"/>
          <w:sz w:val="32"/>
          <w:szCs w:val="32"/>
          <w:lang w:eastAsia="zh-CN"/>
        </w:rPr>
        <w:t>（</w:t>
      </w:r>
      <w:r>
        <w:rPr>
          <w:rFonts w:hint="eastAsia" w:ascii="仿宋_GB2312" w:hAnsi="仿宋" w:eastAsia="仿宋_GB2312"/>
          <w:color w:val="FF0000"/>
          <w:sz w:val="32"/>
          <w:szCs w:val="32"/>
          <w:lang w:val="en-US" w:eastAsia="zh-CN"/>
        </w:rPr>
        <w:t>驻点人员应在项目开始后7天内确定</w:t>
      </w:r>
      <w:r>
        <w:rPr>
          <w:rFonts w:hint="eastAsia" w:ascii="仿宋_GB2312" w:hAnsi="仿宋" w:eastAsia="仿宋_GB2312"/>
          <w:color w:val="FF0000"/>
          <w:sz w:val="32"/>
          <w:szCs w:val="32"/>
          <w:lang w:eastAsia="zh-CN"/>
        </w:rPr>
        <w:t>）</w:t>
      </w:r>
    </w:p>
    <w:p w14:paraId="76298752">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至少配置1辆专用车辆，用于本中标项目履约服务。</w:t>
      </w:r>
    </w:p>
    <w:p w14:paraId="4E1B93E9">
      <w:pPr>
        <w:snapToGrid w:val="0"/>
        <w:spacing w:line="560" w:lineRule="exact"/>
        <w:ind w:firstLine="640" w:firstLineChars="200"/>
        <w:rPr>
          <w:b/>
          <w:bCs/>
        </w:rPr>
      </w:pP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仿宋_GB2312" w:hAnsi="仿宋" w:eastAsia="仿宋_GB2312"/>
          <w:sz w:val="32"/>
          <w:szCs w:val="32"/>
        </w:rPr>
        <w:t>合同期间，供应商应加强所属员工安全知识教育、职业操守教育、技能操作和应急应对训练，采取必要的安全防护及相关措施，保障其在</w:t>
      </w:r>
      <w:r>
        <w:rPr>
          <w:rFonts w:ascii="Times New Roman" w:hAnsi="Times New Roman" w:eastAsia="仿宋"/>
          <w:sz w:val="32"/>
          <w:szCs w:val="32"/>
          <w:shd w:val="clear" w:color="auto" w:fill="FFFFFF"/>
        </w:rPr>
        <w:t>仪器设备维修管理服务</w:t>
      </w:r>
      <w:r>
        <w:rPr>
          <w:rFonts w:hint="eastAsia" w:ascii="仿宋_GB2312" w:hAnsi="仿宋" w:eastAsia="仿宋_GB2312"/>
          <w:sz w:val="32"/>
          <w:szCs w:val="32"/>
        </w:rPr>
        <w:t>活动中的人身和财产安全。如工作人员在工作中发生任何人身损害及财产损失，与采购方无关，供应商负责全权处理事故并承担全部费用，且供应商自愿放弃对采购方提起任何索赔及法律责任追究。如因供应商未按照合同约定履行其义务，或者违法违规操作所造成的一切损失，全部由供应商承担。</w:t>
      </w:r>
    </w:p>
    <w:p w14:paraId="48374C33">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4</w:t>
      </w:r>
      <w:r>
        <w:rPr>
          <w:rFonts w:hint="eastAsia" w:ascii="仿宋_GB2312" w:hAnsi="仿宋" w:eastAsia="仿宋_GB2312"/>
          <w:sz w:val="32"/>
          <w:szCs w:val="32"/>
        </w:rPr>
        <w:t>）本项目所形成的所有数据、报告等材料归采购方所有。未经采购方授权，供应商无权使用相关内容或发送给任何第三方。工作人员应遵守相关规定，为</w:t>
      </w:r>
      <w:r>
        <w:rPr>
          <w:rFonts w:hint="eastAsia" w:ascii="仿宋_GB2312" w:hAnsi="仿宋" w:eastAsia="仿宋_GB2312"/>
          <w:sz w:val="32"/>
          <w:szCs w:val="32"/>
          <w:lang w:val="en-US" w:eastAsia="zh-CN"/>
        </w:rPr>
        <w:t>贵港中心</w:t>
      </w:r>
      <w:r>
        <w:rPr>
          <w:rFonts w:hint="eastAsia" w:ascii="仿宋_GB2312" w:hAnsi="仿宋" w:eastAsia="仿宋_GB2312"/>
          <w:sz w:val="32"/>
          <w:szCs w:val="32"/>
        </w:rPr>
        <w:t>保密。如因供应商发生数据泄露、相关材料丢失等情况，由此产生的一切责任全部由中标供应商承担。</w:t>
      </w:r>
    </w:p>
    <w:p w14:paraId="22CA9590">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）供应商</w:t>
      </w:r>
      <w:r>
        <w:rPr>
          <w:rFonts w:hint="eastAsia" w:ascii="仿宋_GB2312" w:hAnsi="仿宋" w:eastAsia="仿宋_GB2312"/>
          <w:sz w:val="32"/>
          <w:szCs w:val="32"/>
          <w:lang w:val="en-US" w:eastAsia="zh-CN"/>
        </w:rPr>
        <w:t>要</w:t>
      </w:r>
      <w:r>
        <w:rPr>
          <w:rFonts w:hint="eastAsia" w:ascii="仿宋_GB2312" w:hAnsi="仿宋" w:eastAsia="仿宋_GB2312"/>
          <w:sz w:val="32"/>
          <w:szCs w:val="32"/>
        </w:rPr>
        <w:t>拥有管理权和使用权的固定监测活动场所,应满足监测仪器</w:t>
      </w:r>
      <w:r>
        <w:rPr>
          <w:rFonts w:hint="eastAsia" w:ascii="仿宋_GB2312" w:hAnsi="仿宋" w:eastAsia="仿宋_GB2312"/>
          <w:sz w:val="32"/>
          <w:szCs w:val="32"/>
          <w:lang w:val="en-US" w:eastAsia="zh-CN"/>
        </w:rPr>
        <w:t>耗材、备件、备机</w:t>
      </w:r>
      <w:r>
        <w:rPr>
          <w:rFonts w:hint="eastAsia" w:ascii="仿宋_GB2312" w:hAnsi="仿宋" w:eastAsia="仿宋_GB2312"/>
          <w:sz w:val="32"/>
          <w:szCs w:val="32"/>
        </w:rPr>
        <w:t>放置、样品配制、样品分析、开展质控和监测活动所需的条件要求。</w:t>
      </w:r>
    </w:p>
    <w:p w14:paraId="5D177A63">
      <w:p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6</w:t>
      </w:r>
      <w:r>
        <w:rPr>
          <w:rFonts w:hint="eastAsia" w:ascii="仿宋_GB2312" w:hAnsi="仿宋" w:eastAsia="仿宋_GB2312"/>
          <w:sz w:val="32"/>
          <w:szCs w:val="32"/>
        </w:rPr>
        <w:t>）严禁数据弄虚作假行为，供应商不得以任何形式收受利益单位贿赂或在质控检查任务全过程中弄虚作假，一经发现并查实，严格执行《环境监测数据弄虚作假行为判定及处理办法》，立即终止合同，由此产生的一切责任由供应商承担。</w:t>
      </w:r>
    </w:p>
    <w:p w14:paraId="64EFA338">
      <w:pPr>
        <w:snapToGrid w:val="0"/>
        <w:spacing w:line="560" w:lineRule="exact"/>
        <w:ind w:firstLine="640" w:firstLineChars="200"/>
        <w:rPr>
          <w:rFonts w:hint="eastAsia" w:ascii="仿宋_GB2312" w:hAnsi="仿宋" w:eastAsia="仿宋_GB2312"/>
          <w:sz w:val="32"/>
          <w:szCs w:val="32"/>
          <w:lang w:val="en-US" w:eastAsia="zh-CN"/>
        </w:rPr>
      </w:pPr>
      <w:r>
        <w:rPr>
          <w:rFonts w:hint="eastAsia" w:ascii="楷体_GB2312" w:hAnsi="楷体_GB2312" w:eastAsia="楷体_GB2312" w:cs="楷体_GB2312"/>
          <w:sz w:val="32"/>
          <w:szCs w:val="32"/>
          <w:lang w:val="en-US" w:eastAsia="zh-CN"/>
        </w:rPr>
        <w:t>（三）报价要求</w:t>
      </w:r>
    </w:p>
    <w:p w14:paraId="7D3D8141">
      <w:pPr>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本项目实行总承包报价，报价为采购人指定服务范围内的全部价格，至少包括：</w:t>
      </w:r>
    </w:p>
    <w:p w14:paraId="6237C881">
      <w:pPr>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1.服务的价格（包括租船费、耗材费、仪器设备费、技术指导费、培训费、材料费、试剂和标准物质费、工作人员差旅费和劳务费等）。</w:t>
      </w:r>
    </w:p>
    <w:p w14:paraId="3844CE77">
      <w:pPr>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2.必要的保险费用和各项税金。</w:t>
      </w:r>
    </w:p>
    <w:p w14:paraId="10F5A2E2">
      <w:pPr>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3.与本项目有关的其他一切费用。</w:t>
      </w:r>
    </w:p>
    <w:p w14:paraId="38CDE405">
      <w:pPr>
        <w:snapToGrid w:val="0"/>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贵港中心不再支付成交价格以外的任何费用。</w:t>
      </w:r>
    </w:p>
    <w:p w14:paraId="45BB94B6">
      <w:pPr>
        <w:snapToGrid w:val="0"/>
        <w:spacing w:line="560" w:lineRule="exact"/>
        <w:ind w:firstLine="640" w:firstLineChars="200"/>
        <w:rPr>
          <w:rFonts w:ascii="仿宋_GB2312" w:hAnsi="仿宋" w:eastAsia="仿宋_GB2312"/>
          <w:b/>
          <w:bCs/>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项目分包情况</w:t>
      </w:r>
    </w:p>
    <w:p w14:paraId="344D7EF5">
      <w:pPr>
        <w:snapToGrid w:val="0"/>
        <w:spacing w:line="560" w:lineRule="exact"/>
        <w:ind w:firstLine="640" w:firstLineChars="200"/>
        <w:rPr>
          <w:rFonts w:ascii="Times New Roman" w:hAnsi="Times New Roman" w:eastAsia="仿宋_GB2312"/>
          <w:color w:val="FF0000"/>
          <w:sz w:val="32"/>
          <w:szCs w:val="32"/>
        </w:rPr>
      </w:pPr>
      <w:r>
        <w:rPr>
          <w:rFonts w:hint="eastAsia" w:ascii="仿宋_GB2312" w:hAnsi="仿宋" w:eastAsia="仿宋_GB2312"/>
          <w:sz w:val="32"/>
          <w:szCs w:val="32"/>
        </w:rPr>
        <w:t>不允许分包。</w:t>
      </w:r>
    </w:p>
    <w:p w14:paraId="7644BC60">
      <w:pPr>
        <w:spacing w:line="560" w:lineRule="exact"/>
        <w:ind w:firstLine="608" w:firstLineChars="200"/>
        <w:rPr>
          <w:rFonts w:ascii="黑体" w:hAnsi="黑体" w:eastAsia="黑体"/>
          <w:bCs/>
          <w:spacing w:val="-8"/>
          <w:sz w:val="32"/>
          <w:szCs w:val="32"/>
        </w:rPr>
      </w:pPr>
      <w:r>
        <w:rPr>
          <w:rFonts w:hint="eastAsia" w:ascii="黑体" w:hAnsi="黑体" w:eastAsia="黑体"/>
          <w:bCs/>
          <w:spacing w:val="-8"/>
          <w:sz w:val="32"/>
          <w:szCs w:val="32"/>
        </w:rPr>
        <w:t>五、考核与付费机制</w:t>
      </w:r>
    </w:p>
    <w:p w14:paraId="53F010C1">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（一）考核办法</w:t>
      </w:r>
    </w:p>
    <w:p w14:paraId="16CFFF78">
      <w:pPr>
        <w:spacing w:line="560" w:lineRule="exact"/>
        <w:ind w:firstLine="640" w:firstLineChars="200"/>
        <w:rPr>
          <w:rFonts w:hint="default" w:ascii="Times New Roman" w:hAnsi="Times New Roman" w:eastAsia="仿宋_GB2312"/>
          <w:color w:val="FF0000"/>
          <w:sz w:val="32"/>
          <w:szCs w:val="32"/>
          <w:lang w:val="en-US"/>
        </w:rPr>
      </w:pPr>
      <w:r>
        <w:rPr>
          <w:rFonts w:hint="eastAsia" w:ascii="Times New Roman" w:hAnsi="Times New Roman" w:eastAsia="仿宋_GB2312"/>
          <w:color w:val="FF0000"/>
          <w:sz w:val="32"/>
          <w:szCs w:val="32"/>
          <w:lang w:val="en-US" w:eastAsia="zh-CN"/>
        </w:rPr>
        <w:t>采取百分制考核的方式，采购方在每月10日前完成上个月的服务工作进行考核，主要考核内容包括站点运行基础保障、耗材试剂供应、备机、技术指导等，具体详见附表3《2025年贵港市区控水站服务考核表》。考核得分取各站点考核评分的平均值作为当月考核得分。</w:t>
      </w:r>
    </w:p>
    <w:p w14:paraId="5E49FB5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rPr>
          <w:rFonts w:hint="eastAsia" w:ascii="Times New Roman" w:hAnsi="Times New Roman" w:eastAsia="仿宋_GB2312"/>
          <w:sz w:val="32"/>
          <w:szCs w:val="32"/>
        </w:rPr>
      </w:pPr>
      <w:r>
        <w:rPr>
          <w:rFonts w:ascii="Times New Roman" w:hAnsi="Times New Roman" w:eastAsia="楷体_GB2312" w:cs="Times New Roman"/>
          <w:kern w:val="2"/>
          <w:sz w:val="32"/>
          <w:szCs w:val="32"/>
          <w:lang w:val="en-US" w:eastAsia="zh-CN" w:bidi="ar-SA"/>
        </w:rPr>
        <w:t>（二）服务费核算方法</w:t>
      </w:r>
    </w:p>
    <w:p w14:paraId="2232E02E">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color w:val="FF0000"/>
          <w:sz w:val="32"/>
          <w:szCs w:val="32"/>
        </w:rPr>
        <w:t>采购人根据每个阶段的考核结果分别支付相应的服务费。考核得分≥85分的不扣款；85分＞考核得分≥70分的，扣除合同总款的2%；70分＞考核得分≥60分的，扣除合同总款的5%；考核得分＜60分的，不支付当期合同款，解除合同关系并要求中标供应商退回</w:t>
      </w:r>
      <w:r>
        <w:rPr>
          <w:rFonts w:hint="eastAsia" w:ascii="Times New Roman" w:hAnsi="Times New Roman" w:eastAsia="仿宋_GB2312"/>
          <w:color w:val="FF0000"/>
          <w:sz w:val="32"/>
          <w:szCs w:val="32"/>
          <w:lang w:val="en-US" w:eastAsia="zh-CN"/>
        </w:rPr>
        <w:t>首付</w:t>
      </w:r>
      <w:r>
        <w:rPr>
          <w:rFonts w:hint="eastAsia" w:ascii="Times New Roman" w:hAnsi="Times New Roman" w:eastAsia="仿宋_GB2312"/>
          <w:color w:val="FF0000"/>
          <w:sz w:val="32"/>
          <w:szCs w:val="32"/>
        </w:rPr>
        <w:t>款。</w:t>
      </w:r>
    </w:p>
    <w:p w14:paraId="0F4DF1E4">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（二）付款</w:t>
      </w:r>
      <w:r>
        <w:rPr>
          <w:rFonts w:hint="eastAsia" w:ascii="Times New Roman" w:hAnsi="Times New Roman" w:eastAsia="楷体_GB2312"/>
          <w:sz w:val="32"/>
          <w:szCs w:val="32"/>
        </w:rPr>
        <w:t>方式</w:t>
      </w:r>
    </w:p>
    <w:p w14:paraId="0042FC51">
      <w:pPr>
        <w:spacing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首付</w:t>
      </w:r>
      <w:r>
        <w:rPr>
          <w:rFonts w:hint="default" w:ascii="Times New Roman" w:hAnsi="Times New Roman" w:eastAsia="仿宋_GB2312"/>
          <w:color w:val="auto"/>
          <w:sz w:val="32"/>
          <w:szCs w:val="32"/>
        </w:rPr>
        <w:t>款：签订合同后，15个工作日内支付合同总款的30%预付款；</w:t>
      </w:r>
    </w:p>
    <w:p w14:paraId="1BE544EF">
      <w:pPr>
        <w:spacing w:line="56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2.剩余70%合同款：第一期在202</w:t>
      </w:r>
      <w:r>
        <w:rPr>
          <w:rFonts w:hint="eastAsia" w:ascii="Times New Roman" w:hAnsi="Times New Roman" w:eastAsia="仿宋_GB2312"/>
          <w:color w:val="auto"/>
          <w:sz w:val="32"/>
          <w:szCs w:val="32"/>
          <w:lang w:val="en-US" w:eastAsia="zh-CN"/>
        </w:rPr>
        <w:t>6</w:t>
      </w:r>
      <w:r>
        <w:rPr>
          <w:rFonts w:hint="default"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rPr>
        <w:t>月20日之前支付50%合同款；第二期在合同结束时支付20%合同款，两期服务费根据每个阶段的考核结果支付。发生扣款的在当次结算时予以扣除。采购人收到供应商提供当次付款金额的发票和请款函后10个工作日内完成支付。</w:t>
      </w:r>
    </w:p>
    <w:p w14:paraId="6F07F6E2">
      <w:pPr>
        <w:pStyle w:val="8"/>
      </w:pPr>
    </w:p>
    <w:p w14:paraId="7EBBA20F">
      <w:pPr>
        <w:pStyle w:val="8"/>
        <w:rPr>
          <w:rFonts w:ascii="Times New Roman" w:hAnsi="Times New Roman" w:eastAsia="仿宋_GB2312"/>
          <w:sz w:val="32"/>
          <w:szCs w:val="32"/>
        </w:rPr>
      </w:pPr>
    </w:p>
    <w:p w14:paraId="12422374">
      <w:pPr>
        <w:rPr>
          <w:rFonts w:ascii="Times New Roman" w:hAnsi="Times New Roman" w:eastAsia="仿宋_GB2312"/>
          <w:sz w:val="32"/>
          <w:szCs w:val="32"/>
        </w:rPr>
      </w:pPr>
    </w:p>
    <w:p w14:paraId="7A1E9131">
      <w:pPr>
        <w:rPr>
          <w:rFonts w:ascii="Times New Roman" w:hAnsi="Times New Roman" w:eastAsia="仿宋_GB2312"/>
          <w:sz w:val="32"/>
          <w:szCs w:val="32"/>
        </w:rPr>
      </w:pPr>
    </w:p>
    <w:p w14:paraId="3501356F">
      <w:pPr>
        <w:rPr>
          <w:rFonts w:ascii="Times New Roman" w:hAnsi="Times New Roman" w:eastAsia="仿宋_GB2312"/>
          <w:sz w:val="32"/>
          <w:szCs w:val="32"/>
        </w:rPr>
      </w:pPr>
    </w:p>
    <w:p w14:paraId="30A3EE61">
      <w:pPr>
        <w:rPr>
          <w:rFonts w:ascii="Times New Roman" w:hAnsi="Times New Roman" w:eastAsia="仿宋_GB2312"/>
          <w:sz w:val="32"/>
          <w:szCs w:val="32"/>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7B42C2C5">
      <w:pPr>
        <w:snapToGrid w:val="0"/>
        <w:spacing w:line="600" w:lineRule="exact"/>
        <w:jc w:val="left"/>
        <w:rPr>
          <w:rFonts w:hint="default" w:ascii="Arial Unicode MS" w:hAnsi="Arial Unicode MS" w:eastAsia="Arial Unicode MS" w:cs="Arial Unicode MS"/>
          <w:color w:val="auto"/>
          <w:sz w:val="44"/>
          <w:szCs w:val="44"/>
          <w:highlight w:val="none"/>
          <w:lang w:val="en-US" w:eastAsia="zh-CN"/>
        </w:rPr>
      </w:pPr>
      <w:r>
        <w:rPr>
          <w:rFonts w:hint="eastAsia" w:ascii="黑体" w:hAnsi="黑体" w:eastAsia="黑体" w:cs="黑体"/>
          <w:color w:val="auto"/>
          <w:sz w:val="32"/>
          <w:szCs w:val="32"/>
          <w:highlight w:val="none"/>
          <w:lang w:val="en-US" w:eastAsia="zh-CN"/>
        </w:rPr>
        <w:t>附件1-1</w:t>
      </w:r>
      <w:bookmarkStart w:id="1" w:name="_GoBack"/>
      <w:bookmarkEnd w:id="1"/>
    </w:p>
    <w:p w14:paraId="0984ADCB">
      <w:pPr>
        <w:snapToGrid w:val="0"/>
        <w:spacing w:line="600" w:lineRule="exact"/>
        <w:ind w:firstLine="880" w:firstLineChars="200"/>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lang w:val="en-US" w:eastAsia="zh-CN"/>
        </w:rPr>
        <w:t>区控水站</w:t>
      </w:r>
      <w:r>
        <w:rPr>
          <w:rFonts w:hint="eastAsia" w:ascii="Arial Unicode MS" w:hAnsi="Arial Unicode MS" w:eastAsia="Arial Unicode MS" w:cs="Arial Unicode MS"/>
          <w:color w:val="auto"/>
          <w:sz w:val="44"/>
          <w:szCs w:val="44"/>
          <w:highlight w:val="none"/>
        </w:rPr>
        <w:t>点位及主要设备信息表</w:t>
      </w:r>
    </w:p>
    <w:tbl>
      <w:tblPr>
        <w:tblStyle w:val="12"/>
        <w:tblW w:w="15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43"/>
        <w:gridCol w:w="1262"/>
        <w:gridCol w:w="1497"/>
        <w:gridCol w:w="1875"/>
        <w:gridCol w:w="4635"/>
        <w:gridCol w:w="825"/>
        <w:gridCol w:w="1665"/>
        <w:gridCol w:w="2722"/>
      </w:tblGrid>
      <w:tr w14:paraId="4B97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55" w:hRule="atLeast"/>
          <w:tblHeader/>
          <w:jc w:val="center"/>
        </w:trPr>
        <w:tc>
          <w:tcPr>
            <w:tcW w:w="743" w:type="dxa"/>
            <w:tcBorders>
              <w:tl2br w:val="nil"/>
              <w:tr2bl w:val="nil"/>
            </w:tcBorders>
            <w:noWrap/>
            <w:vAlign w:val="center"/>
          </w:tcPr>
          <w:p w14:paraId="3B0C0F0D">
            <w:pPr>
              <w:widowControl/>
              <w:snapToGrid w:val="0"/>
              <w:jc w:val="center"/>
              <w:textAlignment w:val="center"/>
              <w:rPr>
                <w:rFonts w:hint="eastAsia" w:ascii="Arial Unicode MS" w:hAnsi="Arial Unicode MS" w:eastAsia="Arial Unicode MS" w:cs="Arial Unicode MS"/>
                <w:b/>
                <w:bCs w:val="0"/>
                <w:color w:val="auto"/>
                <w:sz w:val="22"/>
                <w:szCs w:val="21"/>
                <w:highlight w:val="none"/>
                <w:lang w:val="en-US" w:eastAsia="zh-CN"/>
              </w:rPr>
            </w:pPr>
            <w:r>
              <w:rPr>
                <w:rFonts w:hint="eastAsia" w:ascii="Arial Unicode MS" w:hAnsi="仿宋" w:eastAsia="Arial Unicode MS" w:cs="仿宋"/>
                <w:b/>
                <w:bCs w:val="0"/>
                <w:color w:val="000000"/>
                <w:kern w:val="0"/>
                <w:sz w:val="22"/>
                <w:szCs w:val="22"/>
                <w:lang w:eastAsia="zh-CN"/>
              </w:rPr>
              <w:t>序号</w:t>
            </w:r>
          </w:p>
        </w:tc>
        <w:tc>
          <w:tcPr>
            <w:tcW w:w="1262" w:type="dxa"/>
            <w:tcBorders>
              <w:tl2br w:val="nil"/>
              <w:tr2bl w:val="nil"/>
            </w:tcBorders>
            <w:noWrap/>
            <w:vAlign w:val="center"/>
          </w:tcPr>
          <w:p w14:paraId="2BFE46A3">
            <w:pPr>
              <w:widowControl/>
              <w:snapToGrid w:val="0"/>
              <w:jc w:val="center"/>
              <w:textAlignment w:val="center"/>
              <w:rPr>
                <w:rFonts w:hint="eastAsia" w:ascii="Arial Unicode MS" w:hAnsi="Arial Unicode MS" w:eastAsia="Arial Unicode MS" w:cs="Arial Unicode MS"/>
                <w:b/>
                <w:bCs w:val="0"/>
                <w:color w:val="auto"/>
                <w:sz w:val="22"/>
                <w:szCs w:val="21"/>
                <w:highlight w:val="none"/>
                <w:lang w:val="en-US" w:eastAsia="zh-CN"/>
              </w:rPr>
            </w:pPr>
            <w:r>
              <w:rPr>
                <w:rFonts w:hint="eastAsia" w:ascii="Arial Unicode MS" w:hAnsi="仿宋" w:eastAsia="Arial Unicode MS" w:cs="仿宋"/>
                <w:b/>
                <w:bCs w:val="0"/>
                <w:color w:val="000000"/>
                <w:kern w:val="0"/>
                <w:sz w:val="22"/>
                <w:szCs w:val="22"/>
                <w:lang w:eastAsia="zh-CN"/>
              </w:rPr>
              <w:t>所处县份</w:t>
            </w:r>
          </w:p>
        </w:tc>
        <w:tc>
          <w:tcPr>
            <w:tcW w:w="1497" w:type="dxa"/>
            <w:tcBorders>
              <w:tl2br w:val="nil"/>
              <w:tr2bl w:val="nil"/>
            </w:tcBorders>
            <w:noWrap/>
            <w:vAlign w:val="center"/>
          </w:tcPr>
          <w:p w14:paraId="2D4F895F">
            <w:pPr>
              <w:widowControl/>
              <w:snapToGrid w:val="0"/>
              <w:jc w:val="center"/>
              <w:textAlignment w:val="center"/>
              <w:rPr>
                <w:rFonts w:hint="eastAsia" w:ascii="Arial Unicode MS" w:hAnsi="Arial Unicode MS" w:eastAsia="Arial Unicode MS" w:cs="Arial Unicode MS"/>
                <w:b/>
                <w:bCs w:val="0"/>
                <w:color w:val="auto"/>
                <w:sz w:val="22"/>
                <w:szCs w:val="21"/>
                <w:highlight w:val="none"/>
                <w:lang w:val="en-US" w:eastAsia="zh-CN"/>
              </w:rPr>
            </w:pPr>
            <w:r>
              <w:rPr>
                <w:rFonts w:hint="eastAsia" w:ascii="Arial Unicode MS" w:hAnsi="仿宋" w:eastAsia="Arial Unicode MS" w:cs="仿宋"/>
                <w:b/>
                <w:bCs w:val="0"/>
                <w:color w:val="000000"/>
                <w:kern w:val="0"/>
                <w:sz w:val="22"/>
                <w:szCs w:val="22"/>
                <w:lang w:eastAsia="zh-CN"/>
              </w:rPr>
              <w:t>水站名称</w:t>
            </w:r>
          </w:p>
        </w:tc>
        <w:tc>
          <w:tcPr>
            <w:tcW w:w="1875" w:type="dxa"/>
            <w:tcBorders>
              <w:tl2br w:val="nil"/>
              <w:tr2bl w:val="nil"/>
            </w:tcBorders>
            <w:noWrap/>
            <w:vAlign w:val="center"/>
          </w:tcPr>
          <w:p w14:paraId="090A116D">
            <w:pPr>
              <w:widowControl/>
              <w:snapToGrid w:val="0"/>
              <w:jc w:val="center"/>
              <w:textAlignment w:val="center"/>
              <w:rPr>
                <w:rFonts w:hint="eastAsia" w:ascii="Arial Unicode MS" w:hAnsi="Arial Unicode MS" w:eastAsia="Arial Unicode MS" w:cs="Arial Unicode MS"/>
                <w:b/>
                <w:bCs w:val="0"/>
                <w:color w:val="auto"/>
                <w:sz w:val="22"/>
                <w:szCs w:val="21"/>
                <w:highlight w:val="none"/>
                <w:lang w:val="en-US" w:eastAsia="zh-CN"/>
              </w:rPr>
            </w:pPr>
            <w:r>
              <w:rPr>
                <w:rFonts w:hint="eastAsia" w:ascii="Arial Unicode MS" w:hAnsi="仿宋" w:eastAsia="Arial Unicode MS" w:cs="仿宋"/>
                <w:b/>
                <w:bCs w:val="0"/>
                <w:color w:val="000000"/>
                <w:kern w:val="0"/>
                <w:sz w:val="22"/>
                <w:szCs w:val="22"/>
                <w:lang w:eastAsia="zh-CN"/>
              </w:rPr>
              <w:t>水站类型</w:t>
            </w:r>
          </w:p>
        </w:tc>
        <w:tc>
          <w:tcPr>
            <w:tcW w:w="4635" w:type="dxa"/>
            <w:tcBorders>
              <w:tl2br w:val="nil"/>
              <w:tr2bl w:val="nil"/>
            </w:tcBorders>
            <w:noWrap/>
            <w:vAlign w:val="center"/>
          </w:tcPr>
          <w:p w14:paraId="171A5348">
            <w:pPr>
              <w:widowControl/>
              <w:snapToGrid w:val="0"/>
              <w:jc w:val="center"/>
              <w:textAlignment w:val="center"/>
              <w:rPr>
                <w:rFonts w:hint="eastAsia" w:ascii="Arial Unicode MS" w:hAnsi="Arial Unicode MS" w:eastAsia="Arial Unicode MS" w:cs="Arial Unicode MS"/>
                <w:b/>
                <w:bCs w:val="0"/>
                <w:color w:val="auto"/>
                <w:sz w:val="22"/>
                <w:szCs w:val="21"/>
                <w:highlight w:val="none"/>
                <w:lang w:val="en-US" w:eastAsia="zh-CN"/>
              </w:rPr>
            </w:pPr>
            <w:r>
              <w:rPr>
                <w:rFonts w:hint="eastAsia" w:ascii="Arial Unicode MS" w:hAnsi="仿宋" w:eastAsia="Arial Unicode MS" w:cs="仿宋"/>
                <w:b/>
                <w:bCs w:val="0"/>
                <w:color w:val="000000"/>
                <w:kern w:val="0"/>
                <w:sz w:val="22"/>
                <w:szCs w:val="22"/>
                <w:lang w:eastAsia="zh-CN"/>
              </w:rPr>
              <w:t>监测指标</w:t>
            </w:r>
          </w:p>
        </w:tc>
        <w:tc>
          <w:tcPr>
            <w:tcW w:w="825" w:type="dxa"/>
            <w:tcBorders>
              <w:tl2br w:val="nil"/>
              <w:tr2bl w:val="nil"/>
            </w:tcBorders>
            <w:noWrap/>
            <w:vAlign w:val="center"/>
          </w:tcPr>
          <w:p w14:paraId="76346782">
            <w:pPr>
              <w:widowControl/>
              <w:snapToGrid w:val="0"/>
              <w:jc w:val="center"/>
              <w:textAlignment w:val="center"/>
              <w:rPr>
                <w:rFonts w:hint="eastAsia" w:ascii="Arial Unicode MS" w:hAnsi="仿宋" w:eastAsia="Arial Unicode MS" w:cs="仿宋"/>
                <w:b/>
                <w:bCs w:val="0"/>
                <w:color w:val="000000"/>
                <w:kern w:val="0"/>
                <w:sz w:val="22"/>
                <w:szCs w:val="22"/>
                <w:lang w:eastAsia="zh-CN"/>
              </w:rPr>
            </w:pPr>
            <w:r>
              <w:rPr>
                <w:rFonts w:hint="eastAsia" w:ascii="Arial Unicode MS" w:hAnsi="仿宋" w:eastAsia="Arial Unicode MS" w:cs="仿宋"/>
                <w:b/>
                <w:bCs w:val="0"/>
                <w:color w:val="000000"/>
                <w:kern w:val="0"/>
                <w:sz w:val="22"/>
                <w:szCs w:val="22"/>
                <w:lang w:eastAsia="zh-CN"/>
              </w:rPr>
              <w:t>仪器品牌</w:t>
            </w:r>
          </w:p>
        </w:tc>
        <w:tc>
          <w:tcPr>
            <w:tcW w:w="1665" w:type="dxa"/>
            <w:tcBorders>
              <w:tl2br w:val="nil"/>
              <w:tr2bl w:val="nil"/>
            </w:tcBorders>
            <w:noWrap/>
            <w:vAlign w:val="center"/>
          </w:tcPr>
          <w:p w14:paraId="0993B20C">
            <w:pPr>
              <w:widowControl/>
              <w:snapToGrid w:val="0"/>
              <w:jc w:val="center"/>
              <w:textAlignment w:val="center"/>
              <w:rPr>
                <w:rFonts w:hint="default" w:ascii="Arial Unicode MS" w:hAnsi="仿宋" w:eastAsia="Arial Unicode MS" w:cs="仿宋"/>
                <w:b/>
                <w:bCs w:val="0"/>
                <w:color w:val="000000"/>
                <w:kern w:val="0"/>
                <w:sz w:val="22"/>
                <w:szCs w:val="22"/>
                <w:lang w:val="en-US" w:eastAsia="zh-CN"/>
              </w:rPr>
            </w:pPr>
            <w:r>
              <w:rPr>
                <w:rFonts w:hint="eastAsia" w:ascii="Arial Unicode MS" w:hAnsi="仿宋" w:eastAsia="Arial Unicode MS" w:cs="仿宋"/>
                <w:b/>
                <w:bCs w:val="0"/>
                <w:color w:val="000000"/>
                <w:kern w:val="0"/>
                <w:sz w:val="22"/>
                <w:szCs w:val="22"/>
                <w:lang w:val="en-US" w:eastAsia="zh-CN"/>
              </w:rPr>
              <w:t>建站时间</w:t>
            </w:r>
          </w:p>
        </w:tc>
        <w:tc>
          <w:tcPr>
            <w:tcW w:w="2722" w:type="dxa"/>
            <w:tcBorders>
              <w:tl2br w:val="nil"/>
              <w:tr2bl w:val="nil"/>
            </w:tcBorders>
            <w:noWrap/>
            <w:vAlign w:val="center"/>
          </w:tcPr>
          <w:p w14:paraId="67A13DC4">
            <w:pPr>
              <w:widowControl/>
              <w:snapToGrid w:val="0"/>
              <w:jc w:val="center"/>
              <w:textAlignment w:val="center"/>
              <w:rPr>
                <w:rFonts w:hint="default" w:ascii="Arial Unicode MS" w:hAnsi="仿宋" w:eastAsia="Arial Unicode MS" w:cs="仿宋"/>
                <w:b/>
                <w:bCs w:val="0"/>
                <w:color w:val="000000"/>
                <w:kern w:val="0"/>
                <w:sz w:val="22"/>
                <w:szCs w:val="22"/>
                <w:lang w:val="en-US" w:eastAsia="zh-CN"/>
              </w:rPr>
            </w:pPr>
            <w:r>
              <w:rPr>
                <w:rFonts w:hint="eastAsia" w:ascii="Arial Unicode MS" w:hAnsi="仿宋" w:eastAsia="Arial Unicode MS" w:cs="仿宋"/>
                <w:b/>
                <w:bCs w:val="0"/>
                <w:color w:val="000000"/>
                <w:kern w:val="0"/>
                <w:sz w:val="22"/>
                <w:szCs w:val="22"/>
                <w:lang w:val="en-US" w:eastAsia="zh-CN"/>
              </w:rPr>
              <w:t>备注</w:t>
            </w:r>
          </w:p>
        </w:tc>
      </w:tr>
      <w:tr w14:paraId="380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07" w:hRule="atLeast"/>
          <w:jc w:val="center"/>
        </w:trPr>
        <w:tc>
          <w:tcPr>
            <w:tcW w:w="743" w:type="dxa"/>
            <w:tcBorders>
              <w:tl2br w:val="nil"/>
              <w:tr2bl w:val="nil"/>
            </w:tcBorders>
            <w:noWrap/>
            <w:vAlign w:val="center"/>
          </w:tcPr>
          <w:p w14:paraId="5B33B18E">
            <w:pPr>
              <w:widowControl/>
              <w:snapToGrid w:val="0"/>
              <w:jc w:val="center"/>
              <w:textAlignment w:val="center"/>
              <w:rPr>
                <w:rFonts w:hint="eastAsia" w:ascii="仿宋" w:hAnsi="Times New Roman" w:eastAsia="仿宋" w:cs="Times New Roman"/>
                <w:b w:val="0"/>
                <w:bCs w:val="0"/>
                <w:color w:val="auto"/>
                <w:sz w:val="22"/>
                <w:szCs w:val="21"/>
                <w:lang w:eastAsia="zh-CN"/>
              </w:rPr>
            </w:pPr>
            <w:r>
              <w:rPr>
                <w:rFonts w:hint="eastAsia" w:ascii="仿宋" w:hAnsi="仿宋" w:eastAsia="仿宋" w:cs="仿宋"/>
                <w:b w:val="0"/>
                <w:bCs w:val="0"/>
                <w:color w:val="000000"/>
                <w:kern w:val="0"/>
                <w:sz w:val="22"/>
                <w:szCs w:val="22"/>
                <w:lang w:val="en-US" w:eastAsia="zh-CN"/>
              </w:rPr>
              <w:t>1</w:t>
            </w:r>
          </w:p>
        </w:tc>
        <w:tc>
          <w:tcPr>
            <w:tcW w:w="1262" w:type="dxa"/>
            <w:tcBorders>
              <w:tl2br w:val="nil"/>
              <w:tr2bl w:val="nil"/>
            </w:tcBorders>
            <w:noWrap/>
            <w:vAlign w:val="center"/>
          </w:tcPr>
          <w:p w14:paraId="522A7C31">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lang w:val="en-US" w:eastAsia="zh-CN"/>
              </w:rPr>
              <w:t>覃塘</w:t>
            </w:r>
            <w:r>
              <w:rPr>
                <w:rFonts w:hint="eastAsia" w:ascii="仿宋" w:hAnsi="仿宋" w:eastAsia="仿宋" w:cs="仿宋"/>
                <w:b w:val="0"/>
                <w:bCs w:val="0"/>
                <w:color w:val="000000"/>
                <w:kern w:val="0"/>
                <w:sz w:val="22"/>
                <w:szCs w:val="22"/>
              </w:rPr>
              <w:t>区</w:t>
            </w:r>
          </w:p>
        </w:tc>
        <w:tc>
          <w:tcPr>
            <w:tcW w:w="1497" w:type="dxa"/>
            <w:tcBorders>
              <w:tl2br w:val="nil"/>
              <w:tr2bl w:val="nil"/>
            </w:tcBorders>
            <w:noWrap/>
            <w:vAlign w:val="center"/>
          </w:tcPr>
          <w:p w14:paraId="5CD1C8AE">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lang w:val="en-US" w:eastAsia="zh-CN"/>
              </w:rPr>
              <w:t>平龙</w:t>
            </w:r>
            <w:r>
              <w:rPr>
                <w:rFonts w:hint="eastAsia" w:ascii="仿宋" w:hAnsi="仿宋" w:eastAsia="仿宋" w:cs="仿宋"/>
                <w:b w:val="0"/>
                <w:bCs w:val="0"/>
                <w:color w:val="000000"/>
                <w:kern w:val="0"/>
                <w:sz w:val="22"/>
                <w:szCs w:val="22"/>
              </w:rPr>
              <w:t>水库</w:t>
            </w:r>
          </w:p>
        </w:tc>
        <w:tc>
          <w:tcPr>
            <w:tcW w:w="1875" w:type="dxa"/>
            <w:tcBorders>
              <w:tl2br w:val="nil"/>
              <w:tr2bl w:val="nil"/>
            </w:tcBorders>
            <w:noWrap/>
            <w:vAlign w:val="center"/>
          </w:tcPr>
          <w:p w14:paraId="5E60287C">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rPr>
              <w:t>常规浮船</w:t>
            </w:r>
          </w:p>
        </w:tc>
        <w:tc>
          <w:tcPr>
            <w:tcW w:w="4635" w:type="dxa"/>
            <w:tcBorders>
              <w:tl2br w:val="nil"/>
              <w:tr2bl w:val="nil"/>
            </w:tcBorders>
            <w:noWrap/>
            <w:vAlign w:val="center"/>
          </w:tcPr>
          <w:p w14:paraId="49B946DF">
            <w:pPr>
              <w:pStyle w:val="1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仿宋" w:hAnsi="仿宋" w:eastAsia="仿宋" w:cs="仿宋"/>
                <w:b w:val="0"/>
                <w:bCs w:val="0"/>
                <w:color w:val="000000"/>
                <w:kern w:val="0"/>
                <w:sz w:val="22"/>
                <w:szCs w:val="22"/>
                <w:lang w:val="en-US" w:eastAsia="zh-CN" w:bidi="ar-SA"/>
              </w:rPr>
            </w:pPr>
            <w:r>
              <w:rPr>
                <w:rFonts w:hint="default" w:ascii="仿宋" w:hAnsi="仿宋" w:eastAsia="仿宋" w:cs="仿宋"/>
                <w:b w:val="0"/>
                <w:bCs w:val="0"/>
                <w:color w:val="000000"/>
                <w:kern w:val="0"/>
                <w:sz w:val="22"/>
                <w:szCs w:val="22"/>
                <w:lang w:val="en-US" w:eastAsia="zh-CN" w:bidi="ar-SA"/>
              </w:rPr>
              <w:t>水温、pH、溶解氧、电导率、浊度、高锰酸盐指数、氨氮、总磷、总氮、叶绿素、藻密度</w:t>
            </w:r>
          </w:p>
          <w:p w14:paraId="64584FFC">
            <w:pPr>
              <w:widowControl/>
              <w:snapToGrid w:val="0"/>
              <w:jc w:val="center"/>
              <w:textAlignment w:val="center"/>
              <w:rPr>
                <w:rFonts w:hint="default" w:ascii="仿宋" w:hAnsi="仿宋" w:eastAsia="仿宋" w:cs="仿宋"/>
                <w:b w:val="0"/>
                <w:bCs w:val="0"/>
                <w:color w:val="000000"/>
                <w:kern w:val="0"/>
                <w:sz w:val="22"/>
                <w:szCs w:val="22"/>
                <w:lang w:val="en-US" w:eastAsia="zh-CN" w:bidi="ar-SA"/>
              </w:rPr>
            </w:pPr>
          </w:p>
        </w:tc>
        <w:tc>
          <w:tcPr>
            <w:tcW w:w="825" w:type="dxa"/>
            <w:tcBorders>
              <w:tl2br w:val="nil"/>
              <w:tr2bl w:val="nil"/>
            </w:tcBorders>
            <w:noWrap/>
            <w:vAlign w:val="center"/>
          </w:tcPr>
          <w:p w14:paraId="56354D03">
            <w:pPr>
              <w:widowControl/>
              <w:snapToGrid w:val="0"/>
              <w:jc w:val="center"/>
              <w:textAlignment w:val="bottom"/>
              <w:rPr>
                <w:rFonts w:hint="eastAsia" w:ascii="仿宋" w:hAnsi="仿宋" w:eastAsia="仿宋" w:cs="仿宋"/>
                <w:b w:val="0"/>
                <w:bCs w:val="0"/>
                <w:color w:val="000000"/>
                <w:kern w:val="0"/>
                <w:sz w:val="22"/>
                <w:szCs w:val="22"/>
                <w:lang w:eastAsia="zh-CN"/>
              </w:rPr>
            </w:pPr>
            <w:r>
              <w:rPr>
                <w:rFonts w:hint="eastAsia" w:ascii="仿宋" w:hAnsi="仿宋" w:eastAsia="仿宋" w:cs="仿宋"/>
                <w:b w:val="0"/>
                <w:bCs w:val="0"/>
                <w:color w:val="000000"/>
                <w:kern w:val="0"/>
                <w:sz w:val="22"/>
                <w:szCs w:val="22"/>
                <w:lang w:val="en-US" w:eastAsia="zh-CN"/>
              </w:rPr>
              <w:t>力合</w:t>
            </w:r>
          </w:p>
        </w:tc>
        <w:tc>
          <w:tcPr>
            <w:tcW w:w="1665" w:type="dxa"/>
            <w:tcBorders>
              <w:tl2br w:val="nil"/>
              <w:tr2bl w:val="nil"/>
            </w:tcBorders>
            <w:noWrap/>
            <w:vAlign w:val="center"/>
          </w:tcPr>
          <w:p w14:paraId="6A875F41">
            <w:pPr>
              <w:widowControl/>
              <w:snapToGrid w:val="0"/>
              <w:jc w:val="center"/>
              <w:textAlignment w:val="bottom"/>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2021年10月</w:t>
            </w:r>
          </w:p>
        </w:tc>
        <w:tc>
          <w:tcPr>
            <w:tcW w:w="2722" w:type="dxa"/>
            <w:tcBorders>
              <w:tl2br w:val="nil"/>
              <w:tr2bl w:val="nil"/>
            </w:tcBorders>
            <w:noWrap/>
            <w:vAlign w:val="center"/>
          </w:tcPr>
          <w:p w14:paraId="15512A6A">
            <w:pPr>
              <w:widowControl/>
              <w:snapToGrid w:val="0"/>
              <w:jc w:val="center"/>
              <w:textAlignment w:val="bottom"/>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预计服务时间从2025年11月7日-2026年5月6日</w:t>
            </w:r>
          </w:p>
        </w:tc>
      </w:tr>
      <w:tr w14:paraId="2B4E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07" w:hRule="atLeast"/>
          <w:jc w:val="center"/>
        </w:trPr>
        <w:tc>
          <w:tcPr>
            <w:tcW w:w="743" w:type="dxa"/>
            <w:tcBorders>
              <w:tl2br w:val="nil"/>
              <w:tr2bl w:val="nil"/>
            </w:tcBorders>
            <w:noWrap/>
            <w:vAlign w:val="center"/>
          </w:tcPr>
          <w:p w14:paraId="7ED64144">
            <w:pPr>
              <w:widowControl/>
              <w:snapToGrid w:val="0"/>
              <w:jc w:val="center"/>
              <w:textAlignment w:val="center"/>
              <w:rPr>
                <w:rFonts w:hint="eastAsia" w:ascii="仿宋" w:hAnsi="Times New Roman" w:eastAsia="仿宋" w:cs="Times New Roman"/>
                <w:b w:val="0"/>
                <w:bCs w:val="0"/>
                <w:color w:val="auto"/>
                <w:sz w:val="22"/>
                <w:szCs w:val="21"/>
                <w:lang w:eastAsia="zh-CN"/>
              </w:rPr>
            </w:pPr>
            <w:r>
              <w:rPr>
                <w:rFonts w:hint="eastAsia" w:ascii="仿宋" w:hAnsi="仿宋" w:eastAsia="仿宋" w:cs="仿宋"/>
                <w:b w:val="0"/>
                <w:bCs w:val="0"/>
                <w:color w:val="000000"/>
                <w:kern w:val="0"/>
                <w:sz w:val="22"/>
                <w:szCs w:val="22"/>
                <w:lang w:val="en-US" w:eastAsia="zh-CN"/>
              </w:rPr>
              <w:t>2</w:t>
            </w:r>
          </w:p>
        </w:tc>
        <w:tc>
          <w:tcPr>
            <w:tcW w:w="1262" w:type="dxa"/>
            <w:tcBorders>
              <w:tl2br w:val="nil"/>
              <w:tr2bl w:val="nil"/>
            </w:tcBorders>
            <w:noWrap/>
            <w:vAlign w:val="center"/>
          </w:tcPr>
          <w:p w14:paraId="64469631">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lang w:val="en-US" w:eastAsia="zh-CN"/>
              </w:rPr>
              <w:t>港北</w:t>
            </w:r>
            <w:r>
              <w:rPr>
                <w:rFonts w:hint="eastAsia" w:ascii="仿宋" w:hAnsi="仿宋" w:eastAsia="仿宋" w:cs="仿宋"/>
                <w:b w:val="0"/>
                <w:bCs w:val="0"/>
                <w:color w:val="000000"/>
                <w:kern w:val="0"/>
                <w:sz w:val="22"/>
                <w:szCs w:val="22"/>
              </w:rPr>
              <w:t>区</w:t>
            </w:r>
          </w:p>
        </w:tc>
        <w:tc>
          <w:tcPr>
            <w:tcW w:w="1497" w:type="dxa"/>
            <w:tcBorders>
              <w:tl2br w:val="nil"/>
              <w:tr2bl w:val="nil"/>
            </w:tcBorders>
            <w:noWrap/>
            <w:vAlign w:val="center"/>
          </w:tcPr>
          <w:p w14:paraId="4FE4DD4B">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lang w:val="en-US" w:eastAsia="zh-CN"/>
              </w:rPr>
              <w:t>达开</w:t>
            </w:r>
            <w:r>
              <w:rPr>
                <w:rFonts w:hint="eastAsia" w:ascii="仿宋" w:hAnsi="仿宋" w:eastAsia="仿宋" w:cs="仿宋"/>
                <w:b w:val="0"/>
                <w:bCs w:val="0"/>
                <w:color w:val="000000"/>
                <w:kern w:val="0"/>
                <w:sz w:val="22"/>
                <w:szCs w:val="22"/>
              </w:rPr>
              <w:t>水库</w:t>
            </w:r>
          </w:p>
        </w:tc>
        <w:tc>
          <w:tcPr>
            <w:tcW w:w="1875" w:type="dxa"/>
            <w:tcBorders>
              <w:tl2br w:val="nil"/>
              <w:tr2bl w:val="nil"/>
            </w:tcBorders>
            <w:noWrap/>
            <w:vAlign w:val="center"/>
          </w:tcPr>
          <w:p w14:paraId="50095A21">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rPr>
              <w:t>常规浮船</w:t>
            </w:r>
          </w:p>
        </w:tc>
        <w:tc>
          <w:tcPr>
            <w:tcW w:w="4635" w:type="dxa"/>
            <w:tcBorders>
              <w:tl2br w:val="nil"/>
              <w:tr2bl w:val="nil"/>
            </w:tcBorders>
            <w:noWrap/>
            <w:vAlign w:val="center"/>
          </w:tcPr>
          <w:p w14:paraId="69DDA6A7">
            <w:pPr>
              <w:pStyle w:val="1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仿宋" w:hAnsi="仿宋" w:eastAsia="仿宋" w:cs="仿宋"/>
                <w:b w:val="0"/>
                <w:bCs w:val="0"/>
                <w:color w:val="000000"/>
                <w:kern w:val="0"/>
                <w:sz w:val="22"/>
                <w:szCs w:val="22"/>
                <w:lang w:val="en-US" w:eastAsia="zh-CN" w:bidi="ar-SA"/>
              </w:rPr>
            </w:pPr>
            <w:r>
              <w:rPr>
                <w:rFonts w:hint="default" w:ascii="仿宋" w:hAnsi="仿宋" w:eastAsia="仿宋" w:cs="仿宋"/>
                <w:b w:val="0"/>
                <w:bCs w:val="0"/>
                <w:color w:val="000000"/>
                <w:kern w:val="0"/>
                <w:sz w:val="22"/>
                <w:szCs w:val="22"/>
                <w:lang w:val="en-US" w:eastAsia="zh-CN" w:bidi="ar-SA"/>
              </w:rPr>
              <w:t>水温、pH、溶解氧、电导率、浊度、高锰酸盐指数、氨氮、总磷、总氮、叶绿素、藻密度</w:t>
            </w:r>
          </w:p>
        </w:tc>
        <w:tc>
          <w:tcPr>
            <w:tcW w:w="825" w:type="dxa"/>
            <w:tcBorders>
              <w:tl2br w:val="nil"/>
              <w:tr2bl w:val="nil"/>
            </w:tcBorders>
            <w:noWrap/>
            <w:vAlign w:val="center"/>
          </w:tcPr>
          <w:p w14:paraId="393A46C0">
            <w:pPr>
              <w:widowControl/>
              <w:snapToGrid w:val="0"/>
              <w:jc w:val="center"/>
              <w:textAlignment w:val="bottom"/>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力合</w:t>
            </w:r>
          </w:p>
        </w:tc>
        <w:tc>
          <w:tcPr>
            <w:tcW w:w="1665" w:type="dxa"/>
            <w:tcBorders>
              <w:tl2br w:val="nil"/>
              <w:tr2bl w:val="nil"/>
            </w:tcBorders>
            <w:noWrap/>
            <w:vAlign w:val="center"/>
          </w:tcPr>
          <w:p w14:paraId="66FE9E28">
            <w:pPr>
              <w:widowControl/>
              <w:snapToGrid w:val="0"/>
              <w:jc w:val="center"/>
              <w:textAlignment w:val="bottom"/>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2021年10月</w:t>
            </w:r>
          </w:p>
        </w:tc>
        <w:tc>
          <w:tcPr>
            <w:tcW w:w="2722" w:type="dxa"/>
            <w:tcBorders>
              <w:tl2br w:val="nil"/>
              <w:tr2bl w:val="nil"/>
            </w:tcBorders>
            <w:noWrap/>
            <w:vAlign w:val="center"/>
          </w:tcPr>
          <w:p w14:paraId="2B411E45">
            <w:pPr>
              <w:widowControl/>
              <w:snapToGrid w:val="0"/>
              <w:jc w:val="center"/>
              <w:textAlignment w:val="bottom"/>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预计服务时间从2025年11月7日-2026年5月6日</w:t>
            </w:r>
          </w:p>
        </w:tc>
      </w:tr>
      <w:tr w14:paraId="3651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07" w:hRule="atLeast"/>
          <w:jc w:val="center"/>
        </w:trPr>
        <w:tc>
          <w:tcPr>
            <w:tcW w:w="743" w:type="dxa"/>
            <w:tcBorders>
              <w:tl2br w:val="nil"/>
              <w:tr2bl w:val="nil"/>
            </w:tcBorders>
            <w:noWrap/>
            <w:vAlign w:val="center"/>
          </w:tcPr>
          <w:p w14:paraId="50CEF78E">
            <w:pPr>
              <w:widowControl/>
              <w:snapToGrid w:val="0"/>
              <w:jc w:val="center"/>
              <w:textAlignment w:val="center"/>
              <w:rPr>
                <w:rFonts w:hint="eastAsia" w:ascii="仿宋" w:hAnsi="Times New Roman" w:eastAsia="仿宋" w:cs="Times New Roman"/>
                <w:b w:val="0"/>
                <w:bCs w:val="0"/>
                <w:color w:val="auto"/>
                <w:sz w:val="22"/>
                <w:szCs w:val="21"/>
                <w:lang w:eastAsia="zh-CN"/>
              </w:rPr>
            </w:pPr>
            <w:r>
              <w:rPr>
                <w:rFonts w:hint="eastAsia" w:ascii="仿宋" w:hAnsi="仿宋" w:eastAsia="仿宋" w:cs="仿宋"/>
                <w:b w:val="0"/>
                <w:bCs w:val="0"/>
                <w:color w:val="000000"/>
                <w:kern w:val="0"/>
                <w:sz w:val="22"/>
                <w:szCs w:val="22"/>
                <w:lang w:val="en-US" w:eastAsia="zh-CN"/>
              </w:rPr>
              <w:t>3</w:t>
            </w:r>
          </w:p>
        </w:tc>
        <w:tc>
          <w:tcPr>
            <w:tcW w:w="1262" w:type="dxa"/>
            <w:tcBorders>
              <w:tl2br w:val="nil"/>
              <w:tr2bl w:val="nil"/>
            </w:tcBorders>
            <w:noWrap/>
            <w:vAlign w:val="center"/>
          </w:tcPr>
          <w:p w14:paraId="6F67CE50">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lang w:val="en-US" w:eastAsia="zh-CN"/>
              </w:rPr>
              <w:t>港南区</w:t>
            </w:r>
          </w:p>
        </w:tc>
        <w:tc>
          <w:tcPr>
            <w:tcW w:w="1497" w:type="dxa"/>
            <w:tcBorders>
              <w:tl2br w:val="nil"/>
              <w:tr2bl w:val="nil"/>
            </w:tcBorders>
            <w:noWrap/>
            <w:vAlign w:val="center"/>
          </w:tcPr>
          <w:p w14:paraId="05BDF084">
            <w:pPr>
              <w:widowControl/>
              <w:snapToGrid w:val="0"/>
              <w:jc w:val="center"/>
              <w:textAlignment w:val="center"/>
              <w:rPr>
                <w:rFonts w:hint="default" w:ascii="仿宋" w:hAnsi="Times New Roman" w:eastAsia="仿宋" w:cs="Times New Roman"/>
                <w:b w:val="0"/>
                <w:bCs w:val="0"/>
                <w:color w:val="auto"/>
                <w:sz w:val="22"/>
                <w:szCs w:val="21"/>
                <w:lang w:val="en-US" w:eastAsia="zh-CN"/>
              </w:rPr>
            </w:pPr>
            <w:r>
              <w:rPr>
                <w:rFonts w:hint="eastAsia" w:ascii="仿宋" w:hAnsi="仿宋" w:eastAsia="仿宋" w:cs="仿宋"/>
                <w:b w:val="0"/>
                <w:bCs w:val="0"/>
                <w:color w:val="000000"/>
                <w:kern w:val="0"/>
                <w:sz w:val="22"/>
                <w:szCs w:val="22"/>
                <w:lang w:val="en-US" w:eastAsia="zh-CN"/>
              </w:rPr>
              <w:t>武思江水库</w:t>
            </w:r>
          </w:p>
        </w:tc>
        <w:tc>
          <w:tcPr>
            <w:tcW w:w="1875" w:type="dxa"/>
            <w:tcBorders>
              <w:tl2br w:val="nil"/>
              <w:tr2bl w:val="nil"/>
            </w:tcBorders>
            <w:noWrap/>
            <w:vAlign w:val="center"/>
          </w:tcPr>
          <w:p w14:paraId="0072225F">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rPr>
              <w:t>常规浮船</w:t>
            </w:r>
          </w:p>
        </w:tc>
        <w:tc>
          <w:tcPr>
            <w:tcW w:w="4635" w:type="dxa"/>
            <w:tcBorders>
              <w:tl2br w:val="nil"/>
              <w:tr2bl w:val="nil"/>
            </w:tcBorders>
            <w:noWrap/>
            <w:vAlign w:val="center"/>
          </w:tcPr>
          <w:p w14:paraId="62F8D4DA">
            <w:pPr>
              <w:pStyle w:val="1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仿宋" w:hAnsi="仿宋" w:eastAsia="仿宋" w:cs="仿宋"/>
                <w:b w:val="0"/>
                <w:bCs w:val="0"/>
                <w:color w:val="000000"/>
                <w:kern w:val="0"/>
                <w:sz w:val="22"/>
                <w:szCs w:val="22"/>
                <w:lang w:val="en-US" w:eastAsia="zh-CN" w:bidi="ar-SA"/>
              </w:rPr>
            </w:pPr>
            <w:r>
              <w:rPr>
                <w:rFonts w:hint="default" w:ascii="仿宋" w:hAnsi="仿宋" w:eastAsia="仿宋" w:cs="仿宋"/>
                <w:b w:val="0"/>
                <w:bCs w:val="0"/>
                <w:color w:val="000000"/>
                <w:kern w:val="0"/>
                <w:sz w:val="22"/>
                <w:szCs w:val="22"/>
                <w:lang w:val="en-US" w:eastAsia="zh-CN" w:bidi="ar-SA"/>
              </w:rPr>
              <w:t>水温、pH、溶解氧、电导率、浊度、高锰酸盐指数、氨氮、总磷、总氮、叶绿素、藻密度</w:t>
            </w:r>
          </w:p>
        </w:tc>
        <w:tc>
          <w:tcPr>
            <w:tcW w:w="825" w:type="dxa"/>
            <w:tcBorders>
              <w:tl2br w:val="nil"/>
              <w:tr2bl w:val="nil"/>
            </w:tcBorders>
            <w:noWrap/>
            <w:vAlign w:val="center"/>
          </w:tcPr>
          <w:p w14:paraId="5DA86091">
            <w:pPr>
              <w:widowControl/>
              <w:snapToGrid w:val="0"/>
              <w:jc w:val="center"/>
              <w:textAlignment w:val="bottom"/>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val="en-US" w:eastAsia="zh-CN"/>
              </w:rPr>
              <w:t>力合</w:t>
            </w:r>
          </w:p>
        </w:tc>
        <w:tc>
          <w:tcPr>
            <w:tcW w:w="1665" w:type="dxa"/>
            <w:tcBorders>
              <w:tl2br w:val="nil"/>
              <w:tr2bl w:val="nil"/>
            </w:tcBorders>
            <w:noWrap/>
            <w:vAlign w:val="center"/>
          </w:tcPr>
          <w:p w14:paraId="76705F01">
            <w:pPr>
              <w:widowControl/>
              <w:snapToGrid w:val="0"/>
              <w:jc w:val="center"/>
              <w:textAlignment w:val="bottom"/>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2019年11月</w:t>
            </w:r>
          </w:p>
        </w:tc>
        <w:tc>
          <w:tcPr>
            <w:tcW w:w="2722" w:type="dxa"/>
            <w:tcBorders>
              <w:tl2br w:val="nil"/>
              <w:tr2bl w:val="nil"/>
            </w:tcBorders>
            <w:noWrap/>
            <w:vAlign w:val="center"/>
          </w:tcPr>
          <w:p w14:paraId="4C685093">
            <w:pPr>
              <w:widowControl/>
              <w:snapToGrid w:val="0"/>
              <w:jc w:val="center"/>
              <w:textAlignment w:val="bottom"/>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预计服务时间从2025年11月7日-2026年5月6日</w:t>
            </w:r>
          </w:p>
        </w:tc>
      </w:tr>
      <w:tr w14:paraId="3D6A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07" w:hRule="atLeast"/>
          <w:jc w:val="center"/>
        </w:trPr>
        <w:tc>
          <w:tcPr>
            <w:tcW w:w="743" w:type="dxa"/>
            <w:tcBorders>
              <w:tl2br w:val="nil"/>
              <w:tr2bl w:val="nil"/>
            </w:tcBorders>
            <w:noWrap/>
            <w:vAlign w:val="center"/>
          </w:tcPr>
          <w:p w14:paraId="4FDBBF85">
            <w:pPr>
              <w:widowControl/>
              <w:snapToGrid w:val="0"/>
              <w:jc w:val="center"/>
              <w:textAlignment w:val="center"/>
              <w:rPr>
                <w:rFonts w:hint="eastAsia" w:ascii="仿宋" w:hAnsi="Times New Roman" w:eastAsia="仿宋" w:cs="Times New Roman"/>
                <w:b w:val="0"/>
                <w:bCs w:val="0"/>
                <w:color w:val="auto"/>
                <w:sz w:val="22"/>
                <w:szCs w:val="21"/>
                <w:lang w:eastAsia="zh-CN"/>
              </w:rPr>
            </w:pPr>
            <w:r>
              <w:rPr>
                <w:rFonts w:hint="eastAsia" w:ascii="仿宋" w:hAnsi="仿宋" w:eastAsia="仿宋" w:cs="仿宋"/>
                <w:b w:val="0"/>
                <w:bCs w:val="0"/>
                <w:color w:val="000000"/>
                <w:kern w:val="0"/>
                <w:sz w:val="22"/>
                <w:szCs w:val="22"/>
                <w:lang w:val="en-US" w:eastAsia="zh-CN"/>
              </w:rPr>
              <w:t>4</w:t>
            </w:r>
          </w:p>
        </w:tc>
        <w:tc>
          <w:tcPr>
            <w:tcW w:w="1262" w:type="dxa"/>
            <w:tcBorders>
              <w:tl2br w:val="nil"/>
              <w:tr2bl w:val="nil"/>
            </w:tcBorders>
            <w:noWrap/>
            <w:vAlign w:val="center"/>
          </w:tcPr>
          <w:p w14:paraId="20852539">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lang w:val="en-US" w:eastAsia="zh-CN"/>
              </w:rPr>
              <w:t>平南</w:t>
            </w:r>
            <w:r>
              <w:rPr>
                <w:rFonts w:hint="eastAsia" w:ascii="仿宋" w:hAnsi="仿宋" w:eastAsia="仿宋" w:cs="仿宋"/>
                <w:b w:val="0"/>
                <w:bCs w:val="0"/>
                <w:color w:val="000000"/>
                <w:kern w:val="0"/>
                <w:sz w:val="22"/>
                <w:szCs w:val="22"/>
              </w:rPr>
              <w:t>县</w:t>
            </w:r>
          </w:p>
        </w:tc>
        <w:tc>
          <w:tcPr>
            <w:tcW w:w="1497" w:type="dxa"/>
            <w:tcBorders>
              <w:tl2br w:val="nil"/>
              <w:tr2bl w:val="nil"/>
            </w:tcBorders>
            <w:noWrap/>
            <w:vAlign w:val="center"/>
          </w:tcPr>
          <w:p w14:paraId="043E41B2">
            <w:pPr>
              <w:widowControl/>
              <w:snapToGrid w:val="0"/>
              <w:jc w:val="center"/>
              <w:textAlignment w:val="center"/>
              <w:rPr>
                <w:rFonts w:hint="default" w:ascii="仿宋" w:hAnsi="Times New Roman" w:eastAsia="仿宋" w:cs="Times New Roman"/>
                <w:b w:val="0"/>
                <w:bCs w:val="0"/>
                <w:color w:val="auto"/>
                <w:sz w:val="22"/>
                <w:szCs w:val="21"/>
                <w:lang w:val="en-US" w:eastAsia="zh-CN"/>
              </w:rPr>
            </w:pPr>
            <w:r>
              <w:rPr>
                <w:rFonts w:hint="eastAsia" w:ascii="仿宋" w:hAnsi="仿宋" w:eastAsia="仿宋" w:cs="仿宋"/>
                <w:b w:val="0"/>
                <w:bCs w:val="0"/>
                <w:color w:val="000000"/>
                <w:kern w:val="0"/>
                <w:sz w:val="22"/>
                <w:szCs w:val="22"/>
                <w:lang w:val="en-US" w:eastAsia="zh-CN"/>
              </w:rPr>
              <w:t>六陈水库</w:t>
            </w:r>
          </w:p>
        </w:tc>
        <w:tc>
          <w:tcPr>
            <w:tcW w:w="1875" w:type="dxa"/>
            <w:tcBorders>
              <w:tl2br w:val="nil"/>
              <w:tr2bl w:val="nil"/>
            </w:tcBorders>
            <w:noWrap/>
            <w:vAlign w:val="center"/>
          </w:tcPr>
          <w:p w14:paraId="7CB2CAEE">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rPr>
              <w:t>常规浮船</w:t>
            </w:r>
          </w:p>
        </w:tc>
        <w:tc>
          <w:tcPr>
            <w:tcW w:w="4635" w:type="dxa"/>
            <w:tcBorders>
              <w:tl2br w:val="nil"/>
              <w:tr2bl w:val="nil"/>
            </w:tcBorders>
            <w:noWrap/>
            <w:vAlign w:val="center"/>
          </w:tcPr>
          <w:p w14:paraId="586181DC">
            <w:pPr>
              <w:pStyle w:val="1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仿宋" w:hAnsi="仿宋" w:eastAsia="仿宋" w:cs="仿宋"/>
                <w:b w:val="0"/>
                <w:bCs w:val="0"/>
                <w:color w:val="000000"/>
                <w:kern w:val="0"/>
                <w:sz w:val="22"/>
                <w:szCs w:val="22"/>
                <w:lang w:val="en-US" w:eastAsia="zh-CN" w:bidi="ar-SA"/>
              </w:rPr>
            </w:pPr>
            <w:r>
              <w:rPr>
                <w:rFonts w:hint="default" w:ascii="仿宋" w:hAnsi="仿宋" w:eastAsia="仿宋" w:cs="仿宋"/>
                <w:b w:val="0"/>
                <w:bCs w:val="0"/>
                <w:color w:val="000000"/>
                <w:kern w:val="0"/>
                <w:sz w:val="22"/>
                <w:szCs w:val="22"/>
                <w:lang w:val="en-US" w:eastAsia="zh-CN" w:bidi="ar-SA"/>
              </w:rPr>
              <w:t>水温、pH、溶解氧、电导率、浊度、高锰酸盐指数、氨氮、总磷、总氮、叶绿素、藻密度</w:t>
            </w:r>
          </w:p>
        </w:tc>
        <w:tc>
          <w:tcPr>
            <w:tcW w:w="825" w:type="dxa"/>
            <w:tcBorders>
              <w:tl2br w:val="nil"/>
              <w:tr2bl w:val="nil"/>
            </w:tcBorders>
            <w:noWrap/>
            <w:vAlign w:val="center"/>
          </w:tcPr>
          <w:p w14:paraId="6025547A">
            <w:pPr>
              <w:widowControl/>
              <w:snapToGrid w:val="0"/>
              <w:jc w:val="center"/>
              <w:textAlignment w:val="bottom"/>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lang w:eastAsia="zh-CN"/>
              </w:rPr>
              <w:t>聚光</w:t>
            </w:r>
          </w:p>
        </w:tc>
        <w:tc>
          <w:tcPr>
            <w:tcW w:w="1665" w:type="dxa"/>
            <w:tcBorders>
              <w:tl2br w:val="nil"/>
              <w:tr2bl w:val="nil"/>
            </w:tcBorders>
            <w:noWrap/>
            <w:vAlign w:val="center"/>
          </w:tcPr>
          <w:p w14:paraId="45F7A64F">
            <w:pPr>
              <w:widowControl/>
              <w:snapToGrid w:val="0"/>
              <w:jc w:val="center"/>
              <w:textAlignment w:val="bottom"/>
              <w:rPr>
                <w:rFonts w:hint="eastAsia" w:ascii="仿宋" w:hAnsi="仿宋" w:eastAsia="仿宋" w:cs="仿宋"/>
                <w:b w:val="0"/>
                <w:bCs w:val="0"/>
                <w:color w:val="000000"/>
                <w:kern w:val="0"/>
                <w:sz w:val="22"/>
                <w:szCs w:val="22"/>
                <w:lang w:eastAsia="zh-CN"/>
              </w:rPr>
            </w:pPr>
            <w:r>
              <w:rPr>
                <w:rFonts w:hint="eastAsia" w:ascii="仿宋" w:hAnsi="仿宋" w:eastAsia="仿宋" w:cs="仿宋"/>
                <w:b w:val="0"/>
                <w:bCs w:val="0"/>
                <w:color w:val="000000"/>
                <w:kern w:val="0"/>
                <w:sz w:val="22"/>
                <w:szCs w:val="22"/>
                <w:lang w:val="en-US" w:eastAsia="zh-CN"/>
              </w:rPr>
              <w:t>2021年10月</w:t>
            </w:r>
          </w:p>
        </w:tc>
        <w:tc>
          <w:tcPr>
            <w:tcW w:w="2722" w:type="dxa"/>
            <w:tcBorders>
              <w:tl2br w:val="nil"/>
              <w:tr2bl w:val="nil"/>
            </w:tcBorders>
            <w:noWrap/>
            <w:vAlign w:val="center"/>
          </w:tcPr>
          <w:p w14:paraId="40DDD1A0">
            <w:pPr>
              <w:widowControl/>
              <w:snapToGrid w:val="0"/>
              <w:jc w:val="center"/>
              <w:textAlignment w:val="bottom"/>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预计服务时间从2025年11月7日-2026年5月6日</w:t>
            </w:r>
          </w:p>
        </w:tc>
      </w:tr>
      <w:tr w14:paraId="58DC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07" w:hRule="atLeast"/>
          <w:jc w:val="center"/>
        </w:trPr>
        <w:tc>
          <w:tcPr>
            <w:tcW w:w="743" w:type="dxa"/>
            <w:tcBorders>
              <w:tl2br w:val="nil"/>
              <w:tr2bl w:val="nil"/>
            </w:tcBorders>
            <w:noWrap/>
            <w:vAlign w:val="center"/>
          </w:tcPr>
          <w:p w14:paraId="503DF130">
            <w:pPr>
              <w:widowControl/>
              <w:snapToGrid w:val="0"/>
              <w:jc w:val="center"/>
              <w:textAlignment w:val="center"/>
              <w:rPr>
                <w:rFonts w:hint="eastAsia" w:ascii="仿宋" w:hAnsi="Times New Roman" w:eastAsia="仿宋" w:cs="Times New Roman"/>
                <w:b w:val="0"/>
                <w:bCs w:val="0"/>
                <w:color w:val="auto"/>
                <w:sz w:val="22"/>
                <w:szCs w:val="21"/>
                <w:lang w:eastAsia="zh-CN"/>
              </w:rPr>
            </w:pPr>
            <w:r>
              <w:rPr>
                <w:rFonts w:hint="eastAsia" w:ascii="仿宋" w:hAnsi="仿宋" w:eastAsia="仿宋" w:cs="仿宋"/>
                <w:b w:val="0"/>
                <w:bCs w:val="0"/>
                <w:color w:val="000000"/>
                <w:kern w:val="0"/>
                <w:sz w:val="22"/>
                <w:szCs w:val="22"/>
                <w:lang w:val="en-US" w:eastAsia="zh-CN"/>
              </w:rPr>
              <w:t>5</w:t>
            </w:r>
          </w:p>
        </w:tc>
        <w:tc>
          <w:tcPr>
            <w:tcW w:w="1262" w:type="dxa"/>
            <w:tcBorders>
              <w:tl2br w:val="nil"/>
              <w:tr2bl w:val="nil"/>
            </w:tcBorders>
            <w:noWrap/>
            <w:vAlign w:val="center"/>
          </w:tcPr>
          <w:p w14:paraId="6B9F425C">
            <w:pPr>
              <w:widowControl/>
              <w:snapToGrid w:val="0"/>
              <w:jc w:val="center"/>
              <w:textAlignment w:val="center"/>
              <w:rPr>
                <w:rFonts w:hint="eastAsia" w:ascii="仿宋" w:hAnsi="Times New Roman" w:eastAsia="仿宋" w:cs="Times New Roman"/>
                <w:b w:val="0"/>
                <w:bCs w:val="0"/>
                <w:color w:val="auto"/>
                <w:sz w:val="22"/>
                <w:szCs w:val="21"/>
                <w:lang w:eastAsia="zh-CN"/>
              </w:rPr>
            </w:pPr>
            <w:r>
              <w:rPr>
                <w:rFonts w:hint="eastAsia" w:ascii="仿宋" w:hAnsi="仿宋" w:eastAsia="仿宋" w:cs="仿宋"/>
                <w:b w:val="0"/>
                <w:bCs w:val="0"/>
                <w:color w:val="000000"/>
                <w:kern w:val="0"/>
                <w:sz w:val="22"/>
                <w:szCs w:val="22"/>
                <w:lang w:val="en-US" w:eastAsia="zh-CN"/>
              </w:rPr>
              <w:t>港南区</w:t>
            </w:r>
          </w:p>
        </w:tc>
        <w:tc>
          <w:tcPr>
            <w:tcW w:w="1497" w:type="dxa"/>
            <w:tcBorders>
              <w:tl2br w:val="nil"/>
              <w:tr2bl w:val="nil"/>
            </w:tcBorders>
            <w:noWrap/>
            <w:vAlign w:val="center"/>
          </w:tcPr>
          <w:p w14:paraId="5797BF2F">
            <w:pPr>
              <w:widowControl/>
              <w:snapToGrid w:val="0"/>
              <w:jc w:val="center"/>
              <w:textAlignment w:val="center"/>
              <w:rPr>
                <w:rFonts w:hint="eastAsia" w:ascii="仿宋" w:hAnsi="Times New Roman" w:eastAsia="仿宋" w:cs="Times New Roman"/>
                <w:b w:val="0"/>
                <w:bCs w:val="0"/>
                <w:color w:val="auto"/>
                <w:sz w:val="22"/>
                <w:szCs w:val="21"/>
                <w:lang w:eastAsia="zh-CN"/>
              </w:rPr>
            </w:pPr>
            <w:r>
              <w:rPr>
                <w:rFonts w:hint="eastAsia" w:ascii="仿宋" w:hAnsi="仿宋" w:eastAsia="仿宋" w:cs="仿宋"/>
                <w:b w:val="0"/>
                <w:bCs w:val="0"/>
                <w:color w:val="000000"/>
                <w:kern w:val="0"/>
                <w:sz w:val="22"/>
                <w:szCs w:val="22"/>
                <w:lang w:val="en-US" w:eastAsia="zh-CN"/>
              </w:rPr>
              <w:t>大李村</w:t>
            </w:r>
          </w:p>
        </w:tc>
        <w:tc>
          <w:tcPr>
            <w:tcW w:w="1875" w:type="dxa"/>
            <w:tcBorders>
              <w:tl2br w:val="nil"/>
              <w:tr2bl w:val="nil"/>
            </w:tcBorders>
            <w:noWrap/>
            <w:vAlign w:val="center"/>
          </w:tcPr>
          <w:p w14:paraId="793EE6B2">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rPr>
              <w:t>常规小型站</w:t>
            </w:r>
          </w:p>
        </w:tc>
        <w:tc>
          <w:tcPr>
            <w:tcW w:w="4635" w:type="dxa"/>
            <w:tcBorders>
              <w:tl2br w:val="nil"/>
              <w:tr2bl w:val="nil"/>
            </w:tcBorders>
            <w:noWrap/>
            <w:vAlign w:val="center"/>
          </w:tcPr>
          <w:p w14:paraId="7CC88378">
            <w:pPr>
              <w:pStyle w:val="1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仿宋" w:hAnsi="仿宋" w:eastAsia="仿宋" w:cs="仿宋"/>
                <w:b w:val="0"/>
                <w:bCs w:val="0"/>
                <w:color w:val="000000"/>
                <w:kern w:val="0"/>
                <w:sz w:val="22"/>
                <w:szCs w:val="22"/>
                <w:lang w:val="en-US" w:eastAsia="zh-CN" w:bidi="ar-SA"/>
              </w:rPr>
            </w:pPr>
            <w:r>
              <w:rPr>
                <w:rFonts w:hint="default" w:ascii="仿宋" w:hAnsi="仿宋" w:eastAsia="仿宋" w:cs="仿宋"/>
                <w:b w:val="0"/>
                <w:bCs w:val="0"/>
                <w:color w:val="000000"/>
                <w:kern w:val="0"/>
                <w:sz w:val="22"/>
                <w:szCs w:val="22"/>
                <w:lang w:val="en-US" w:eastAsia="zh-CN" w:bidi="ar-SA"/>
              </w:rPr>
              <w:t>水温、pH、溶解氧、电导率、浊度、高锰酸盐指数、氨氮、总磷、总氮</w:t>
            </w:r>
          </w:p>
        </w:tc>
        <w:tc>
          <w:tcPr>
            <w:tcW w:w="825" w:type="dxa"/>
            <w:tcBorders>
              <w:tl2br w:val="nil"/>
              <w:tr2bl w:val="nil"/>
            </w:tcBorders>
            <w:noWrap/>
            <w:vAlign w:val="center"/>
          </w:tcPr>
          <w:p w14:paraId="34B31782">
            <w:pPr>
              <w:widowControl/>
              <w:snapToGrid w:val="0"/>
              <w:jc w:val="center"/>
              <w:textAlignment w:val="bottom"/>
              <w:rPr>
                <w:rFonts w:hint="eastAsia" w:ascii="仿宋" w:hAnsi="仿宋" w:eastAsia="仿宋" w:cs="仿宋"/>
                <w:b w:val="0"/>
                <w:bCs w:val="0"/>
                <w:color w:val="000000"/>
                <w:kern w:val="0"/>
                <w:sz w:val="22"/>
                <w:szCs w:val="22"/>
                <w:lang w:eastAsia="zh-CN"/>
              </w:rPr>
            </w:pPr>
            <w:r>
              <w:rPr>
                <w:rFonts w:hint="eastAsia" w:ascii="仿宋" w:hAnsi="仿宋" w:eastAsia="仿宋" w:cs="仿宋"/>
                <w:b w:val="0"/>
                <w:bCs w:val="0"/>
                <w:color w:val="000000"/>
                <w:kern w:val="0"/>
                <w:sz w:val="22"/>
                <w:szCs w:val="22"/>
                <w:lang w:val="en-US" w:eastAsia="zh-CN"/>
              </w:rPr>
              <w:t>雪迪龙</w:t>
            </w:r>
          </w:p>
        </w:tc>
        <w:tc>
          <w:tcPr>
            <w:tcW w:w="1665" w:type="dxa"/>
            <w:tcBorders>
              <w:tl2br w:val="nil"/>
              <w:tr2bl w:val="nil"/>
            </w:tcBorders>
            <w:noWrap/>
            <w:vAlign w:val="center"/>
          </w:tcPr>
          <w:p w14:paraId="4C4F934A">
            <w:pPr>
              <w:widowControl/>
              <w:snapToGrid w:val="0"/>
              <w:jc w:val="center"/>
              <w:textAlignment w:val="bottom"/>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2019年11月</w:t>
            </w:r>
          </w:p>
        </w:tc>
        <w:tc>
          <w:tcPr>
            <w:tcW w:w="2722" w:type="dxa"/>
            <w:tcBorders>
              <w:tl2br w:val="nil"/>
              <w:tr2bl w:val="nil"/>
            </w:tcBorders>
            <w:noWrap/>
            <w:vAlign w:val="center"/>
          </w:tcPr>
          <w:p w14:paraId="3CE9FE2A">
            <w:pPr>
              <w:widowControl/>
              <w:snapToGrid w:val="0"/>
              <w:jc w:val="center"/>
              <w:textAlignment w:val="bottom"/>
              <w:rPr>
                <w:rFonts w:hint="default"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预计服务时间2025年11月7日-2025年12月31日</w:t>
            </w:r>
          </w:p>
        </w:tc>
      </w:tr>
      <w:tr w14:paraId="5D69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07" w:hRule="atLeast"/>
          <w:jc w:val="center"/>
        </w:trPr>
        <w:tc>
          <w:tcPr>
            <w:tcW w:w="743" w:type="dxa"/>
            <w:tcBorders>
              <w:tl2br w:val="nil"/>
              <w:tr2bl w:val="nil"/>
            </w:tcBorders>
            <w:noWrap/>
            <w:vAlign w:val="center"/>
          </w:tcPr>
          <w:p w14:paraId="6946FCA3">
            <w:pPr>
              <w:widowControl/>
              <w:snapToGrid w:val="0"/>
              <w:jc w:val="center"/>
              <w:textAlignment w:val="center"/>
              <w:rPr>
                <w:rFonts w:hint="eastAsia" w:ascii="仿宋" w:hAnsi="Times New Roman" w:eastAsia="仿宋" w:cs="Times New Roman"/>
                <w:b w:val="0"/>
                <w:bCs w:val="0"/>
                <w:color w:val="auto"/>
                <w:sz w:val="22"/>
                <w:szCs w:val="21"/>
                <w:lang w:eastAsia="zh-CN"/>
              </w:rPr>
            </w:pPr>
            <w:r>
              <w:rPr>
                <w:rFonts w:hint="eastAsia" w:ascii="仿宋" w:hAnsi="仿宋" w:eastAsia="仿宋" w:cs="仿宋"/>
                <w:b w:val="0"/>
                <w:bCs w:val="0"/>
                <w:color w:val="000000"/>
                <w:kern w:val="0"/>
                <w:sz w:val="22"/>
                <w:szCs w:val="22"/>
                <w:lang w:val="en-US" w:eastAsia="zh-CN"/>
              </w:rPr>
              <w:t>6</w:t>
            </w:r>
          </w:p>
        </w:tc>
        <w:tc>
          <w:tcPr>
            <w:tcW w:w="1262" w:type="dxa"/>
            <w:tcBorders>
              <w:tl2br w:val="nil"/>
              <w:tr2bl w:val="nil"/>
            </w:tcBorders>
            <w:noWrap/>
            <w:vAlign w:val="center"/>
          </w:tcPr>
          <w:p w14:paraId="0A34E051">
            <w:pPr>
              <w:widowControl/>
              <w:snapToGrid w:val="0"/>
              <w:jc w:val="center"/>
              <w:textAlignment w:val="center"/>
              <w:rPr>
                <w:rFonts w:hint="default" w:ascii="仿宋" w:hAnsi="Times New Roman" w:eastAsia="仿宋" w:cs="Times New Roman"/>
                <w:b w:val="0"/>
                <w:bCs w:val="0"/>
                <w:color w:val="auto"/>
                <w:sz w:val="22"/>
                <w:szCs w:val="21"/>
                <w:lang w:val="en-US" w:eastAsia="zh-CN"/>
              </w:rPr>
            </w:pPr>
            <w:r>
              <w:rPr>
                <w:rFonts w:hint="eastAsia" w:ascii="仿宋" w:hAnsi="仿宋" w:eastAsia="仿宋" w:cs="仿宋"/>
                <w:b w:val="0"/>
                <w:bCs w:val="0"/>
                <w:color w:val="000000"/>
                <w:kern w:val="0"/>
                <w:sz w:val="22"/>
                <w:szCs w:val="22"/>
                <w:lang w:val="en-US" w:eastAsia="zh-CN"/>
              </w:rPr>
              <w:t>桂平市</w:t>
            </w:r>
          </w:p>
        </w:tc>
        <w:tc>
          <w:tcPr>
            <w:tcW w:w="1497" w:type="dxa"/>
            <w:tcBorders>
              <w:tl2br w:val="nil"/>
              <w:tr2bl w:val="nil"/>
            </w:tcBorders>
            <w:noWrap/>
            <w:vAlign w:val="center"/>
          </w:tcPr>
          <w:p w14:paraId="4416AABE">
            <w:pPr>
              <w:widowControl/>
              <w:snapToGrid w:val="0"/>
              <w:jc w:val="center"/>
              <w:textAlignment w:val="center"/>
              <w:rPr>
                <w:rFonts w:hint="eastAsia" w:ascii="仿宋" w:hAnsi="Times New Roman" w:eastAsia="仿宋" w:cs="Times New Roman"/>
                <w:b w:val="0"/>
                <w:bCs w:val="0"/>
                <w:color w:val="auto"/>
                <w:sz w:val="22"/>
                <w:szCs w:val="21"/>
                <w:lang w:eastAsia="zh-CN"/>
              </w:rPr>
            </w:pPr>
            <w:r>
              <w:rPr>
                <w:rFonts w:hint="eastAsia" w:ascii="仿宋" w:hAnsi="仿宋" w:eastAsia="仿宋" w:cs="仿宋"/>
                <w:b w:val="0"/>
                <w:bCs w:val="0"/>
                <w:color w:val="000000"/>
                <w:kern w:val="0"/>
                <w:sz w:val="22"/>
                <w:szCs w:val="22"/>
                <w:lang w:val="en-US" w:eastAsia="zh-CN"/>
              </w:rPr>
              <w:t>石嘴</w:t>
            </w:r>
          </w:p>
        </w:tc>
        <w:tc>
          <w:tcPr>
            <w:tcW w:w="1875" w:type="dxa"/>
            <w:tcBorders>
              <w:tl2br w:val="nil"/>
              <w:tr2bl w:val="nil"/>
            </w:tcBorders>
            <w:noWrap/>
            <w:vAlign w:val="center"/>
          </w:tcPr>
          <w:p w14:paraId="1CE59600">
            <w:pPr>
              <w:widowControl/>
              <w:snapToGrid w:val="0"/>
              <w:jc w:val="center"/>
              <w:textAlignment w:val="center"/>
              <w:rPr>
                <w:rFonts w:hint="default" w:ascii="仿宋" w:hAnsi="Times New Roman" w:eastAsia="仿宋" w:cs="Times New Roman"/>
                <w:b w:val="0"/>
                <w:bCs w:val="0"/>
                <w:color w:val="auto"/>
                <w:sz w:val="22"/>
                <w:szCs w:val="21"/>
              </w:rPr>
            </w:pPr>
            <w:r>
              <w:rPr>
                <w:rFonts w:hint="eastAsia" w:ascii="仿宋" w:hAnsi="仿宋" w:eastAsia="仿宋" w:cs="仿宋"/>
                <w:b w:val="0"/>
                <w:bCs w:val="0"/>
                <w:color w:val="000000"/>
                <w:kern w:val="0"/>
                <w:sz w:val="22"/>
                <w:szCs w:val="22"/>
              </w:rPr>
              <w:t>常规小型站</w:t>
            </w:r>
          </w:p>
        </w:tc>
        <w:tc>
          <w:tcPr>
            <w:tcW w:w="4635" w:type="dxa"/>
            <w:tcBorders>
              <w:tl2br w:val="nil"/>
              <w:tr2bl w:val="nil"/>
            </w:tcBorders>
            <w:noWrap/>
            <w:vAlign w:val="center"/>
          </w:tcPr>
          <w:p w14:paraId="7CC33834">
            <w:pPr>
              <w:pStyle w:val="1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仿宋" w:hAnsi="仿宋" w:eastAsia="仿宋" w:cs="仿宋"/>
                <w:b w:val="0"/>
                <w:bCs w:val="0"/>
                <w:color w:val="000000"/>
                <w:kern w:val="0"/>
                <w:sz w:val="22"/>
                <w:szCs w:val="22"/>
                <w:lang w:val="en-US" w:eastAsia="zh-CN" w:bidi="ar-SA"/>
              </w:rPr>
            </w:pPr>
            <w:r>
              <w:rPr>
                <w:rFonts w:hint="default" w:ascii="仿宋" w:hAnsi="仿宋" w:eastAsia="仿宋" w:cs="仿宋"/>
                <w:b w:val="0"/>
                <w:bCs w:val="0"/>
                <w:color w:val="000000"/>
                <w:kern w:val="0"/>
                <w:sz w:val="22"/>
                <w:szCs w:val="22"/>
                <w:lang w:val="en-US" w:eastAsia="zh-CN" w:bidi="ar-SA"/>
              </w:rPr>
              <w:t>水温、pH、溶解氧、电导率、浊度、高锰酸盐指数、氨氮、总磷、总氮</w:t>
            </w:r>
          </w:p>
        </w:tc>
        <w:tc>
          <w:tcPr>
            <w:tcW w:w="825" w:type="dxa"/>
            <w:tcBorders>
              <w:tl2br w:val="nil"/>
              <w:tr2bl w:val="nil"/>
            </w:tcBorders>
            <w:noWrap/>
            <w:vAlign w:val="center"/>
          </w:tcPr>
          <w:p w14:paraId="5AC07557">
            <w:pPr>
              <w:widowControl/>
              <w:snapToGrid w:val="0"/>
              <w:jc w:val="center"/>
              <w:textAlignment w:val="bottom"/>
              <w:rPr>
                <w:rFonts w:hint="eastAsia" w:ascii="仿宋" w:hAnsi="仿宋" w:eastAsia="仿宋" w:cs="仿宋"/>
                <w:b w:val="0"/>
                <w:bCs w:val="0"/>
                <w:color w:val="000000"/>
                <w:kern w:val="0"/>
                <w:sz w:val="22"/>
                <w:szCs w:val="22"/>
                <w:lang w:eastAsia="zh-CN"/>
              </w:rPr>
            </w:pPr>
            <w:r>
              <w:rPr>
                <w:rFonts w:hint="eastAsia" w:ascii="仿宋" w:hAnsi="仿宋" w:eastAsia="仿宋" w:cs="仿宋"/>
                <w:b w:val="0"/>
                <w:bCs w:val="0"/>
                <w:color w:val="000000"/>
                <w:kern w:val="0"/>
                <w:sz w:val="22"/>
                <w:szCs w:val="22"/>
                <w:lang w:val="en-US" w:eastAsia="zh-CN"/>
              </w:rPr>
              <w:t>雪迪龙</w:t>
            </w:r>
          </w:p>
        </w:tc>
        <w:tc>
          <w:tcPr>
            <w:tcW w:w="1665" w:type="dxa"/>
            <w:tcBorders>
              <w:tl2br w:val="nil"/>
              <w:tr2bl w:val="nil"/>
            </w:tcBorders>
            <w:noWrap/>
            <w:vAlign w:val="center"/>
          </w:tcPr>
          <w:p w14:paraId="0CCFF590">
            <w:pPr>
              <w:widowControl/>
              <w:snapToGrid w:val="0"/>
              <w:jc w:val="center"/>
              <w:textAlignment w:val="bottom"/>
              <w:rPr>
                <w:rFonts w:hint="eastAsia" w:ascii="仿宋" w:hAnsi="仿宋" w:eastAsia="仿宋" w:cs="仿宋"/>
                <w:b w:val="0"/>
                <w:bCs w:val="0"/>
                <w:color w:val="000000"/>
                <w:kern w:val="0"/>
                <w:sz w:val="22"/>
                <w:szCs w:val="22"/>
                <w:lang w:val="en-US" w:eastAsia="zh-CN"/>
              </w:rPr>
            </w:pPr>
            <w:r>
              <w:rPr>
                <w:rFonts w:hint="eastAsia" w:ascii="仿宋" w:hAnsi="仿宋" w:eastAsia="仿宋" w:cs="仿宋"/>
                <w:b w:val="0"/>
                <w:bCs w:val="0"/>
                <w:color w:val="000000"/>
                <w:kern w:val="0"/>
                <w:sz w:val="22"/>
                <w:szCs w:val="22"/>
                <w:lang w:val="en-US" w:eastAsia="zh-CN"/>
              </w:rPr>
              <w:t>2019年11月</w:t>
            </w:r>
          </w:p>
        </w:tc>
        <w:tc>
          <w:tcPr>
            <w:tcW w:w="2722" w:type="dxa"/>
            <w:tcBorders>
              <w:tl2br w:val="nil"/>
              <w:tr2bl w:val="nil"/>
            </w:tcBorders>
            <w:noWrap/>
            <w:vAlign w:val="center"/>
          </w:tcPr>
          <w:p w14:paraId="0FAACEC4">
            <w:pPr>
              <w:widowControl/>
              <w:snapToGrid w:val="0"/>
              <w:jc w:val="center"/>
              <w:textAlignment w:val="bottom"/>
              <w:rPr>
                <w:rFonts w:hint="eastAsia" w:ascii="仿宋" w:hAnsi="仿宋" w:eastAsia="仿宋" w:cs="仿宋"/>
                <w:b w:val="0"/>
                <w:bCs w:val="0"/>
                <w:color w:val="000000"/>
                <w:kern w:val="0"/>
                <w:sz w:val="22"/>
                <w:szCs w:val="22"/>
                <w:lang w:eastAsia="zh-CN"/>
              </w:rPr>
            </w:pPr>
            <w:r>
              <w:rPr>
                <w:rFonts w:hint="eastAsia" w:ascii="仿宋" w:hAnsi="仿宋" w:eastAsia="仿宋" w:cs="仿宋"/>
                <w:b w:val="0"/>
                <w:bCs w:val="0"/>
                <w:color w:val="000000"/>
                <w:kern w:val="0"/>
                <w:sz w:val="22"/>
                <w:szCs w:val="22"/>
                <w:lang w:val="en-US" w:eastAsia="zh-CN"/>
              </w:rPr>
              <w:t>预计服务时间2026年1月1日-2026年5月6日</w:t>
            </w:r>
          </w:p>
        </w:tc>
      </w:tr>
    </w:tbl>
    <w:p w14:paraId="6ED09939">
      <w:pPr>
        <w:spacing w:line="500" w:lineRule="exact"/>
        <w:jc w:val="center"/>
        <w:rPr>
          <w:sz w:val="32"/>
          <w:szCs w:val="32"/>
        </w:rPr>
      </w:pPr>
    </w:p>
    <w:p w14:paraId="7E3FFC6A">
      <w:pPr>
        <w:spacing w:line="500" w:lineRule="exact"/>
        <w:jc w:val="center"/>
        <w:rPr>
          <w:sz w:val="32"/>
          <w:szCs w:val="32"/>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11E633E2">
      <w:pPr>
        <w:pStyle w:val="8"/>
        <w:rPr>
          <w:rFonts w:hint="default" w:eastAsia="宋体"/>
          <w:lang w:val="en-US" w:eastAsia="zh-CN"/>
        </w:rPr>
      </w:pPr>
      <w:r>
        <w:rPr>
          <w:rFonts w:hint="eastAsia" w:ascii="黑体" w:hAnsi="黑体" w:eastAsia="黑体" w:cs="黑体"/>
          <w:sz w:val="32"/>
          <w:szCs w:val="32"/>
          <w:lang w:val="en-US" w:eastAsia="zh-CN"/>
        </w:rPr>
        <w:t>附件1-2</w:t>
      </w:r>
    </w:p>
    <w:p w14:paraId="0E3DCEB7">
      <w:pPr>
        <w:spacing w:line="500" w:lineRule="exact"/>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水站所需</w:t>
      </w:r>
      <w:r>
        <w:rPr>
          <w:rFonts w:hint="eastAsia" w:ascii="Arial Unicode MS" w:hAnsi="Arial Unicode MS" w:eastAsia="Arial Unicode MS" w:cs="Arial Unicode MS"/>
          <w:color w:val="auto"/>
          <w:sz w:val="44"/>
          <w:szCs w:val="44"/>
          <w:highlight w:val="none"/>
          <w:lang w:val="en-US" w:eastAsia="zh-CN"/>
        </w:rPr>
        <w:t>标准物质</w:t>
      </w:r>
      <w:r>
        <w:rPr>
          <w:rFonts w:hint="eastAsia" w:ascii="Arial Unicode MS" w:hAnsi="Arial Unicode MS" w:eastAsia="Arial Unicode MS" w:cs="Arial Unicode MS"/>
          <w:color w:val="auto"/>
          <w:sz w:val="44"/>
          <w:szCs w:val="44"/>
          <w:highlight w:val="none"/>
        </w:rPr>
        <w:t>试剂清单</w:t>
      </w:r>
    </w:p>
    <w:p w14:paraId="18814B1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pPr>
    </w:p>
    <w:tbl>
      <w:tblPr>
        <w:tblStyle w:val="12"/>
        <w:tblW w:w="4998"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5"/>
        <w:gridCol w:w="4860"/>
        <w:gridCol w:w="2859"/>
      </w:tblGrid>
      <w:tr w14:paraId="10E4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480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2"/>
                <w:szCs w:val="22"/>
              </w:rPr>
              <w:t xml:space="preserve">序号 </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781C107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2"/>
                <w:szCs w:val="22"/>
              </w:rPr>
              <w:t>试剂和标准物质名称</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78BDB98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2"/>
                <w:szCs w:val="22"/>
              </w:rPr>
              <w:t>用量</w:t>
            </w:r>
          </w:p>
        </w:tc>
      </w:tr>
      <w:tr w14:paraId="650C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549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1</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04AE7E1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高锰酸盐指数试剂</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2301FC1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2EF5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E68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2</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2FA9F65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氨氮试剂</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11D81A2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53C7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E3B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3</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625850B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总磷试剂</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5F380CB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15D0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8C8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4</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0EFFC37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总氮试剂</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535C1A0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72E9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991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5</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17B32F8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高锰酸盐指数标液</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7D56BD3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4CF8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BCC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6</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16643D6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氨氮标液</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7692FE4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1E51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6DB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7</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6B087CB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总磷标液</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687AD06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703E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B09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8</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06301A2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总氮标液</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26C9553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74269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196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9</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32E6CC7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PH缓冲溶液，PH=4.01</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5569916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64BF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5B5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10</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1D18325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PH缓冲溶液，PH=6.86</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65BFA8A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1C8E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0ED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11</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42F1A50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PH缓冲溶液，PH=9.18</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15C60B2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0DDA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BC2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12</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2FBE045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电导率标液</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4C37FAC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4038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A47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13</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33788CA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浊度标液</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00B89B4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46C1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B58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14</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78050DC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溶解氧试剂、标液</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6B78970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4213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3FF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15</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5991FE2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叶绿素试剂、标液</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7DC0DFA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r w14:paraId="3741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CellSpacing w:w="0" w:type="dxa"/>
          <w:jc w:val="center"/>
        </w:trPr>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A55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16</w:t>
            </w:r>
          </w:p>
        </w:tc>
        <w:tc>
          <w:tcPr>
            <w:tcW w:w="2611" w:type="pct"/>
            <w:tcBorders>
              <w:top w:val="single" w:color="000000" w:sz="4" w:space="0"/>
              <w:left w:val="nil"/>
              <w:bottom w:val="single" w:color="000000" w:sz="4" w:space="0"/>
              <w:right w:val="single" w:color="000000" w:sz="4" w:space="0"/>
            </w:tcBorders>
            <w:shd w:val="clear" w:color="auto" w:fill="FFFFFF"/>
            <w:vAlign w:val="center"/>
          </w:tcPr>
          <w:p w14:paraId="246E805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藻密度试剂、标液</w:t>
            </w:r>
          </w:p>
        </w:tc>
        <w:tc>
          <w:tcPr>
            <w:tcW w:w="1536" w:type="pct"/>
            <w:tcBorders>
              <w:top w:val="single" w:color="000000" w:sz="4" w:space="0"/>
              <w:left w:val="nil"/>
              <w:bottom w:val="single" w:color="000000" w:sz="4" w:space="0"/>
              <w:right w:val="single" w:color="000000" w:sz="4" w:space="0"/>
            </w:tcBorders>
            <w:shd w:val="clear" w:color="auto" w:fill="auto"/>
            <w:vAlign w:val="center"/>
          </w:tcPr>
          <w:p w14:paraId="6E802AA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2"/>
                <w:szCs w:val="22"/>
              </w:rPr>
              <w:t>按需提供</w:t>
            </w:r>
          </w:p>
        </w:tc>
      </w:tr>
    </w:tbl>
    <w:p w14:paraId="7C1AEAED">
      <w:pPr>
        <w:pStyle w:val="8"/>
      </w:pPr>
    </w:p>
    <w:p w14:paraId="5FE30B4E"/>
    <w:p w14:paraId="316EB28F">
      <w:p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76E51743">
      <w:pPr>
        <w:jc w:val="left"/>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件1-3</w:t>
      </w:r>
    </w:p>
    <w:p w14:paraId="415AEC13">
      <w:pPr>
        <w:spacing w:line="500" w:lineRule="exact"/>
        <w:jc w:val="center"/>
        <w:rPr>
          <w:rFonts w:hint="default"/>
          <w:color w:val="auto"/>
          <w:lang w:val="en-US" w:eastAsia="zh-CN"/>
        </w:rPr>
      </w:pPr>
      <w:r>
        <w:rPr>
          <w:rFonts w:hint="eastAsia" w:ascii="Arial Unicode MS" w:hAnsi="Arial Unicode MS" w:eastAsia="Arial Unicode MS" w:cs="Arial Unicode MS"/>
          <w:color w:val="auto"/>
          <w:sz w:val="44"/>
          <w:szCs w:val="44"/>
          <w:lang w:val="en-US" w:eastAsia="zh-CN"/>
        </w:rPr>
        <w:t>2025年贵港市水站服务考核表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1347"/>
        <w:gridCol w:w="5111"/>
        <w:gridCol w:w="688"/>
        <w:gridCol w:w="688"/>
        <w:gridCol w:w="688"/>
      </w:tblGrid>
      <w:tr w14:paraId="0D97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1347" w:type="dxa"/>
            <w:noWrap w:val="0"/>
            <w:vAlign w:val="center"/>
          </w:tcPr>
          <w:p w14:paraId="2A99740A">
            <w:pPr>
              <w:snapToGrid w:val="0"/>
              <w:spacing w:before="0" w:beforeAutospacing="0" w:after="0" w:afterAutospacing="0" w:line="240" w:lineRule="exact"/>
              <w:ind w:left="0" w:right="0"/>
              <w:jc w:val="center"/>
              <w:rPr>
                <w:rFonts w:hint="default" w:ascii="宋体" w:eastAsia="宋体"/>
                <w:b/>
                <w:bCs/>
                <w:color w:val="auto"/>
                <w:sz w:val="22"/>
                <w:vertAlign w:val="baseline"/>
                <w:lang w:val="en-US" w:eastAsia="zh-CN"/>
              </w:rPr>
            </w:pPr>
            <w:r>
              <w:rPr>
                <w:rFonts w:hint="eastAsia" w:ascii="宋体" w:eastAsia="宋体"/>
                <w:b/>
                <w:bCs/>
                <w:color w:val="auto"/>
                <w:sz w:val="22"/>
                <w:vertAlign w:val="baseline"/>
                <w:lang w:val="en-US" w:eastAsia="zh-CN"/>
              </w:rPr>
              <w:t>项目</w:t>
            </w:r>
          </w:p>
        </w:tc>
        <w:tc>
          <w:tcPr>
            <w:tcW w:w="5111" w:type="dxa"/>
            <w:noWrap w:val="0"/>
            <w:vAlign w:val="center"/>
          </w:tcPr>
          <w:p w14:paraId="2A510E86">
            <w:pPr>
              <w:snapToGrid w:val="0"/>
              <w:spacing w:before="0" w:beforeAutospacing="0" w:after="0" w:afterAutospacing="0" w:line="240" w:lineRule="exact"/>
              <w:ind w:left="0" w:right="0"/>
              <w:jc w:val="center"/>
              <w:rPr>
                <w:rFonts w:hint="default" w:ascii="宋体" w:eastAsia="宋体"/>
                <w:b/>
                <w:bCs/>
                <w:color w:val="auto"/>
                <w:sz w:val="22"/>
                <w:vertAlign w:val="baseline"/>
                <w:lang w:val="en-US" w:eastAsia="zh-CN"/>
              </w:rPr>
            </w:pPr>
            <w:r>
              <w:rPr>
                <w:rFonts w:hint="eastAsia" w:ascii="宋体" w:eastAsia="宋体"/>
                <w:b/>
                <w:bCs/>
                <w:color w:val="auto"/>
                <w:sz w:val="22"/>
                <w:vertAlign w:val="baseline"/>
                <w:lang w:val="en-US" w:eastAsia="zh-CN"/>
              </w:rPr>
              <w:t>考核要点和要求</w:t>
            </w:r>
          </w:p>
        </w:tc>
        <w:tc>
          <w:tcPr>
            <w:tcW w:w="688" w:type="dxa"/>
            <w:noWrap w:val="0"/>
            <w:vAlign w:val="center"/>
          </w:tcPr>
          <w:p w14:paraId="77E9CF0E">
            <w:pPr>
              <w:snapToGrid w:val="0"/>
              <w:spacing w:before="0" w:beforeAutospacing="0" w:after="0" w:afterAutospacing="0" w:line="240" w:lineRule="exact"/>
              <w:ind w:left="0" w:right="0"/>
              <w:jc w:val="center"/>
              <w:rPr>
                <w:rFonts w:hint="default" w:ascii="宋体" w:eastAsia="宋体"/>
                <w:b/>
                <w:bCs/>
                <w:color w:val="auto"/>
                <w:sz w:val="22"/>
                <w:vertAlign w:val="baseline"/>
                <w:lang w:val="en-US" w:eastAsia="zh-CN"/>
              </w:rPr>
            </w:pPr>
            <w:r>
              <w:rPr>
                <w:rFonts w:hint="eastAsia" w:ascii="宋体" w:eastAsia="宋体"/>
                <w:b/>
                <w:bCs/>
                <w:color w:val="auto"/>
                <w:sz w:val="22"/>
                <w:vertAlign w:val="baseline"/>
                <w:lang w:val="en-US" w:eastAsia="zh-CN"/>
              </w:rPr>
              <w:t>分值</w:t>
            </w:r>
          </w:p>
        </w:tc>
        <w:tc>
          <w:tcPr>
            <w:tcW w:w="688" w:type="dxa"/>
            <w:noWrap w:val="0"/>
            <w:vAlign w:val="center"/>
          </w:tcPr>
          <w:p w14:paraId="7D173914">
            <w:pPr>
              <w:snapToGrid w:val="0"/>
              <w:spacing w:before="0" w:beforeAutospacing="0" w:after="0" w:afterAutospacing="0" w:line="240" w:lineRule="exact"/>
              <w:ind w:left="0" w:right="0"/>
              <w:jc w:val="center"/>
              <w:rPr>
                <w:rFonts w:hint="default" w:ascii="宋体" w:eastAsia="宋体"/>
                <w:b/>
                <w:bCs/>
                <w:color w:val="auto"/>
                <w:sz w:val="22"/>
                <w:vertAlign w:val="baseline"/>
                <w:lang w:val="en-US" w:eastAsia="zh-CN"/>
              </w:rPr>
            </w:pPr>
            <w:r>
              <w:rPr>
                <w:rFonts w:hint="eastAsia" w:ascii="宋体" w:eastAsia="宋体"/>
                <w:b/>
                <w:bCs/>
                <w:color w:val="auto"/>
                <w:sz w:val="22"/>
                <w:vertAlign w:val="baseline"/>
                <w:lang w:val="en-US" w:eastAsia="zh-CN"/>
              </w:rPr>
              <w:t>得分</w:t>
            </w:r>
          </w:p>
        </w:tc>
        <w:tc>
          <w:tcPr>
            <w:tcW w:w="688" w:type="dxa"/>
            <w:noWrap w:val="0"/>
            <w:vAlign w:val="center"/>
          </w:tcPr>
          <w:p w14:paraId="59CB5765">
            <w:pPr>
              <w:snapToGrid w:val="0"/>
              <w:spacing w:before="0" w:beforeAutospacing="0" w:after="0" w:afterAutospacing="0" w:line="240" w:lineRule="exact"/>
              <w:ind w:left="0" w:right="0"/>
              <w:jc w:val="center"/>
              <w:rPr>
                <w:rFonts w:hint="default" w:ascii="宋体" w:eastAsia="宋体"/>
                <w:b/>
                <w:bCs/>
                <w:color w:val="auto"/>
                <w:sz w:val="22"/>
                <w:vertAlign w:val="baseline"/>
                <w:lang w:val="en-US" w:eastAsia="zh-CN"/>
              </w:rPr>
            </w:pPr>
            <w:r>
              <w:rPr>
                <w:rFonts w:hint="eastAsia" w:ascii="宋体" w:eastAsia="宋体"/>
                <w:b/>
                <w:bCs/>
                <w:color w:val="auto"/>
                <w:sz w:val="22"/>
                <w:vertAlign w:val="baseline"/>
                <w:lang w:val="en-US" w:eastAsia="zh-CN"/>
              </w:rPr>
              <w:t>备注</w:t>
            </w:r>
          </w:p>
        </w:tc>
      </w:tr>
      <w:tr w14:paraId="233A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restart"/>
            <w:noWrap w:val="0"/>
            <w:vAlign w:val="center"/>
          </w:tcPr>
          <w:p w14:paraId="33C4BDF8">
            <w:pPr>
              <w:snapToGrid w:val="0"/>
              <w:spacing w:before="0" w:beforeAutospacing="0" w:after="0" w:afterAutospacing="0"/>
              <w:ind w:left="0" w:right="0"/>
              <w:jc w:val="center"/>
              <w:rPr>
                <w:rFonts w:hint="eastAsia" w:ascii="宋体" w:eastAsia="宋体"/>
                <w:color w:val="auto"/>
                <w:sz w:val="22"/>
                <w:vertAlign w:val="baseline"/>
                <w:lang w:val="en-US" w:eastAsia="zh-CN"/>
              </w:rPr>
            </w:pPr>
            <w:r>
              <w:rPr>
                <w:rFonts w:hint="eastAsia" w:ascii="宋体" w:eastAsia="宋体"/>
                <w:color w:val="auto"/>
                <w:sz w:val="22"/>
                <w:vertAlign w:val="baseline"/>
                <w:lang w:val="en-US" w:eastAsia="zh-CN"/>
              </w:rPr>
              <w:t>运行基础</w:t>
            </w:r>
          </w:p>
          <w:p w14:paraId="7C688230">
            <w:pPr>
              <w:snapToGrid w:val="0"/>
              <w:spacing w:before="0" w:beforeAutospacing="0" w:after="0" w:afterAutospacing="0"/>
              <w:ind w:left="0" w:right="0"/>
              <w:jc w:val="center"/>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保障条件</w:t>
            </w:r>
          </w:p>
        </w:tc>
        <w:tc>
          <w:tcPr>
            <w:tcW w:w="5111" w:type="dxa"/>
            <w:noWrap w:val="0"/>
            <w:vAlign w:val="center"/>
          </w:tcPr>
          <w:p w14:paraId="019D43BF">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运行基础保障条件出现异常或故障时，须在4小时内响应，48小时内解决，视情况打0-10分。</w:t>
            </w:r>
          </w:p>
        </w:tc>
        <w:tc>
          <w:tcPr>
            <w:tcW w:w="688" w:type="dxa"/>
            <w:noWrap w:val="0"/>
            <w:vAlign w:val="center"/>
          </w:tcPr>
          <w:p w14:paraId="67178041">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10</w:t>
            </w:r>
          </w:p>
        </w:tc>
        <w:tc>
          <w:tcPr>
            <w:tcW w:w="688" w:type="dxa"/>
            <w:noWrap w:val="0"/>
            <w:vAlign w:val="center"/>
          </w:tcPr>
          <w:p w14:paraId="70748D91">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0793D35B">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0AC5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continue"/>
            <w:noWrap w:val="0"/>
            <w:vAlign w:val="center"/>
          </w:tcPr>
          <w:p w14:paraId="5CE0F869">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5111" w:type="dxa"/>
            <w:noWrap w:val="0"/>
            <w:vAlign w:val="center"/>
          </w:tcPr>
          <w:p w14:paraId="65867ABD">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运行基础保障条件异常或故障响应和处理率须达到100%，视情况打0-5分。</w:t>
            </w:r>
          </w:p>
        </w:tc>
        <w:tc>
          <w:tcPr>
            <w:tcW w:w="688" w:type="dxa"/>
            <w:noWrap w:val="0"/>
            <w:vAlign w:val="center"/>
          </w:tcPr>
          <w:p w14:paraId="752CC3EE">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5</w:t>
            </w:r>
          </w:p>
        </w:tc>
        <w:tc>
          <w:tcPr>
            <w:tcW w:w="688" w:type="dxa"/>
            <w:noWrap w:val="0"/>
            <w:vAlign w:val="center"/>
          </w:tcPr>
          <w:p w14:paraId="1CB722EA">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70321FED">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0869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restart"/>
            <w:noWrap w:val="0"/>
            <w:vAlign w:val="center"/>
          </w:tcPr>
          <w:p w14:paraId="15038066">
            <w:pPr>
              <w:snapToGrid w:val="0"/>
              <w:spacing w:before="0" w:beforeAutospacing="0" w:after="0" w:afterAutospacing="0"/>
              <w:ind w:left="0" w:right="0"/>
              <w:jc w:val="center"/>
              <w:rPr>
                <w:rFonts w:hint="eastAsia" w:ascii="宋体" w:eastAsia="宋体"/>
                <w:color w:val="auto"/>
                <w:sz w:val="22"/>
                <w:vertAlign w:val="baseline"/>
                <w:lang w:val="en-US" w:eastAsia="zh-CN"/>
              </w:rPr>
            </w:pPr>
            <w:r>
              <w:rPr>
                <w:rFonts w:hint="eastAsia" w:ascii="宋体" w:eastAsia="宋体"/>
                <w:color w:val="auto"/>
                <w:sz w:val="22"/>
                <w:vertAlign w:val="baseline"/>
                <w:lang w:val="en-US" w:eastAsia="zh-CN"/>
              </w:rPr>
              <w:t>周边环境</w:t>
            </w:r>
          </w:p>
          <w:p w14:paraId="1BB18B8E">
            <w:pPr>
              <w:snapToGrid w:val="0"/>
              <w:spacing w:before="0" w:beforeAutospacing="0" w:after="0" w:afterAutospacing="0"/>
              <w:ind w:left="0" w:right="0"/>
              <w:jc w:val="center"/>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安全巡查</w:t>
            </w:r>
          </w:p>
        </w:tc>
        <w:tc>
          <w:tcPr>
            <w:tcW w:w="5111" w:type="dxa"/>
            <w:noWrap w:val="0"/>
            <w:vAlign w:val="center"/>
          </w:tcPr>
          <w:p w14:paraId="6CB68B5D">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按要求每月对水站至少开展一次安全巡查，并认真做好巡查记录，每缺少1次扣1分，扣完为止。</w:t>
            </w:r>
          </w:p>
        </w:tc>
        <w:tc>
          <w:tcPr>
            <w:tcW w:w="688" w:type="dxa"/>
            <w:noWrap w:val="0"/>
            <w:vAlign w:val="center"/>
          </w:tcPr>
          <w:p w14:paraId="14B857A2">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4</w:t>
            </w:r>
          </w:p>
        </w:tc>
        <w:tc>
          <w:tcPr>
            <w:tcW w:w="688" w:type="dxa"/>
            <w:noWrap w:val="0"/>
            <w:vAlign w:val="center"/>
          </w:tcPr>
          <w:p w14:paraId="52541BBD">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7799CECE">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2FBD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continue"/>
            <w:noWrap w:val="0"/>
            <w:vAlign w:val="center"/>
          </w:tcPr>
          <w:p w14:paraId="7A3F32A8">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5111" w:type="dxa"/>
            <w:noWrap w:val="0"/>
            <w:vAlign w:val="center"/>
          </w:tcPr>
          <w:p w14:paraId="55DA5AA3">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巡查过程中发现异常情况须及时向贵港中心汇报，每漏报1次扣1分，扣完为止。</w:t>
            </w:r>
          </w:p>
        </w:tc>
        <w:tc>
          <w:tcPr>
            <w:tcW w:w="688" w:type="dxa"/>
            <w:noWrap w:val="0"/>
            <w:vAlign w:val="center"/>
          </w:tcPr>
          <w:p w14:paraId="55455646">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4</w:t>
            </w:r>
          </w:p>
        </w:tc>
        <w:tc>
          <w:tcPr>
            <w:tcW w:w="688" w:type="dxa"/>
            <w:noWrap w:val="0"/>
            <w:vAlign w:val="center"/>
          </w:tcPr>
          <w:p w14:paraId="57B0BD2A">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46F38FEF">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589F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noWrap w:val="0"/>
            <w:vAlign w:val="center"/>
          </w:tcPr>
          <w:p w14:paraId="5380EC66">
            <w:pPr>
              <w:snapToGrid w:val="0"/>
              <w:spacing w:before="0" w:beforeAutospacing="0" w:after="0" w:afterAutospacing="0"/>
              <w:ind w:left="0" w:right="0"/>
              <w:jc w:val="center"/>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备机、车辆</w:t>
            </w:r>
          </w:p>
        </w:tc>
        <w:tc>
          <w:tcPr>
            <w:tcW w:w="5111" w:type="dxa"/>
            <w:noWrap w:val="0"/>
            <w:vAlign w:val="center"/>
          </w:tcPr>
          <w:p w14:paraId="450E448C">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配备至少</w:t>
            </w:r>
            <w:r>
              <w:rPr>
                <w:rFonts w:hint="eastAsia"/>
                <w:color w:val="auto"/>
                <w:sz w:val="22"/>
                <w:vertAlign w:val="baseline"/>
                <w:lang w:val="en-US" w:eastAsia="zh-CN"/>
              </w:rPr>
              <w:t>1</w:t>
            </w:r>
            <w:r>
              <w:rPr>
                <w:rFonts w:hint="eastAsia" w:ascii="宋体" w:eastAsia="宋体"/>
                <w:color w:val="auto"/>
                <w:sz w:val="22"/>
                <w:vertAlign w:val="baseline"/>
                <w:lang w:val="en-US" w:eastAsia="zh-CN"/>
              </w:rPr>
              <w:t>辆专用车辆和1套备机，视实际情况打0-5分。</w:t>
            </w:r>
          </w:p>
        </w:tc>
        <w:tc>
          <w:tcPr>
            <w:tcW w:w="688" w:type="dxa"/>
            <w:noWrap w:val="0"/>
            <w:vAlign w:val="center"/>
          </w:tcPr>
          <w:p w14:paraId="0690DCD5">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5</w:t>
            </w:r>
          </w:p>
        </w:tc>
        <w:tc>
          <w:tcPr>
            <w:tcW w:w="688" w:type="dxa"/>
            <w:noWrap w:val="0"/>
            <w:vAlign w:val="center"/>
          </w:tcPr>
          <w:p w14:paraId="7C54DCA6">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73F82788">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1388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noWrap w:val="0"/>
            <w:vAlign w:val="center"/>
          </w:tcPr>
          <w:p w14:paraId="39C68C20">
            <w:pPr>
              <w:snapToGrid w:val="0"/>
              <w:spacing w:before="0" w:beforeAutospacing="0" w:after="0" w:afterAutospacing="0"/>
              <w:ind w:left="0" w:right="0"/>
              <w:jc w:val="center"/>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人员配备</w:t>
            </w:r>
          </w:p>
        </w:tc>
        <w:tc>
          <w:tcPr>
            <w:tcW w:w="5111" w:type="dxa"/>
            <w:noWrap w:val="0"/>
            <w:vAlign w:val="center"/>
          </w:tcPr>
          <w:p w14:paraId="36969B29">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按要求配备至少</w:t>
            </w:r>
            <w:r>
              <w:rPr>
                <w:rFonts w:hint="eastAsia"/>
                <w:color w:val="auto"/>
                <w:sz w:val="22"/>
                <w:vertAlign w:val="baseline"/>
                <w:lang w:val="en-US" w:eastAsia="zh-CN"/>
              </w:rPr>
              <w:t>1</w:t>
            </w:r>
            <w:r>
              <w:rPr>
                <w:rFonts w:hint="eastAsia" w:ascii="宋体" w:eastAsia="宋体"/>
                <w:color w:val="auto"/>
                <w:sz w:val="22"/>
                <w:vertAlign w:val="baseline"/>
                <w:lang w:val="en-US" w:eastAsia="zh-CN"/>
              </w:rPr>
              <w:t>名专职技术人员，视实际情况打0-3分。</w:t>
            </w:r>
          </w:p>
        </w:tc>
        <w:tc>
          <w:tcPr>
            <w:tcW w:w="688" w:type="dxa"/>
            <w:noWrap w:val="0"/>
            <w:vAlign w:val="center"/>
          </w:tcPr>
          <w:p w14:paraId="05455AD1">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3</w:t>
            </w:r>
          </w:p>
        </w:tc>
        <w:tc>
          <w:tcPr>
            <w:tcW w:w="688" w:type="dxa"/>
            <w:noWrap w:val="0"/>
            <w:vAlign w:val="center"/>
          </w:tcPr>
          <w:p w14:paraId="2D1A909D">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6933CC04">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6E10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restart"/>
            <w:noWrap w:val="0"/>
            <w:vAlign w:val="center"/>
          </w:tcPr>
          <w:p w14:paraId="3602D8EA">
            <w:pPr>
              <w:snapToGrid w:val="0"/>
              <w:spacing w:before="0" w:beforeAutospacing="0" w:after="0" w:afterAutospacing="0"/>
              <w:ind w:left="0" w:right="0"/>
              <w:jc w:val="center"/>
              <w:rPr>
                <w:rFonts w:hint="eastAsia" w:ascii="宋体" w:eastAsia="宋体"/>
                <w:color w:val="auto"/>
                <w:sz w:val="22"/>
                <w:vertAlign w:val="baseline"/>
                <w:lang w:val="en-US" w:eastAsia="zh-CN"/>
              </w:rPr>
            </w:pPr>
            <w:r>
              <w:rPr>
                <w:rFonts w:hint="eastAsia" w:ascii="宋体" w:eastAsia="宋体"/>
                <w:color w:val="auto"/>
                <w:sz w:val="22"/>
                <w:vertAlign w:val="baseline"/>
                <w:lang w:val="en-US" w:eastAsia="zh-CN"/>
              </w:rPr>
              <w:t>备品备件、</w:t>
            </w:r>
          </w:p>
          <w:p w14:paraId="0785847A">
            <w:pPr>
              <w:snapToGrid w:val="0"/>
              <w:spacing w:before="0" w:beforeAutospacing="0" w:after="0" w:afterAutospacing="0"/>
              <w:ind w:left="0" w:right="0"/>
              <w:jc w:val="center"/>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耗材、试剂</w:t>
            </w:r>
          </w:p>
        </w:tc>
        <w:tc>
          <w:tcPr>
            <w:tcW w:w="5111" w:type="dxa"/>
            <w:noWrap w:val="0"/>
            <w:vAlign w:val="center"/>
          </w:tcPr>
          <w:p w14:paraId="36F86C97">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备品备件、耗材、试剂等必须在规范规定的时限内配送到位，配送不及时1次扣1分，扣完为止。</w:t>
            </w:r>
          </w:p>
        </w:tc>
        <w:tc>
          <w:tcPr>
            <w:tcW w:w="688" w:type="dxa"/>
            <w:noWrap w:val="0"/>
            <w:vAlign w:val="center"/>
          </w:tcPr>
          <w:p w14:paraId="1E2314BF">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4</w:t>
            </w:r>
          </w:p>
        </w:tc>
        <w:tc>
          <w:tcPr>
            <w:tcW w:w="688" w:type="dxa"/>
            <w:noWrap w:val="0"/>
            <w:vAlign w:val="center"/>
          </w:tcPr>
          <w:p w14:paraId="7F72F126">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681E599D">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0A8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continue"/>
            <w:noWrap w:val="0"/>
            <w:vAlign w:val="center"/>
          </w:tcPr>
          <w:p w14:paraId="29D7526E">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5111" w:type="dxa"/>
            <w:noWrap w:val="0"/>
            <w:vAlign w:val="center"/>
          </w:tcPr>
          <w:p w14:paraId="7E8F466B">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备品备件、耗材、试剂质量必须符合要求，质量出现不合格1次扣1分，扣完为止</w:t>
            </w:r>
          </w:p>
        </w:tc>
        <w:tc>
          <w:tcPr>
            <w:tcW w:w="688" w:type="dxa"/>
            <w:noWrap w:val="0"/>
            <w:vAlign w:val="center"/>
          </w:tcPr>
          <w:p w14:paraId="0D84809B">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4</w:t>
            </w:r>
          </w:p>
        </w:tc>
        <w:tc>
          <w:tcPr>
            <w:tcW w:w="688" w:type="dxa"/>
            <w:noWrap w:val="0"/>
            <w:vAlign w:val="center"/>
          </w:tcPr>
          <w:p w14:paraId="6B29DDE6">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19FDC867">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128E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restart"/>
            <w:noWrap w:val="0"/>
            <w:vAlign w:val="center"/>
          </w:tcPr>
          <w:p w14:paraId="1BC88CFD">
            <w:pPr>
              <w:snapToGrid w:val="0"/>
              <w:spacing w:before="0" w:beforeAutospacing="0" w:after="0" w:afterAutospacing="0"/>
              <w:ind w:left="0" w:right="0"/>
              <w:jc w:val="center"/>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技术指导</w:t>
            </w:r>
          </w:p>
        </w:tc>
        <w:tc>
          <w:tcPr>
            <w:tcW w:w="5111" w:type="dxa"/>
            <w:noWrap w:val="0"/>
            <w:vAlign w:val="center"/>
          </w:tcPr>
          <w:p w14:paraId="19DA8E25">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按要求对贵港中心技术人员进行水站日常运维理论+实操培训，视实际情况打0-2分，未开展0分。</w:t>
            </w:r>
          </w:p>
        </w:tc>
        <w:tc>
          <w:tcPr>
            <w:tcW w:w="688" w:type="dxa"/>
            <w:noWrap w:val="0"/>
            <w:vAlign w:val="center"/>
          </w:tcPr>
          <w:p w14:paraId="1EEE0BD0">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2</w:t>
            </w:r>
          </w:p>
        </w:tc>
        <w:tc>
          <w:tcPr>
            <w:tcW w:w="688" w:type="dxa"/>
            <w:noWrap w:val="0"/>
            <w:vAlign w:val="center"/>
          </w:tcPr>
          <w:p w14:paraId="36F48E33">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65358D36">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4A13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continue"/>
            <w:noWrap w:val="0"/>
            <w:vAlign w:val="center"/>
          </w:tcPr>
          <w:p w14:paraId="6021BC80">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5111" w:type="dxa"/>
            <w:noWrap w:val="0"/>
            <w:vAlign w:val="center"/>
          </w:tcPr>
          <w:p w14:paraId="7012A18B">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按要求现场</w:t>
            </w:r>
            <w:r>
              <w:rPr>
                <w:rFonts w:hint="eastAsia" w:ascii="宋体"/>
                <w:color w:val="auto"/>
                <w:sz w:val="22"/>
                <w:vertAlign w:val="baseline"/>
                <w:lang w:val="en-US" w:eastAsia="zh-CN"/>
              </w:rPr>
              <w:t>协助</w:t>
            </w:r>
            <w:r>
              <w:rPr>
                <w:rFonts w:hint="eastAsia" w:ascii="宋体" w:eastAsia="宋体"/>
                <w:color w:val="auto"/>
                <w:sz w:val="22"/>
                <w:vertAlign w:val="baseline"/>
                <w:lang w:val="en-US" w:eastAsia="zh-CN"/>
              </w:rPr>
              <w:t>贵港中心技术人员在规范规定时限内维修维护好水站仪器设备各类异常和故障，不符合要求1次扣2分，扣完为止。</w:t>
            </w:r>
          </w:p>
        </w:tc>
        <w:tc>
          <w:tcPr>
            <w:tcW w:w="688" w:type="dxa"/>
            <w:noWrap w:val="0"/>
            <w:vAlign w:val="center"/>
          </w:tcPr>
          <w:p w14:paraId="4A28FEBC">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4</w:t>
            </w:r>
          </w:p>
        </w:tc>
        <w:tc>
          <w:tcPr>
            <w:tcW w:w="688" w:type="dxa"/>
            <w:noWrap w:val="0"/>
            <w:vAlign w:val="center"/>
          </w:tcPr>
          <w:p w14:paraId="07799BED">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328C074F">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456F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continue"/>
            <w:noWrap w:val="0"/>
            <w:vAlign w:val="center"/>
          </w:tcPr>
          <w:p w14:paraId="361DC0AA">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5111" w:type="dxa"/>
            <w:noWrap w:val="0"/>
            <w:vAlign w:val="center"/>
          </w:tcPr>
          <w:p w14:paraId="5EA7D2CA">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按要求配合贵港中心技术人员做好水站日常运维，所有参数最低数据有效率不低于80%，每降低1%，扣2分，扣完为止。</w:t>
            </w:r>
          </w:p>
        </w:tc>
        <w:tc>
          <w:tcPr>
            <w:tcW w:w="688" w:type="dxa"/>
            <w:noWrap w:val="0"/>
            <w:vAlign w:val="center"/>
          </w:tcPr>
          <w:p w14:paraId="68ADE662">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40</w:t>
            </w:r>
          </w:p>
        </w:tc>
        <w:tc>
          <w:tcPr>
            <w:tcW w:w="688" w:type="dxa"/>
            <w:noWrap w:val="0"/>
            <w:vAlign w:val="center"/>
          </w:tcPr>
          <w:p w14:paraId="1A090AEF">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03D644C8">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5F0E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continue"/>
            <w:noWrap w:val="0"/>
            <w:vAlign w:val="center"/>
          </w:tcPr>
          <w:p w14:paraId="0EC2897E">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5111" w:type="dxa"/>
            <w:noWrap w:val="0"/>
            <w:vAlign w:val="center"/>
          </w:tcPr>
          <w:p w14:paraId="66F031DE">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按要求每个站点每个月现场</w:t>
            </w:r>
            <w:r>
              <w:rPr>
                <w:rFonts w:hint="eastAsia" w:ascii="宋体"/>
                <w:color w:val="auto"/>
                <w:sz w:val="22"/>
                <w:vertAlign w:val="baseline"/>
                <w:lang w:val="en-US" w:eastAsia="zh-CN"/>
              </w:rPr>
              <w:t>协助</w:t>
            </w:r>
            <w:r>
              <w:rPr>
                <w:rFonts w:hint="eastAsia" w:ascii="宋体" w:eastAsia="宋体"/>
                <w:color w:val="auto"/>
                <w:sz w:val="22"/>
                <w:vertAlign w:val="baseline"/>
                <w:lang w:val="en-US" w:eastAsia="zh-CN"/>
              </w:rPr>
              <w:t>贵港中心技术人员做好水站日常</w:t>
            </w:r>
            <w:r>
              <w:rPr>
                <w:rFonts w:hint="eastAsia" w:ascii="宋体"/>
                <w:color w:val="auto"/>
                <w:sz w:val="22"/>
                <w:vertAlign w:val="baseline"/>
                <w:lang w:val="en-US" w:eastAsia="zh-CN"/>
              </w:rPr>
              <w:t>巡检，每周</w:t>
            </w:r>
            <w:r>
              <w:rPr>
                <w:rFonts w:hint="eastAsia" w:ascii="宋体" w:eastAsia="宋体"/>
                <w:color w:val="auto"/>
                <w:sz w:val="22"/>
                <w:vertAlign w:val="baseline"/>
                <w:lang w:val="en-US" w:eastAsia="zh-CN"/>
              </w:rPr>
              <w:t>至少</w:t>
            </w:r>
            <w:r>
              <w:rPr>
                <w:rFonts w:hint="eastAsia" w:ascii="宋体"/>
                <w:color w:val="auto"/>
                <w:sz w:val="22"/>
                <w:vertAlign w:val="baseline"/>
                <w:lang w:val="en-US" w:eastAsia="zh-CN"/>
              </w:rPr>
              <w:t>1</w:t>
            </w:r>
            <w:r>
              <w:rPr>
                <w:rFonts w:hint="eastAsia" w:ascii="宋体" w:eastAsia="宋体"/>
                <w:color w:val="auto"/>
                <w:sz w:val="22"/>
                <w:vertAlign w:val="baseline"/>
                <w:lang w:val="en-US" w:eastAsia="zh-CN"/>
              </w:rPr>
              <w:t>次</w:t>
            </w:r>
            <w:r>
              <w:rPr>
                <w:rFonts w:hint="eastAsia" w:ascii="宋体"/>
                <w:color w:val="auto"/>
                <w:sz w:val="22"/>
                <w:vertAlign w:val="baseline"/>
                <w:lang w:val="en-US" w:eastAsia="zh-CN"/>
              </w:rPr>
              <w:t>；</w:t>
            </w:r>
            <w:r>
              <w:rPr>
                <w:rFonts w:hint="eastAsia" w:ascii="宋体" w:eastAsia="宋体"/>
                <w:color w:val="auto"/>
                <w:sz w:val="22"/>
                <w:vertAlign w:val="baseline"/>
                <w:lang w:val="en-US" w:eastAsia="zh-CN"/>
              </w:rPr>
              <w:t>协助做好每月水站质控工作，每缺少1次，扣1分，扣完为止。</w:t>
            </w:r>
          </w:p>
        </w:tc>
        <w:tc>
          <w:tcPr>
            <w:tcW w:w="688" w:type="dxa"/>
            <w:noWrap w:val="0"/>
            <w:vAlign w:val="center"/>
          </w:tcPr>
          <w:p w14:paraId="72B0F682">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4</w:t>
            </w:r>
          </w:p>
        </w:tc>
        <w:tc>
          <w:tcPr>
            <w:tcW w:w="688" w:type="dxa"/>
            <w:noWrap w:val="0"/>
            <w:vAlign w:val="center"/>
          </w:tcPr>
          <w:p w14:paraId="78AB080A">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72479466">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5760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restart"/>
            <w:noWrap w:val="0"/>
            <w:vAlign w:val="center"/>
          </w:tcPr>
          <w:p w14:paraId="017908A0">
            <w:pPr>
              <w:snapToGrid w:val="0"/>
              <w:spacing w:before="0" w:beforeAutospacing="0" w:after="0" w:afterAutospacing="0"/>
              <w:ind w:left="0" w:right="0"/>
              <w:jc w:val="center"/>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应急监测</w:t>
            </w:r>
          </w:p>
        </w:tc>
        <w:tc>
          <w:tcPr>
            <w:tcW w:w="5111" w:type="dxa"/>
            <w:noWrap w:val="0"/>
            <w:vAlign w:val="center"/>
          </w:tcPr>
          <w:p w14:paraId="7F6C91B6">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配合贵港中心做好地表水水质自动站的水质异常应急监测工作，视情况打0-3分，不配合0分。</w:t>
            </w:r>
          </w:p>
        </w:tc>
        <w:tc>
          <w:tcPr>
            <w:tcW w:w="688" w:type="dxa"/>
            <w:noWrap w:val="0"/>
            <w:vAlign w:val="center"/>
          </w:tcPr>
          <w:p w14:paraId="66ED92B4">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3</w:t>
            </w:r>
          </w:p>
        </w:tc>
        <w:tc>
          <w:tcPr>
            <w:tcW w:w="688" w:type="dxa"/>
            <w:noWrap w:val="0"/>
            <w:vAlign w:val="center"/>
          </w:tcPr>
          <w:p w14:paraId="0C6B801C">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5367DE5C">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4B61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vMerge w:val="continue"/>
            <w:noWrap w:val="0"/>
            <w:vAlign w:val="center"/>
          </w:tcPr>
          <w:p w14:paraId="4359AB18">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5111" w:type="dxa"/>
            <w:noWrap w:val="0"/>
            <w:vAlign w:val="center"/>
          </w:tcPr>
          <w:p w14:paraId="60F98800">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配合贵港中心做好地表水水质自动站数据异常超标比对工作，视情况打0-4分，不配合0分。</w:t>
            </w:r>
          </w:p>
        </w:tc>
        <w:tc>
          <w:tcPr>
            <w:tcW w:w="688" w:type="dxa"/>
            <w:noWrap w:val="0"/>
            <w:vAlign w:val="center"/>
          </w:tcPr>
          <w:p w14:paraId="3F736FB3">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4</w:t>
            </w:r>
          </w:p>
        </w:tc>
        <w:tc>
          <w:tcPr>
            <w:tcW w:w="688" w:type="dxa"/>
            <w:noWrap w:val="0"/>
            <w:vAlign w:val="center"/>
          </w:tcPr>
          <w:p w14:paraId="5FF95FC1">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74383817">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320F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noWrap w:val="0"/>
            <w:vAlign w:val="center"/>
          </w:tcPr>
          <w:p w14:paraId="1E0A5723">
            <w:pPr>
              <w:snapToGrid w:val="0"/>
              <w:spacing w:before="0" w:beforeAutospacing="0" w:after="0" w:afterAutospacing="0"/>
              <w:ind w:left="0" w:right="0"/>
              <w:jc w:val="center"/>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工作记录</w:t>
            </w:r>
          </w:p>
        </w:tc>
        <w:tc>
          <w:tcPr>
            <w:tcW w:w="5111" w:type="dxa"/>
            <w:noWrap w:val="0"/>
            <w:vAlign w:val="center"/>
          </w:tcPr>
          <w:p w14:paraId="1D0B56F5">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按要求填写记录清单、巡查表、维修维护表等记录，并且记录清晰、完整、规范，按时上交给</w:t>
            </w:r>
            <w:r>
              <w:rPr>
                <w:rFonts w:hint="eastAsia" w:ascii="宋体"/>
                <w:color w:val="auto"/>
                <w:sz w:val="22"/>
                <w:vertAlign w:val="baseline"/>
                <w:lang w:val="en-US" w:eastAsia="zh-CN"/>
              </w:rPr>
              <w:t>贵港</w:t>
            </w:r>
            <w:r>
              <w:rPr>
                <w:rFonts w:hint="eastAsia" w:ascii="宋体" w:eastAsia="宋体"/>
                <w:color w:val="auto"/>
                <w:sz w:val="22"/>
                <w:vertAlign w:val="baseline"/>
                <w:lang w:val="en-US" w:eastAsia="zh-CN"/>
              </w:rPr>
              <w:t>中心备案，视情况打0-2分。</w:t>
            </w:r>
          </w:p>
        </w:tc>
        <w:tc>
          <w:tcPr>
            <w:tcW w:w="688" w:type="dxa"/>
            <w:noWrap w:val="0"/>
            <w:vAlign w:val="center"/>
          </w:tcPr>
          <w:p w14:paraId="6EAE2853">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2</w:t>
            </w:r>
          </w:p>
        </w:tc>
        <w:tc>
          <w:tcPr>
            <w:tcW w:w="688" w:type="dxa"/>
            <w:noWrap w:val="0"/>
            <w:vAlign w:val="center"/>
          </w:tcPr>
          <w:p w14:paraId="15CE27CF">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5B930BF3">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5818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47" w:type="dxa"/>
            <w:noWrap w:val="0"/>
            <w:vAlign w:val="center"/>
          </w:tcPr>
          <w:p w14:paraId="637E989E">
            <w:pPr>
              <w:snapToGrid w:val="0"/>
              <w:spacing w:before="0" w:beforeAutospacing="0" w:after="0" w:afterAutospacing="0"/>
              <w:ind w:left="0" w:right="0"/>
              <w:jc w:val="center"/>
              <w:rPr>
                <w:rFonts w:hint="default" w:ascii="宋体" w:eastAsia="宋体"/>
                <w:color w:val="auto"/>
                <w:sz w:val="22"/>
                <w:vertAlign w:val="baseline"/>
                <w:lang w:val="en-US" w:eastAsia="zh-CN"/>
              </w:rPr>
            </w:pPr>
            <w:r>
              <w:rPr>
                <w:rFonts w:hint="eastAsia"/>
                <w:color w:val="auto"/>
                <w:sz w:val="22"/>
                <w:vertAlign w:val="baseline"/>
                <w:lang w:val="en-US" w:eastAsia="zh-CN"/>
              </w:rPr>
              <w:t>数据审核</w:t>
            </w:r>
          </w:p>
        </w:tc>
        <w:tc>
          <w:tcPr>
            <w:tcW w:w="5111" w:type="dxa"/>
            <w:noWrap w:val="0"/>
            <w:vAlign w:val="center"/>
          </w:tcPr>
          <w:p w14:paraId="543812D1">
            <w:pPr>
              <w:snapToGrid w:val="0"/>
              <w:spacing w:before="0" w:beforeAutospacing="0" w:after="0" w:afterAutospacing="0"/>
              <w:ind w:left="0" w:right="0"/>
              <w:jc w:val="left"/>
              <w:rPr>
                <w:rFonts w:hint="default" w:ascii="宋体" w:eastAsia="宋体"/>
                <w:color w:val="auto"/>
                <w:sz w:val="22"/>
                <w:vertAlign w:val="baseline"/>
                <w:lang w:val="en-US" w:eastAsia="zh-CN"/>
              </w:rPr>
            </w:pPr>
            <w:r>
              <w:rPr>
                <w:rFonts w:hint="eastAsia"/>
                <w:color w:val="auto"/>
                <w:sz w:val="22"/>
                <w:vertAlign w:val="baseline"/>
                <w:lang w:val="en-US" w:eastAsia="zh-CN"/>
              </w:rPr>
              <w:t>按时按要求完成数据审核</w:t>
            </w:r>
            <w:r>
              <w:rPr>
                <w:rFonts w:hint="eastAsia" w:ascii="宋体" w:eastAsia="宋体"/>
                <w:color w:val="auto"/>
                <w:sz w:val="22"/>
                <w:vertAlign w:val="baseline"/>
                <w:lang w:val="en-US" w:eastAsia="zh-CN"/>
              </w:rPr>
              <w:t>，视情况打0-2分。</w:t>
            </w:r>
          </w:p>
        </w:tc>
        <w:tc>
          <w:tcPr>
            <w:tcW w:w="688" w:type="dxa"/>
            <w:noWrap w:val="0"/>
            <w:vAlign w:val="center"/>
          </w:tcPr>
          <w:p w14:paraId="6FF2A14F">
            <w:pPr>
              <w:snapToGrid w:val="0"/>
              <w:spacing w:before="0" w:beforeAutospacing="0" w:after="0" w:afterAutospacing="0"/>
              <w:ind w:left="0" w:right="0"/>
              <w:jc w:val="right"/>
              <w:rPr>
                <w:rFonts w:hint="default" w:ascii="宋体" w:eastAsia="宋体"/>
                <w:color w:val="auto"/>
                <w:sz w:val="22"/>
                <w:vertAlign w:val="baseline"/>
                <w:lang w:val="en-US" w:eastAsia="zh-CN"/>
              </w:rPr>
            </w:pPr>
            <w:r>
              <w:rPr>
                <w:rFonts w:hint="eastAsia" w:ascii="宋体" w:eastAsia="宋体"/>
                <w:color w:val="auto"/>
                <w:sz w:val="22"/>
                <w:vertAlign w:val="baseline"/>
                <w:lang w:val="en-US" w:eastAsia="zh-CN"/>
              </w:rPr>
              <w:t>2</w:t>
            </w:r>
          </w:p>
        </w:tc>
        <w:tc>
          <w:tcPr>
            <w:tcW w:w="688" w:type="dxa"/>
            <w:noWrap w:val="0"/>
            <w:vAlign w:val="center"/>
          </w:tcPr>
          <w:p w14:paraId="62DCB6C4">
            <w:pPr>
              <w:snapToGrid w:val="0"/>
              <w:spacing w:before="0" w:beforeAutospacing="0" w:after="0" w:afterAutospacing="0"/>
              <w:ind w:left="0" w:right="0"/>
              <w:jc w:val="center"/>
              <w:rPr>
                <w:rFonts w:hint="eastAsia" w:ascii="宋体" w:eastAsia="宋体"/>
                <w:color w:val="auto"/>
                <w:sz w:val="22"/>
                <w:vertAlign w:val="baseline"/>
                <w:lang w:val="en-US" w:eastAsia="zh-CN"/>
              </w:rPr>
            </w:pPr>
          </w:p>
        </w:tc>
        <w:tc>
          <w:tcPr>
            <w:tcW w:w="688" w:type="dxa"/>
            <w:noWrap w:val="0"/>
            <w:vAlign w:val="center"/>
          </w:tcPr>
          <w:p w14:paraId="67FE3CDB">
            <w:pPr>
              <w:snapToGrid w:val="0"/>
              <w:spacing w:before="0" w:beforeAutospacing="0" w:after="0" w:afterAutospacing="0"/>
              <w:ind w:left="0" w:right="0"/>
              <w:jc w:val="center"/>
              <w:rPr>
                <w:rFonts w:hint="eastAsia" w:ascii="宋体" w:eastAsia="宋体"/>
                <w:color w:val="auto"/>
                <w:sz w:val="22"/>
                <w:vertAlign w:val="baseline"/>
                <w:lang w:val="en-US" w:eastAsia="zh-CN"/>
              </w:rPr>
            </w:pPr>
          </w:p>
        </w:tc>
      </w:tr>
      <w:tr w14:paraId="2D78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04" w:hRule="atLeast"/>
          <w:jc w:val="center"/>
        </w:trPr>
        <w:tc>
          <w:tcPr>
            <w:tcW w:w="1347" w:type="dxa"/>
            <w:noWrap w:val="0"/>
            <w:vAlign w:val="center"/>
          </w:tcPr>
          <w:p w14:paraId="16A1B7E1">
            <w:pPr>
              <w:snapToGrid w:val="0"/>
              <w:spacing w:before="0" w:beforeAutospacing="0" w:after="0" w:afterAutospacing="0"/>
              <w:ind w:left="0" w:right="0"/>
              <w:jc w:val="center"/>
              <w:rPr>
                <w:rFonts w:hint="default" w:ascii="宋体" w:eastAsia="宋体"/>
                <w:b/>
                <w:color w:val="auto"/>
                <w:sz w:val="22"/>
                <w:vertAlign w:val="baseline"/>
                <w:lang w:val="en-US" w:eastAsia="zh-CN"/>
              </w:rPr>
            </w:pPr>
            <w:r>
              <w:rPr>
                <w:rFonts w:hint="eastAsia" w:ascii="宋体" w:eastAsia="宋体"/>
                <w:b/>
                <w:color w:val="auto"/>
                <w:sz w:val="22"/>
                <w:vertAlign w:val="baseline"/>
                <w:lang w:val="en-US" w:eastAsia="zh-CN"/>
              </w:rPr>
              <w:t>合计</w:t>
            </w:r>
          </w:p>
        </w:tc>
        <w:tc>
          <w:tcPr>
            <w:tcW w:w="5111" w:type="dxa"/>
            <w:noWrap w:val="0"/>
            <w:vAlign w:val="center"/>
          </w:tcPr>
          <w:p w14:paraId="106ED009">
            <w:pPr>
              <w:snapToGrid w:val="0"/>
              <w:spacing w:before="0" w:beforeAutospacing="0" w:after="0" w:afterAutospacing="0"/>
              <w:ind w:left="0" w:right="0"/>
              <w:jc w:val="left"/>
              <w:rPr>
                <w:rFonts w:hint="eastAsia" w:ascii="宋体" w:eastAsia="宋体"/>
                <w:b/>
                <w:color w:val="auto"/>
                <w:sz w:val="22"/>
                <w:vertAlign w:val="baseline"/>
                <w:lang w:val="en-US" w:eastAsia="zh-CN"/>
              </w:rPr>
            </w:pPr>
          </w:p>
        </w:tc>
        <w:tc>
          <w:tcPr>
            <w:tcW w:w="688" w:type="dxa"/>
            <w:noWrap w:val="0"/>
            <w:vAlign w:val="center"/>
          </w:tcPr>
          <w:p w14:paraId="3594F359">
            <w:pPr>
              <w:snapToGrid w:val="0"/>
              <w:spacing w:before="0" w:beforeAutospacing="0" w:after="0" w:afterAutospacing="0"/>
              <w:ind w:left="0" w:right="0"/>
              <w:jc w:val="right"/>
              <w:rPr>
                <w:rFonts w:hint="default" w:ascii="宋体" w:eastAsia="宋体"/>
                <w:b/>
                <w:color w:val="auto"/>
                <w:sz w:val="22"/>
                <w:vertAlign w:val="baseline"/>
                <w:lang w:val="en-US" w:eastAsia="zh-CN"/>
              </w:rPr>
            </w:pPr>
            <w:r>
              <w:rPr>
                <w:rFonts w:hint="eastAsia" w:ascii="宋体" w:eastAsia="宋体"/>
                <w:b/>
                <w:color w:val="auto"/>
                <w:sz w:val="22"/>
                <w:vertAlign w:val="baseline"/>
                <w:lang w:val="en-US" w:eastAsia="zh-CN"/>
              </w:rPr>
              <w:t>100</w:t>
            </w:r>
          </w:p>
        </w:tc>
        <w:tc>
          <w:tcPr>
            <w:tcW w:w="688" w:type="dxa"/>
            <w:noWrap w:val="0"/>
            <w:vAlign w:val="center"/>
          </w:tcPr>
          <w:p w14:paraId="23615CB0">
            <w:pPr>
              <w:snapToGrid w:val="0"/>
              <w:spacing w:before="0" w:beforeAutospacing="0" w:after="0" w:afterAutospacing="0"/>
              <w:ind w:left="0" w:right="0"/>
              <w:jc w:val="center"/>
              <w:rPr>
                <w:rFonts w:hint="eastAsia" w:ascii="宋体" w:eastAsia="宋体"/>
                <w:b/>
                <w:color w:val="auto"/>
                <w:sz w:val="22"/>
                <w:vertAlign w:val="baseline"/>
                <w:lang w:val="en-US" w:eastAsia="zh-CN"/>
              </w:rPr>
            </w:pPr>
          </w:p>
        </w:tc>
        <w:tc>
          <w:tcPr>
            <w:tcW w:w="688" w:type="dxa"/>
            <w:noWrap w:val="0"/>
            <w:vAlign w:val="center"/>
          </w:tcPr>
          <w:p w14:paraId="109130CB">
            <w:pPr>
              <w:snapToGrid w:val="0"/>
              <w:spacing w:before="0" w:beforeAutospacing="0" w:after="0" w:afterAutospacing="0"/>
              <w:ind w:left="0" w:right="0"/>
              <w:jc w:val="center"/>
              <w:rPr>
                <w:rFonts w:hint="eastAsia" w:ascii="宋体" w:eastAsia="宋体"/>
                <w:b/>
                <w:color w:val="auto"/>
                <w:sz w:val="22"/>
                <w:vertAlign w:val="baseline"/>
                <w:lang w:val="en-US" w:eastAsia="zh-CN"/>
              </w:rPr>
            </w:pPr>
          </w:p>
        </w:tc>
      </w:tr>
    </w:tbl>
    <w:p w14:paraId="7B4BA31B">
      <w:pPr>
        <w:rPr>
          <w:rFonts w:hint="default"/>
          <w:color w:val="auto"/>
          <w:lang w:val="en-US" w:eastAsia="zh-CN"/>
        </w:rPr>
      </w:pPr>
      <w:r>
        <w:rPr>
          <w:rFonts w:hint="eastAsia"/>
          <w:color w:val="auto"/>
          <w:lang w:val="en-US" w:eastAsia="zh-CN"/>
        </w:rPr>
        <w:t>考核日期：    年  月  日        考核人员：            中标商代表 ：</w:t>
      </w:r>
    </w:p>
    <w:sectPr>
      <w:pgSz w:w="11906" w:h="16838"/>
      <w:pgMar w:top="1417" w:right="567" w:bottom="1417"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489CB27-BF67-4429-9F86-F3253DC860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82DA0D4-5FE1-4513-B8E2-4D0576EC6D4E}"/>
  </w:font>
  <w:font w:name="楷体_GB2312">
    <w:panose1 w:val="02010609030101010101"/>
    <w:charset w:val="86"/>
    <w:family w:val="modern"/>
    <w:pitch w:val="default"/>
    <w:sig w:usb0="00000001" w:usb1="080E0000" w:usb2="00000000" w:usb3="00000000" w:csb0="00040000" w:csb1="00000000"/>
    <w:embedRegular r:id="rId3" w:fontKey="{DA6752B4-D87B-45F5-ABF0-CAED00503755}"/>
  </w:font>
  <w:font w:name="仿宋">
    <w:panose1 w:val="02010609060101010101"/>
    <w:charset w:val="86"/>
    <w:family w:val="auto"/>
    <w:pitch w:val="default"/>
    <w:sig w:usb0="800002BF" w:usb1="38CF7CFA" w:usb2="00000016" w:usb3="00000000" w:csb0="00040001" w:csb1="00000000"/>
    <w:embedRegular r:id="rId4" w:fontKey="{530332A8-6404-401E-92D9-A1CA9725A69B}"/>
  </w:font>
  <w:font w:name="Arial Unicode MS">
    <w:panose1 w:val="020B0604020202020204"/>
    <w:charset w:val="86"/>
    <w:family w:val="auto"/>
    <w:pitch w:val="default"/>
    <w:sig w:usb0="FFFFFFFF" w:usb1="E9FFFFFF" w:usb2="0000003F" w:usb3="00000000" w:csb0="603F01FF" w:csb1="FFFF0000"/>
    <w:embedRegular r:id="rId5" w:fontKey="{376476FB-6F9C-4B51-A363-131884CB6B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15A5A">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-72390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BD257B">
                          <w:pPr>
                            <w:pStyle w:val="8"/>
                            <w:rPr>
                              <w:rFonts w:ascii="Times New Roman" w:hAnsi="Times New Roman" w:eastAsiaTheme="minorEastAsia"/>
                              <w:sz w:val="28"/>
                              <w:szCs w:val="28"/>
                            </w:rPr>
                          </w:pPr>
                          <w:r>
                            <w:rPr>
                              <w:rFonts w:hint="eastAsia" w:ascii="Times New Roman" w:hAnsi="Times New Roman" w:eastAsiaTheme="minorEastAsia"/>
                              <w:sz w:val="28"/>
                              <w:szCs w:val="28"/>
                            </w:rPr>
                            <w:t xml:space="preserve">— </w:t>
                          </w:r>
                          <w:r>
                            <w:rPr>
                              <w:rFonts w:hint="eastAsia" w:ascii="Times New Roman" w:hAnsi="Times New Roman" w:eastAsiaTheme="minorEastAsia"/>
                              <w:sz w:val="28"/>
                              <w:szCs w:val="28"/>
                            </w:rPr>
                            <w:fldChar w:fldCharType="begin"/>
                          </w:r>
                          <w:r>
                            <w:rPr>
                              <w:rFonts w:hint="eastAsia" w:ascii="Times New Roman" w:hAnsi="Times New Roman" w:eastAsiaTheme="minorEastAsia"/>
                              <w:sz w:val="28"/>
                              <w:szCs w:val="28"/>
                            </w:rPr>
                            <w:instrText xml:space="preserve"> PAGE  \* MERGEFORMAT </w:instrText>
                          </w:r>
                          <w:r>
                            <w:rPr>
                              <w:rFonts w:hint="eastAsia" w:ascii="Times New Roman" w:hAnsi="Times New Roman" w:eastAsiaTheme="minorEastAsia"/>
                              <w:sz w:val="28"/>
                              <w:szCs w:val="28"/>
                            </w:rPr>
                            <w:fldChar w:fldCharType="separate"/>
                          </w:r>
                          <w:r>
                            <w:rPr>
                              <w:rFonts w:ascii="Times New Roman" w:hAnsi="Times New Roman" w:eastAsiaTheme="minorEastAsia"/>
                              <w:sz w:val="28"/>
                              <w:szCs w:val="28"/>
                            </w:rPr>
                            <w:t>1</w:t>
                          </w:r>
                          <w:r>
                            <w:rPr>
                              <w:rFonts w:hint="eastAsia" w:ascii="Times New Roman" w:hAnsi="Times New Roman" w:eastAsiaTheme="minorEastAsia"/>
                              <w:sz w:val="28"/>
                              <w:szCs w:val="28"/>
                            </w:rPr>
                            <w:fldChar w:fldCharType="end"/>
                          </w:r>
                          <w:r>
                            <w:rPr>
                              <w:rFonts w:hint="eastAsia" w:ascii="Times New Roman" w:hAnsi="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7pt;height:144pt;width:144pt;mso-position-horizontal:outside;mso-position-horizontal-relative:margin;mso-wrap-style:none;z-index:251659264;mso-width-relative:page;mso-height-relative:page;" filled="f" stroked="f" coordsize="21600,21600" o:gfxdata="UEsDBAoAAAAAAIdO4kAAAAAAAAAAAAAAAAAEAAAAZHJzL1BLAwQUAAAACACHTuJAUGU6qt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ugXB8ibP+XLk4THL&#10;QFal/F+g+gFQSwMEFAAAAAgAh07iQL10G3Y3AgAAb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d0&#10;tK4+VP0FTKFlYat3lsc0USpvV8cAaTvFo0C9KuhU3GAOu54NbyYO+p/7LurxP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BlOqrWAAAACAEAAA8AAAAAAAAAAQAgAAAAIgAAAGRycy9kb3ducmV2&#10;LnhtbFBLAQIUABQAAAAIAIdO4kC9dBt2NwIAAG8EAAAOAAAAAAAAAAEAIAAAACUBAABkcnMvZTJv&#10;RG9jLnhtbFBLBQYAAAAABgAGAFkBAADOBQAAAAA=&#10;">
              <v:fill on="f" focussize="0,0"/>
              <v:stroke on="f" weight="0.5pt"/>
              <v:imagedata o:title=""/>
              <o:lock v:ext="edit" aspectratio="f"/>
              <v:textbox inset="0mm,0mm,0mm,0mm" style="mso-fit-shape-to-text:t;">
                <w:txbxContent>
                  <w:p w14:paraId="17BD257B">
                    <w:pPr>
                      <w:pStyle w:val="8"/>
                      <w:rPr>
                        <w:rFonts w:ascii="Times New Roman" w:hAnsi="Times New Roman" w:eastAsiaTheme="minorEastAsia"/>
                        <w:sz w:val="28"/>
                        <w:szCs w:val="28"/>
                      </w:rPr>
                    </w:pPr>
                    <w:r>
                      <w:rPr>
                        <w:rFonts w:hint="eastAsia" w:ascii="Times New Roman" w:hAnsi="Times New Roman" w:eastAsiaTheme="minorEastAsia"/>
                        <w:sz w:val="28"/>
                        <w:szCs w:val="28"/>
                      </w:rPr>
                      <w:t xml:space="preserve">— </w:t>
                    </w:r>
                    <w:r>
                      <w:rPr>
                        <w:rFonts w:hint="eastAsia" w:ascii="Times New Roman" w:hAnsi="Times New Roman" w:eastAsiaTheme="minorEastAsia"/>
                        <w:sz w:val="28"/>
                        <w:szCs w:val="28"/>
                      </w:rPr>
                      <w:fldChar w:fldCharType="begin"/>
                    </w:r>
                    <w:r>
                      <w:rPr>
                        <w:rFonts w:hint="eastAsia" w:ascii="Times New Roman" w:hAnsi="Times New Roman" w:eastAsiaTheme="minorEastAsia"/>
                        <w:sz w:val="28"/>
                        <w:szCs w:val="28"/>
                      </w:rPr>
                      <w:instrText xml:space="preserve"> PAGE  \* MERGEFORMAT </w:instrText>
                    </w:r>
                    <w:r>
                      <w:rPr>
                        <w:rFonts w:hint="eastAsia" w:ascii="Times New Roman" w:hAnsi="Times New Roman" w:eastAsiaTheme="minorEastAsia"/>
                        <w:sz w:val="28"/>
                        <w:szCs w:val="28"/>
                      </w:rPr>
                      <w:fldChar w:fldCharType="separate"/>
                    </w:r>
                    <w:r>
                      <w:rPr>
                        <w:rFonts w:ascii="Times New Roman" w:hAnsi="Times New Roman" w:eastAsiaTheme="minorEastAsia"/>
                        <w:sz w:val="28"/>
                        <w:szCs w:val="28"/>
                      </w:rPr>
                      <w:t>1</w:t>
                    </w:r>
                    <w:r>
                      <w:rPr>
                        <w:rFonts w:hint="eastAsia" w:ascii="Times New Roman" w:hAnsi="Times New Roman" w:eastAsiaTheme="minorEastAsia"/>
                        <w:sz w:val="28"/>
                        <w:szCs w:val="28"/>
                      </w:rPr>
                      <w:fldChar w:fldCharType="end"/>
                    </w:r>
                    <w:r>
                      <w:rPr>
                        <w:rFonts w:hint="eastAsia" w:ascii="Times New Roman" w:hAnsi="Times New Roman" w:eastAsia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99"/>
    <w:rsid w:val="000C60E8"/>
    <w:rsid w:val="00170FBE"/>
    <w:rsid w:val="0018155B"/>
    <w:rsid w:val="001A7599"/>
    <w:rsid w:val="001B2114"/>
    <w:rsid w:val="001B58C4"/>
    <w:rsid w:val="00203C49"/>
    <w:rsid w:val="002656D7"/>
    <w:rsid w:val="00273969"/>
    <w:rsid w:val="00273EE9"/>
    <w:rsid w:val="002779A6"/>
    <w:rsid w:val="002C0B5A"/>
    <w:rsid w:val="002D56A7"/>
    <w:rsid w:val="0035462B"/>
    <w:rsid w:val="0039361E"/>
    <w:rsid w:val="004D4AEB"/>
    <w:rsid w:val="00573B56"/>
    <w:rsid w:val="00615595"/>
    <w:rsid w:val="007565E7"/>
    <w:rsid w:val="008319F8"/>
    <w:rsid w:val="008878D1"/>
    <w:rsid w:val="008B60D3"/>
    <w:rsid w:val="008D3D48"/>
    <w:rsid w:val="008D5ADE"/>
    <w:rsid w:val="00982757"/>
    <w:rsid w:val="00A96EBC"/>
    <w:rsid w:val="00AB7663"/>
    <w:rsid w:val="00B03884"/>
    <w:rsid w:val="00B11BB2"/>
    <w:rsid w:val="00C14E51"/>
    <w:rsid w:val="00C25049"/>
    <w:rsid w:val="00D1519F"/>
    <w:rsid w:val="00D9291E"/>
    <w:rsid w:val="00E630E1"/>
    <w:rsid w:val="00EE7842"/>
    <w:rsid w:val="00F25F42"/>
    <w:rsid w:val="00F9144B"/>
    <w:rsid w:val="019673A3"/>
    <w:rsid w:val="01987FE8"/>
    <w:rsid w:val="01C34446"/>
    <w:rsid w:val="02075A7B"/>
    <w:rsid w:val="02607CD2"/>
    <w:rsid w:val="02EE4FCD"/>
    <w:rsid w:val="030E31D0"/>
    <w:rsid w:val="03327B51"/>
    <w:rsid w:val="04074FB1"/>
    <w:rsid w:val="04DC0AA0"/>
    <w:rsid w:val="069845E6"/>
    <w:rsid w:val="07187BB9"/>
    <w:rsid w:val="0726722E"/>
    <w:rsid w:val="084870B4"/>
    <w:rsid w:val="08B0365F"/>
    <w:rsid w:val="08CC392A"/>
    <w:rsid w:val="08D26A2D"/>
    <w:rsid w:val="08D64061"/>
    <w:rsid w:val="08DA5B45"/>
    <w:rsid w:val="092932E6"/>
    <w:rsid w:val="09594501"/>
    <w:rsid w:val="09B62003"/>
    <w:rsid w:val="0AF12517"/>
    <w:rsid w:val="0B240117"/>
    <w:rsid w:val="0B39678A"/>
    <w:rsid w:val="0B51783C"/>
    <w:rsid w:val="0C756640"/>
    <w:rsid w:val="0CB95DA3"/>
    <w:rsid w:val="104B091B"/>
    <w:rsid w:val="10B275EE"/>
    <w:rsid w:val="1128487E"/>
    <w:rsid w:val="11345108"/>
    <w:rsid w:val="11ED06B7"/>
    <w:rsid w:val="1206323E"/>
    <w:rsid w:val="1266354F"/>
    <w:rsid w:val="1379066A"/>
    <w:rsid w:val="13EE10E0"/>
    <w:rsid w:val="15CA5E3E"/>
    <w:rsid w:val="161A511A"/>
    <w:rsid w:val="168E7E93"/>
    <w:rsid w:val="18622AFD"/>
    <w:rsid w:val="18834D9A"/>
    <w:rsid w:val="18E10389"/>
    <w:rsid w:val="1929558B"/>
    <w:rsid w:val="1A6E148E"/>
    <w:rsid w:val="1AC612CA"/>
    <w:rsid w:val="1AE668AD"/>
    <w:rsid w:val="1B38733D"/>
    <w:rsid w:val="1B704C24"/>
    <w:rsid w:val="1C003E75"/>
    <w:rsid w:val="1C7C6133"/>
    <w:rsid w:val="1CFA16FF"/>
    <w:rsid w:val="1CFD421F"/>
    <w:rsid w:val="1D394A06"/>
    <w:rsid w:val="1DD143F0"/>
    <w:rsid w:val="1DD62CD1"/>
    <w:rsid w:val="1DE90BB9"/>
    <w:rsid w:val="1DEB053E"/>
    <w:rsid w:val="1E16029E"/>
    <w:rsid w:val="1EB712D3"/>
    <w:rsid w:val="20692E24"/>
    <w:rsid w:val="209F024F"/>
    <w:rsid w:val="20DD3944"/>
    <w:rsid w:val="212846DE"/>
    <w:rsid w:val="22182AE4"/>
    <w:rsid w:val="22D55A24"/>
    <w:rsid w:val="22E964E4"/>
    <w:rsid w:val="23C45507"/>
    <w:rsid w:val="24295AB4"/>
    <w:rsid w:val="24BF4414"/>
    <w:rsid w:val="25B44881"/>
    <w:rsid w:val="25DF0910"/>
    <w:rsid w:val="25E5479B"/>
    <w:rsid w:val="263B1728"/>
    <w:rsid w:val="26A22A09"/>
    <w:rsid w:val="274744A9"/>
    <w:rsid w:val="27ED4B35"/>
    <w:rsid w:val="28A46EB8"/>
    <w:rsid w:val="28FC6EE4"/>
    <w:rsid w:val="2A2B5515"/>
    <w:rsid w:val="2AA77235"/>
    <w:rsid w:val="2ACC7085"/>
    <w:rsid w:val="2AF8507F"/>
    <w:rsid w:val="2B016514"/>
    <w:rsid w:val="2B0C0F7B"/>
    <w:rsid w:val="2B34160D"/>
    <w:rsid w:val="2CAE5F17"/>
    <w:rsid w:val="2CE13CA3"/>
    <w:rsid w:val="2D7070E6"/>
    <w:rsid w:val="2D77678F"/>
    <w:rsid w:val="2D9271A3"/>
    <w:rsid w:val="2DF90A2C"/>
    <w:rsid w:val="2E687395"/>
    <w:rsid w:val="2F6A2714"/>
    <w:rsid w:val="2FEA73B1"/>
    <w:rsid w:val="313F7E68"/>
    <w:rsid w:val="316F3C92"/>
    <w:rsid w:val="3325563D"/>
    <w:rsid w:val="33D26ADA"/>
    <w:rsid w:val="34884BC0"/>
    <w:rsid w:val="34C3718D"/>
    <w:rsid w:val="34DC0648"/>
    <w:rsid w:val="35EB73A0"/>
    <w:rsid w:val="36DC59B0"/>
    <w:rsid w:val="37656406"/>
    <w:rsid w:val="37712690"/>
    <w:rsid w:val="37713AED"/>
    <w:rsid w:val="37E24CB6"/>
    <w:rsid w:val="38177D0E"/>
    <w:rsid w:val="38712C7F"/>
    <w:rsid w:val="39D4434A"/>
    <w:rsid w:val="3CBC7974"/>
    <w:rsid w:val="3D206068"/>
    <w:rsid w:val="3D784BFD"/>
    <w:rsid w:val="3DF8713D"/>
    <w:rsid w:val="3E2E7672"/>
    <w:rsid w:val="3F161F71"/>
    <w:rsid w:val="3F9D5F64"/>
    <w:rsid w:val="403839AA"/>
    <w:rsid w:val="40C2727A"/>
    <w:rsid w:val="41362456"/>
    <w:rsid w:val="41416982"/>
    <w:rsid w:val="41972B99"/>
    <w:rsid w:val="420204DA"/>
    <w:rsid w:val="425561E5"/>
    <w:rsid w:val="42757CB3"/>
    <w:rsid w:val="42851E2C"/>
    <w:rsid w:val="430D0495"/>
    <w:rsid w:val="430D6BAF"/>
    <w:rsid w:val="43916F74"/>
    <w:rsid w:val="43FE2FD4"/>
    <w:rsid w:val="4511730A"/>
    <w:rsid w:val="46351979"/>
    <w:rsid w:val="469A1C37"/>
    <w:rsid w:val="472DE55A"/>
    <w:rsid w:val="47565237"/>
    <w:rsid w:val="47D72C1D"/>
    <w:rsid w:val="483A6951"/>
    <w:rsid w:val="48895562"/>
    <w:rsid w:val="48B56CDA"/>
    <w:rsid w:val="4A311FCB"/>
    <w:rsid w:val="4A633B90"/>
    <w:rsid w:val="4BD13B95"/>
    <w:rsid w:val="4C756335"/>
    <w:rsid w:val="4C7E5A0B"/>
    <w:rsid w:val="4E235B10"/>
    <w:rsid w:val="4EFF066A"/>
    <w:rsid w:val="4F1813ED"/>
    <w:rsid w:val="500A52B1"/>
    <w:rsid w:val="50153434"/>
    <w:rsid w:val="509867CA"/>
    <w:rsid w:val="52166EAB"/>
    <w:rsid w:val="52746C91"/>
    <w:rsid w:val="5277A231"/>
    <w:rsid w:val="53256C1B"/>
    <w:rsid w:val="5394125E"/>
    <w:rsid w:val="53DD685C"/>
    <w:rsid w:val="54322F51"/>
    <w:rsid w:val="55A51501"/>
    <w:rsid w:val="56C84636"/>
    <w:rsid w:val="576511D6"/>
    <w:rsid w:val="578A616C"/>
    <w:rsid w:val="595BA0B1"/>
    <w:rsid w:val="596D5B55"/>
    <w:rsid w:val="59C208D3"/>
    <w:rsid w:val="5A0013FC"/>
    <w:rsid w:val="5A376486"/>
    <w:rsid w:val="5A8F5421"/>
    <w:rsid w:val="5BE14A81"/>
    <w:rsid w:val="5BF379B5"/>
    <w:rsid w:val="5C5E047D"/>
    <w:rsid w:val="5D6559BA"/>
    <w:rsid w:val="5E653F23"/>
    <w:rsid w:val="5E865651"/>
    <w:rsid w:val="5EAF4515"/>
    <w:rsid w:val="5F065D7D"/>
    <w:rsid w:val="5F6F7C69"/>
    <w:rsid w:val="603B1F6D"/>
    <w:rsid w:val="62D56CEC"/>
    <w:rsid w:val="62FB3D83"/>
    <w:rsid w:val="6325141D"/>
    <w:rsid w:val="63AC469A"/>
    <w:rsid w:val="642F125B"/>
    <w:rsid w:val="643C0534"/>
    <w:rsid w:val="64832492"/>
    <w:rsid w:val="64896C0E"/>
    <w:rsid w:val="64B928D3"/>
    <w:rsid w:val="65301F24"/>
    <w:rsid w:val="65AF66AD"/>
    <w:rsid w:val="66B87CEC"/>
    <w:rsid w:val="67C1016A"/>
    <w:rsid w:val="67C5BA81"/>
    <w:rsid w:val="68142C42"/>
    <w:rsid w:val="682139F2"/>
    <w:rsid w:val="68AB4C28"/>
    <w:rsid w:val="692221EE"/>
    <w:rsid w:val="696A48F1"/>
    <w:rsid w:val="69A17DE8"/>
    <w:rsid w:val="69A76317"/>
    <w:rsid w:val="69DC19DD"/>
    <w:rsid w:val="6A753BF2"/>
    <w:rsid w:val="6A9E2C97"/>
    <w:rsid w:val="6AB2729D"/>
    <w:rsid w:val="6C1D1AE4"/>
    <w:rsid w:val="6C7A4F79"/>
    <w:rsid w:val="6C996BCC"/>
    <w:rsid w:val="6CBB282A"/>
    <w:rsid w:val="6D4A1133"/>
    <w:rsid w:val="6D886B14"/>
    <w:rsid w:val="6DC5053A"/>
    <w:rsid w:val="6DF952FE"/>
    <w:rsid w:val="6F0D52A1"/>
    <w:rsid w:val="6FBF1632"/>
    <w:rsid w:val="717B5A18"/>
    <w:rsid w:val="71FE0363"/>
    <w:rsid w:val="72282AEE"/>
    <w:rsid w:val="7249798C"/>
    <w:rsid w:val="73131D48"/>
    <w:rsid w:val="74113EC2"/>
    <w:rsid w:val="74552F3E"/>
    <w:rsid w:val="746A2237"/>
    <w:rsid w:val="74707009"/>
    <w:rsid w:val="74D932E9"/>
    <w:rsid w:val="74F4A378"/>
    <w:rsid w:val="752B0A5C"/>
    <w:rsid w:val="75EDDAA2"/>
    <w:rsid w:val="763C5112"/>
    <w:rsid w:val="770A6746"/>
    <w:rsid w:val="771F0CBB"/>
    <w:rsid w:val="77BF0E4E"/>
    <w:rsid w:val="77BF8B34"/>
    <w:rsid w:val="78A54C68"/>
    <w:rsid w:val="792007B4"/>
    <w:rsid w:val="7A390477"/>
    <w:rsid w:val="7AFA15F9"/>
    <w:rsid w:val="7BC3A181"/>
    <w:rsid w:val="7C610153"/>
    <w:rsid w:val="7D242848"/>
    <w:rsid w:val="7D7B1DEA"/>
    <w:rsid w:val="7DD814B0"/>
    <w:rsid w:val="7E0F0D09"/>
    <w:rsid w:val="7E755665"/>
    <w:rsid w:val="7ECBA723"/>
    <w:rsid w:val="7FCF500E"/>
    <w:rsid w:val="7FEA5381"/>
    <w:rsid w:val="9DFDEBD9"/>
    <w:rsid w:val="B1AE0D15"/>
    <w:rsid w:val="BFFB508A"/>
    <w:rsid w:val="C6F5AD86"/>
    <w:rsid w:val="CF67055C"/>
    <w:rsid w:val="DF75673A"/>
    <w:rsid w:val="E4BEE951"/>
    <w:rsid w:val="E777026C"/>
    <w:rsid w:val="EF9BECA3"/>
    <w:rsid w:val="F53F5704"/>
    <w:rsid w:val="F5FE06E2"/>
    <w:rsid w:val="F7C93330"/>
    <w:rsid w:val="F7F46C15"/>
    <w:rsid w:val="F8A9A6DA"/>
    <w:rsid w:val="F93F1EE9"/>
    <w:rsid w:val="FDFAF49D"/>
    <w:rsid w:val="FE7E21CD"/>
    <w:rsid w:val="FFBD46E6"/>
    <w:rsid w:val="FFFED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line="560" w:lineRule="exact"/>
      <w:outlineLvl w:val="3"/>
    </w:pPr>
    <w:rPr>
      <w:rFonts w:ascii="Arial" w:hAnsi="Aria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index 6"/>
    <w:basedOn w:val="1"/>
    <w:next w:val="1"/>
    <w:semiHidden/>
    <w:unhideWhenUsed/>
    <w:qFormat/>
    <w:uiPriority w:val="99"/>
    <w:pPr>
      <w:ind w:left="1000" w:leftChars="1000"/>
    </w:pPr>
  </w:style>
  <w:style w:type="paragraph" w:styleId="6">
    <w:name w:val="Body Text"/>
    <w:basedOn w:val="1"/>
    <w:next w:val="1"/>
    <w:qFormat/>
    <w:uiPriority w:val="0"/>
    <w:pPr>
      <w:spacing w:line="0" w:lineRule="atLeast"/>
    </w:pPr>
    <w:rPr>
      <w:rFonts w:ascii="Times New Roman" w:hAnsi="Times New Roman"/>
      <w:sz w:val="30"/>
    </w:rPr>
  </w:style>
  <w:style w:type="paragraph" w:styleId="7">
    <w:name w:val="Balloon Text"/>
    <w:basedOn w:val="1"/>
    <w:link w:val="21"/>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6"/>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99"/>
  </w:style>
  <w:style w:type="character" w:styleId="17">
    <w:name w:val="Emphasis"/>
    <w:basedOn w:val="14"/>
    <w:qFormat/>
    <w:uiPriority w:val="0"/>
    <w:rPr>
      <w:i/>
    </w:rPr>
  </w:style>
  <w:style w:type="paragraph" w:customStyle="1" w:styleId="18">
    <w:name w:val="正文（缩进）"/>
    <w:basedOn w:val="1"/>
    <w:qFormat/>
    <w:uiPriority w:val="0"/>
    <w:pPr>
      <w:spacing w:before="156" w:after="156"/>
      <w:ind w:firstLine="480" w:firstLineChars="200"/>
    </w:pPr>
  </w:style>
  <w:style w:type="paragraph" w:customStyle="1" w:styleId="19">
    <w:name w:val="YHY"/>
    <w:basedOn w:val="1"/>
    <w:qFormat/>
    <w:uiPriority w:val="99"/>
    <w:pPr>
      <w:spacing w:beforeLines="50" w:afterLines="50" w:line="360" w:lineRule="auto"/>
      <w:ind w:firstLine="200"/>
    </w:pPr>
  </w:style>
  <w:style w:type="paragraph" w:customStyle="1" w:styleId="20">
    <w:name w:val="Default"/>
    <w:next w:val="5"/>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character" w:customStyle="1" w:styleId="21">
    <w:name w:val="批注框文本 Char"/>
    <w:basedOn w:val="14"/>
    <w:link w:val="7"/>
    <w:qFormat/>
    <w:uiPriority w:val="0"/>
    <w:rPr>
      <w:rFonts w:ascii="Calibri" w:hAnsi="Calibri"/>
      <w:kern w:val="2"/>
      <w:sz w:val="18"/>
      <w:szCs w:val="18"/>
    </w:rPr>
  </w:style>
  <w:style w:type="table" w:customStyle="1" w:styleId="22">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paragraph" w:customStyle="1" w:styleId="23">
    <w:name w:val="我的正文"/>
    <w:basedOn w:val="1"/>
    <w:qFormat/>
    <w:uiPriority w:val="0"/>
    <w:pPr>
      <w:snapToGrid w:val="0"/>
      <w:spacing w:line="480" w:lineRule="exact"/>
      <w:ind w:firstLine="200" w:firstLineChars="200"/>
    </w:pPr>
    <w:rPr>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3709</Words>
  <Characters>3924</Characters>
  <Lines>63</Lines>
  <Paragraphs>17</Paragraphs>
  <TotalTime>30</TotalTime>
  <ScaleCrop>false</ScaleCrop>
  <LinksUpToDate>false</LinksUpToDate>
  <CharactersWithSpaces>3931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2025-02-17T01:38:00Z</dcterms:created>
  <dc:creator>lenovo</dc:creator>
  <cp:lastModifiedBy>黄翠红</cp:lastModifiedBy>
  <cp:lastPrinted>2025-10-29T03:14:06Z</cp:lastPrinted>
  <dcterms:modified xsi:type="dcterms:W3CDTF">2025-10-29T03:20:27Z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822A3CFB839047ED91FFB425DB0715AD_13</vt:lpwstr>
  </property>
  <property fmtid="{D5CDD505-2E9C-101B-9397-08002B2CF9AE}" pid="4" name="KSOTemplateDocerSaveRecord">
    <vt:lpwstr>eyJoZGlkIjoiMTkzN2RkZDJjMzNlYjk5NGFkODg1MDNkNTI0OTYxMjUiLCJ1c2VySWQiOiI0Mzc2ODA3NjgifQ==</vt:lpwstr>
  </property>
</Properties>
</file>