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753639">
      <w:pPr>
        <w:widowControl/>
        <w:numPr>
          <w:ilvl w:val="255"/>
          <w:numId w:val="0"/>
        </w:numPr>
        <w:spacing w:line="500" w:lineRule="exact"/>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附件</w:t>
      </w:r>
      <w:r>
        <w:rPr>
          <w:rFonts w:hint="eastAsia" w:ascii="黑体" w:hAnsi="黑体" w:eastAsia="黑体" w:cs="黑体"/>
          <w:color w:val="000000"/>
          <w:kern w:val="0"/>
          <w:sz w:val="32"/>
          <w:szCs w:val="32"/>
          <w:highlight w:val="none"/>
          <w:lang w:bidi="ar"/>
        </w:rPr>
        <w:t>1</w:t>
      </w:r>
    </w:p>
    <w:p w14:paraId="4D5371EE">
      <w:pPr>
        <w:autoSpaceDE w:val="0"/>
        <w:spacing w:line="600" w:lineRule="exact"/>
        <w:jc w:val="center"/>
        <w:rPr>
          <w:rFonts w:hint="default" w:cs="黑体" w:asciiTheme="minorEastAsia" w:hAnsiTheme="minorEastAsia" w:eastAsiaTheme="minorEastAsia"/>
          <w:b/>
          <w:bCs/>
          <w:color w:val="000000"/>
          <w:kern w:val="0"/>
          <w:sz w:val="32"/>
          <w:szCs w:val="32"/>
          <w:highlight w:val="none"/>
          <w:lang w:val="en-US" w:eastAsia="zh-CN"/>
        </w:rPr>
      </w:pPr>
      <w:bookmarkStart w:id="0" w:name="_GoBack"/>
      <w:r>
        <w:rPr>
          <w:rFonts w:hint="eastAsia" w:cs="方正小标宋_GBK" w:asciiTheme="minorEastAsia" w:hAnsiTheme="minorEastAsia"/>
          <w:b/>
          <w:bCs/>
          <w:color w:val="000000"/>
          <w:sz w:val="44"/>
          <w:szCs w:val="44"/>
          <w:highlight w:val="none"/>
          <w:lang w:val="en-US" w:eastAsia="zh-CN"/>
        </w:rPr>
        <w:t>采购需求</w:t>
      </w:r>
      <w:bookmarkEnd w:id="0"/>
    </w:p>
    <w:tbl>
      <w:tblPr>
        <w:tblStyle w:val="5"/>
        <w:tblpPr w:leftFromText="180" w:rightFromText="180" w:vertAnchor="text" w:horzAnchor="page" w:tblpX="1327" w:tblpY="615"/>
        <w:tblOverlap w:val="never"/>
        <w:tblW w:w="95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710"/>
        <w:gridCol w:w="848"/>
        <w:gridCol w:w="847"/>
        <w:gridCol w:w="6565"/>
      </w:tblGrid>
      <w:tr w14:paraId="243FA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rPr>
        <w:tc>
          <w:tcPr>
            <w:tcW w:w="535" w:type="dxa"/>
            <w:vAlign w:val="center"/>
          </w:tcPr>
          <w:p w14:paraId="11B28622">
            <w:pPr>
              <w:jc w:val="center"/>
              <w:rPr>
                <w:rFonts w:hint="eastAsia" w:ascii="仿宋" w:hAnsi="仿宋" w:eastAsia="仿宋" w:cs="宋体"/>
                <w:b/>
                <w:bCs/>
                <w:color w:val="000000"/>
                <w:kern w:val="0"/>
                <w:sz w:val="24"/>
                <w:highlight w:val="none"/>
              </w:rPr>
            </w:pPr>
            <w:r>
              <w:rPr>
                <w:rFonts w:hint="eastAsia" w:ascii="仿宋" w:hAnsi="仿宋" w:eastAsia="仿宋" w:cs="宋体"/>
                <w:b/>
                <w:bCs/>
                <w:color w:val="000000"/>
                <w:kern w:val="0"/>
                <w:sz w:val="24"/>
                <w:highlight w:val="none"/>
              </w:rPr>
              <w:t>序号</w:t>
            </w:r>
          </w:p>
        </w:tc>
        <w:tc>
          <w:tcPr>
            <w:tcW w:w="710" w:type="dxa"/>
            <w:noWrap/>
            <w:vAlign w:val="center"/>
          </w:tcPr>
          <w:p w14:paraId="4FCE98AD">
            <w:pPr>
              <w:jc w:val="center"/>
              <w:rPr>
                <w:rFonts w:hint="eastAsia" w:ascii="仿宋" w:hAnsi="仿宋" w:eastAsia="仿宋" w:cs="宋体"/>
                <w:b/>
                <w:bCs/>
                <w:color w:val="000000"/>
                <w:kern w:val="0"/>
                <w:sz w:val="24"/>
                <w:highlight w:val="none"/>
              </w:rPr>
            </w:pPr>
            <w:r>
              <w:rPr>
                <w:rFonts w:ascii="仿宋" w:hAnsi="仿宋" w:eastAsia="仿宋" w:cs="宋体"/>
                <w:b/>
                <w:bCs/>
                <w:color w:val="000000"/>
                <w:kern w:val="0"/>
                <w:sz w:val="24"/>
                <w:highlight w:val="none"/>
              </w:rPr>
              <w:t>项目名称</w:t>
            </w:r>
          </w:p>
        </w:tc>
        <w:tc>
          <w:tcPr>
            <w:tcW w:w="848" w:type="dxa"/>
            <w:vAlign w:val="center"/>
          </w:tcPr>
          <w:p w14:paraId="603FB57E">
            <w:pPr>
              <w:jc w:val="center"/>
              <w:rPr>
                <w:rFonts w:hint="eastAsia" w:ascii="仿宋" w:hAnsi="仿宋" w:eastAsia="仿宋" w:cs="宋体"/>
                <w:b/>
                <w:bCs/>
                <w:color w:val="000000"/>
                <w:kern w:val="0"/>
                <w:sz w:val="24"/>
                <w:highlight w:val="none"/>
              </w:rPr>
            </w:pPr>
            <w:r>
              <w:rPr>
                <w:rFonts w:ascii="仿宋" w:hAnsi="仿宋" w:eastAsia="仿宋" w:cs="宋体"/>
                <w:b/>
                <w:bCs/>
                <w:color w:val="000000"/>
                <w:kern w:val="0"/>
                <w:sz w:val="24"/>
                <w:highlight w:val="none"/>
              </w:rPr>
              <w:t>服务项</w:t>
            </w:r>
          </w:p>
        </w:tc>
        <w:tc>
          <w:tcPr>
            <w:tcW w:w="847" w:type="dxa"/>
            <w:vAlign w:val="center"/>
          </w:tcPr>
          <w:p w14:paraId="1DD89216">
            <w:pPr>
              <w:jc w:val="center"/>
              <w:rPr>
                <w:rFonts w:hint="eastAsia" w:ascii="仿宋" w:hAnsi="仿宋" w:eastAsia="仿宋" w:cs="宋体"/>
                <w:b/>
                <w:bCs/>
                <w:color w:val="000000"/>
                <w:kern w:val="0"/>
                <w:sz w:val="24"/>
                <w:highlight w:val="none"/>
              </w:rPr>
            </w:pPr>
            <w:r>
              <w:rPr>
                <w:rFonts w:ascii="仿宋" w:hAnsi="仿宋" w:eastAsia="仿宋" w:cs="宋体"/>
                <w:b/>
                <w:bCs/>
                <w:color w:val="000000"/>
                <w:kern w:val="0"/>
                <w:sz w:val="24"/>
                <w:highlight w:val="none"/>
              </w:rPr>
              <w:t>服务子项</w:t>
            </w:r>
          </w:p>
        </w:tc>
        <w:tc>
          <w:tcPr>
            <w:tcW w:w="6565" w:type="dxa"/>
            <w:vAlign w:val="center"/>
          </w:tcPr>
          <w:p w14:paraId="5827A624">
            <w:pPr>
              <w:jc w:val="center"/>
              <w:rPr>
                <w:rFonts w:hint="eastAsia" w:ascii="仿宋" w:hAnsi="仿宋" w:eastAsia="仿宋" w:cs="宋体"/>
                <w:b/>
                <w:bCs/>
                <w:color w:val="000000"/>
                <w:kern w:val="0"/>
                <w:sz w:val="24"/>
                <w:highlight w:val="none"/>
              </w:rPr>
            </w:pPr>
            <w:r>
              <w:rPr>
                <w:rFonts w:ascii="仿宋" w:hAnsi="仿宋" w:eastAsia="仿宋" w:cs="宋体"/>
                <w:b/>
                <w:bCs/>
                <w:color w:val="000000"/>
                <w:kern w:val="0"/>
                <w:sz w:val="24"/>
                <w:highlight w:val="none"/>
              </w:rPr>
              <w:t>服务要求</w:t>
            </w:r>
          </w:p>
        </w:tc>
      </w:tr>
      <w:tr w14:paraId="6867E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535" w:type="dxa"/>
            <w:vMerge w:val="restart"/>
            <w:vAlign w:val="center"/>
          </w:tcPr>
          <w:p w14:paraId="1623BA89">
            <w:pPr>
              <w:jc w:val="center"/>
              <w:rPr>
                <w:rFonts w:hint="eastAsia" w:ascii="仿宋" w:hAnsi="仿宋" w:eastAsia="仿宋" w:cs="宋体"/>
                <w:color w:val="000000"/>
                <w:kern w:val="0"/>
                <w:sz w:val="24"/>
                <w:highlight w:val="none"/>
              </w:rPr>
            </w:pPr>
            <w:r>
              <w:rPr>
                <w:rFonts w:hint="eastAsia" w:ascii="仿宋" w:hAnsi="仿宋" w:eastAsia="仿宋" w:cs="宋体"/>
                <w:color w:val="000000"/>
                <w:kern w:val="0"/>
                <w:sz w:val="24"/>
                <w:highlight w:val="none"/>
              </w:rPr>
              <w:t>1</w:t>
            </w:r>
          </w:p>
        </w:tc>
        <w:tc>
          <w:tcPr>
            <w:tcW w:w="710" w:type="dxa"/>
            <w:vMerge w:val="restart"/>
            <w:noWrap/>
            <w:vAlign w:val="center"/>
          </w:tcPr>
          <w:p w14:paraId="76CC01E1">
            <w:pPr>
              <w:jc w:val="center"/>
              <w:rPr>
                <w:rFonts w:hint="eastAsia" w:ascii="仿宋" w:hAnsi="仿宋" w:eastAsia="仿宋" w:cs="宋体"/>
                <w:color w:val="000000"/>
                <w:kern w:val="0"/>
                <w:sz w:val="24"/>
                <w:highlight w:val="none"/>
              </w:rPr>
            </w:pPr>
            <w:r>
              <w:rPr>
                <w:rFonts w:hint="eastAsia" w:ascii="仿宋" w:hAnsi="仿宋" w:eastAsia="仿宋" w:cs="宋体"/>
                <w:color w:val="000000"/>
                <w:kern w:val="0"/>
                <w:sz w:val="24"/>
                <w:highlight w:val="none"/>
              </w:rPr>
              <w:t>广西壮族自治区环境保护科学研究院网站升级项目</w:t>
            </w:r>
          </w:p>
        </w:tc>
        <w:tc>
          <w:tcPr>
            <w:tcW w:w="848" w:type="dxa"/>
            <w:vMerge w:val="restart"/>
            <w:vAlign w:val="center"/>
          </w:tcPr>
          <w:p w14:paraId="746DD274">
            <w:pPr>
              <w:jc w:val="center"/>
              <w:rPr>
                <w:rFonts w:hint="eastAsia" w:ascii="仿宋" w:hAnsi="仿宋" w:eastAsia="仿宋" w:cs="宋体"/>
                <w:color w:val="000000"/>
                <w:kern w:val="0"/>
                <w:sz w:val="24"/>
                <w:highlight w:val="none"/>
              </w:rPr>
            </w:pPr>
            <w:r>
              <w:rPr>
                <w:rFonts w:hint="eastAsia" w:ascii="仿宋" w:hAnsi="仿宋" w:eastAsia="仿宋" w:cs="宋体"/>
                <w:color w:val="000000"/>
                <w:kern w:val="0"/>
                <w:sz w:val="24"/>
                <w:highlight w:val="none"/>
              </w:rPr>
              <w:t>中文版网站改版</w:t>
            </w:r>
          </w:p>
        </w:tc>
        <w:tc>
          <w:tcPr>
            <w:tcW w:w="847" w:type="dxa"/>
            <w:vAlign w:val="center"/>
          </w:tcPr>
          <w:p w14:paraId="17B300AB">
            <w:pPr>
              <w:jc w:val="center"/>
              <w:rPr>
                <w:rFonts w:hint="eastAsia" w:ascii="仿宋" w:hAnsi="仿宋" w:eastAsia="仿宋" w:cs="宋体"/>
                <w:color w:val="000000"/>
                <w:kern w:val="0"/>
                <w:sz w:val="24"/>
                <w:highlight w:val="none"/>
              </w:rPr>
            </w:pPr>
            <w:r>
              <w:rPr>
                <w:rFonts w:hint="eastAsia" w:ascii="仿宋" w:hAnsi="仿宋" w:eastAsia="仿宋" w:cs="宋体"/>
                <w:color w:val="000000"/>
                <w:kern w:val="0"/>
                <w:sz w:val="24"/>
                <w:highlight w:val="none"/>
              </w:rPr>
              <w:t>分类调整</w:t>
            </w:r>
          </w:p>
        </w:tc>
        <w:tc>
          <w:tcPr>
            <w:tcW w:w="6565" w:type="dxa"/>
            <w:vAlign w:val="center"/>
          </w:tcPr>
          <w:p w14:paraId="6F5A8098">
            <w:pPr>
              <w:jc w:val="left"/>
              <w:rPr>
                <w:rFonts w:hint="eastAsia" w:ascii="仿宋" w:hAnsi="仿宋" w:eastAsia="仿宋" w:cs="宋体"/>
                <w:color w:val="000000"/>
                <w:kern w:val="0"/>
                <w:sz w:val="24"/>
                <w:highlight w:val="none"/>
              </w:rPr>
            </w:pPr>
            <w:r>
              <w:rPr>
                <w:rFonts w:hint="eastAsia" w:ascii="仿宋" w:hAnsi="仿宋" w:eastAsia="仿宋" w:cs="宋体"/>
                <w:color w:val="000000"/>
                <w:kern w:val="0"/>
                <w:sz w:val="24"/>
                <w:highlight w:val="none"/>
              </w:rPr>
              <w:t>首页、文章列表页、文章内容页、新闻专题页、人物内容页、组织架构专题页、活动列表页、联合研究院专题页、国际交流专题页等重点页面的设计与展示。</w:t>
            </w:r>
          </w:p>
        </w:tc>
      </w:tr>
      <w:tr w14:paraId="0AAE1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35" w:type="dxa"/>
            <w:vMerge w:val="continue"/>
          </w:tcPr>
          <w:p w14:paraId="4D96C0E1">
            <w:pPr>
              <w:jc w:val="center"/>
              <w:rPr>
                <w:rFonts w:hint="eastAsia" w:ascii="仿宋" w:hAnsi="仿宋" w:eastAsia="仿宋" w:cs="宋体"/>
                <w:color w:val="000000"/>
                <w:kern w:val="0"/>
                <w:sz w:val="24"/>
                <w:highlight w:val="none"/>
              </w:rPr>
            </w:pPr>
          </w:p>
        </w:tc>
        <w:tc>
          <w:tcPr>
            <w:tcW w:w="710" w:type="dxa"/>
            <w:vMerge w:val="continue"/>
            <w:noWrap/>
            <w:vAlign w:val="center"/>
          </w:tcPr>
          <w:p w14:paraId="37ACCEBE">
            <w:pPr>
              <w:jc w:val="center"/>
              <w:rPr>
                <w:rFonts w:hint="eastAsia" w:ascii="仿宋" w:hAnsi="仿宋" w:eastAsia="仿宋" w:cs="宋体"/>
                <w:color w:val="000000"/>
                <w:kern w:val="0"/>
                <w:sz w:val="24"/>
                <w:highlight w:val="none"/>
              </w:rPr>
            </w:pPr>
          </w:p>
        </w:tc>
        <w:tc>
          <w:tcPr>
            <w:tcW w:w="848" w:type="dxa"/>
            <w:vMerge w:val="continue"/>
            <w:vAlign w:val="center"/>
          </w:tcPr>
          <w:p w14:paraId="57C04F31">
            <w:pPr>
              <w:jc w:val="left"/>
              <w:rPr>
                <w:rFonts w:hint="eastAsia" w:ascii="仿宋" w:hAnsi="仿宋" w:eastAsia="仿宋" w:cs="宋体"/>
                <w:color w:val="000000"/>
                <w:kern w:val="0"/>
                <w:sz w:val="24"/>
                <w:highlight w:val="none"/>
              </w:rPr>
            </w:pPr>
          </w:p>
        </w:tc>
        <w:tc>
          <w:tcPr>
            <w:tcW w:w="847" w:type="dxa"/>
            <w:vAlign w:val="center"/>
          </w:tcPr>
          <w:p w14:paraId="4D91D162">
            <w:pPr>
              <w:jc w:val="center"/>
              <w:rPr>
                <w:rFonts w:hint="eastAsia" w:ascii="仿宋" w:hAnsi="仿宋" w:eastAsia="仿宋" w:cs="宋体"/>
                <w:color w:val="000000"/>
                <w:kern w:val="0"/>
                <w:sz w:val="24"/>
                <w:highlight w:val="none"/>
              </w:rPr>
            </w:pPr>
            <w:r>
              <w:rPr>
                <w:rFonts w:hint="eastAsia" w:ascii="仿宋" w:hAnsi="仿宋" w:eastAsia="仿宋" w:cs="宋体"/>
                <w:color w:val="000000"/>
                <w:kern w:val="0"/>
                <w:sz w:val="24"/>
                <w:highlight w:val="none"/>
              </w:rPr>
              <w:t>首页设计改版</w:t>
            </w:r>
          </w:p>
        </w:tc>
        <w:tc>
          <w:tcPr>
            <w:tcW w:w="6565" w:type="dxa"/>
            <w:vAlign w:val="center"/>
          </w:tcPr>
          <w:p w14:paraId="67717960">
            <w:pPr>
              <w:jc w:val="left"/>
              <w:rPr>
                <w:rFonts w:hint="eastAsia" w:ascii="仿宋" w:hAnsi="仿宋" w:eastAsia="仿宋" w:cs="宋体"/>
                <w:color w:val="000000"/>
                <w:kern w:val="0"/>
                <w:sz w:val="24"/>
                <w:highlight w:val="none"/>
              </w:rPr>
            </w:pPr>
            <w:r>
              <w:rPr>
                <w:rFonts w:hint="eastAsia" w:ascii="仿宋" w:hAnsi="仿宋" w:eastAsia="仿宋" w:cs="宋体"/>
                <w:color w:val="000000"/>
                <w:kern w:val="0"/>
                <w:sz w:val="24"/>
                <w:highlight w:val="none"/>
              </w:rPr>
              <w:t>对首页工作动态、通知公告模块进行改版调整。</w:t>
            </w:r>
          </w:p>
        </w:tc>
      </w:tr>
      <w:tr w14:paraId="3166A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535" w:type="dxa"/>
            <w:vMerge w:val="continue"/>
          </w:tcPr>
          <w:p w14:paraId="06B20A53">
            <w:pPr>
              <w:jc w:val="center"/>
              <w:rPr>
                <w:rFonts w:hint="eastAsia" w:ascii="仿宋" w:hAnsi="仿宋" w:eastAsia="仿宋" w:cs="宋体"/>
                <w:color w:val="000000"/>
                <w:kern w:val="0"/>
                <w:sz w:val="24"/>
                <w:highlight w:val="none"/>
              </w:rPr>
            </w:pPr>
          </w:p>
        </w:tc>
        <w:tc>
          <w:tcPr>
            <w:tcW w:w="710" w:type="dxa"/>
            <w:vMerge w:val="continue"/>
            <w:noWrap/>
            <w:vAlign w:val="center"/>
          </w:tcPr>
          <w:p w14:paraId="006CCF6A">
            <w:pPr>
              <w:jc w:val="center"/>
              <w:rPr>
                <w:rFonts w:hint="eastAsia" w:ascii="仿宋" w:hAnsi="仿宋" w:eastAsia="仿宋" w:cs="宋体"/>
                <w:color w:val="000000"/>
                <w:kern w:val="0"/>
                <w:sz w:val="24"/>
                <w:highlight w:val="none"/>
              </w:rPr>
            </w:pPr>
          </w:p>
        </w:tc>
        <w:tc>
          <w:tcPr>
            <w:tcW w:w="848" w:type="dxa"/>
            <w:vMerge w:val="restart"/>
            <w:vAlign w:val="center"/>
          </w:tcPr>
          <w:p w14:paraId="2D7DD521">
            <w:pPr>
              <w:jc w:val="center"/>
              <w:rPr>
                <w:rFonts w:hint="eastAsia" w:ascii="仿宋" w:hAnsi="仿宋" w:eastAsia="仿宋" w:cs="宋体"/>
                <w:color w:val="000000"/>
                <w:kern w:val="0"/>
                <w:sz w:val="24"/>
                <w:highlight w:val="none"/>
              </w:rPr>
            </w:pPr>
            <w:r>
              <w:rPr>
                <w:rFonts w:hint="eastAsia" w:ascii="仿宋" w:hAnsi="仿宋" w:eastAsia="仿宋" w:cs="宋体"/>
                <w:color w:val="000000"/>
                <w:kern w:val="0"/>
                <w:sz w:val="24"/>
                <w:highlight w:val="none"/>
              </w:rPr>
              <w:t>英文版子站建设</w:t>
            </w:r>
          </w:p>
        </w:tc>
        <w:tc>
          <w:tcPr>
            <w:tcW w:w="847" w:type="dxa"/>
            <w:vAlign w:val="center"/>
          </w:tcPr>
          <w:p w14:paraId="5FD096D9">
            <w:pPr>
              <w:jc w:val="center"/>
              <w:rPr>
                <w:rFonts w:hint="eastAsia" w:ascii="仿宋" w:hAnsi="仿宋" w:eastAsia="仿宋" w:cs="宋体"/>
                <w:color w:val="000000"/>
                <w:kern w:val="0"/>
                <w:sz w:val="24"/>
                <w:highlight w:val="none"/>
              </w:rPr>
            </w:pPr>
            <w:r>
              <w:rPr>
                <w:rFonts w:hint="eastAsia" w:ascii="仿宋" w:hAnsi="仿宋" w:eastAsia="仿宋" w:cs="宋体"/>
                <w:color w:val="000000"/>
                <w:kern w:val="0"/>
                <w:sz w:val="24"/>
                <w:highlight w:val="none"/>
              </w:rPr>
              <w:t>子站搭建</w:t>
            </w:r>
          </w:p>
        </w:tc>
        <w:tc>
          <w:tcPr>
            <w:tcW w:w="6565" w:type="dxa"/>
            <w:vAlign w:val="center"/>
          </w:tcPr>
          <w:p w14:paraId="49AABBBF">
            <w:pPr>
              <w:jc w:val="left"/>
              <w:rPr>
                <w:rFonts w:hint="eastAsia" w:ascii="仿宋" w:hAnsi="仿宋" w:eastAsia="仿宋" w:cs="宋体"/>
                <w:color w:val="000000"/>
                <w:kern w:val="0"/>
                <w:sz w:val="24"/>
                <w:highlight w:val="none"/>
              </w:rPr>
            </w:pPr>
            <w:r>
              <w:rPr>
                <w:rFonts w:hint="eastAsia" w:ascii="仿宋" w:hAnsi="仿宋" w:eastAsia="仿宋" w:cs="宋体"/>
                <w:color w:val="000000"/>
                <w:kern w:val="0"/>
                <w:sz w:val="24"/>
                <w:highlight w:val="none"/>
              </w:rPr>
              <w:t>首页、文章列表页、文章内容页、新闻专题页、人物内容页、组织架构专题页、活动列表页、联合研究院专题页、国际交流专题页等重点页面的设计与展示。</w:t>
            </w:r>
          </w:p>
        </w:tc>
      </w:tr>
      <w:tr w14:paraId="0DDBA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5" w:hRule="atLeast"/>
        </w:trPr>
        <w:tc>
          <w:tcPr>
            <w:tcW w:w="535" w:type="dxa"/>
            <w:vMerge w:val="continue"/>
          </w:tcPr>
          <w:p w14:paraId="4FC0DFB7">
            <w:pPr>
              <w:jc w:val="center"/>
              <w:rPr>
                <w:rFonts w:hint="eastAsia" w:ascii="仿宋" w:hAnsi="仿宋" w:eastAsia="仿宋" w:cs="宋体"/>
                <w:color w:val="000000"/>
                <w:kern w:val="0"/>
                <w:sz w:val="24"/>
                <w:highlight w:val="none"/>
              </w:rPr>
            </w:pPr>
          </w:p>
        </w:tc>
        <w:tc>
          <w:tcPr>
            <w:tcW w:w="710" w:type="dxa"/>
            <w:vMerge w:val="continue"/>
            <w:noWrap/>
            <w:vAlign w:val="center"/>
          </w:tcPr>
          <w:p w14:paraId="585ECC7E">
            <w:pPr>
              <w:jc w:val="center"/>
              <w:rPr>
                <w:rFonts w:hint="eastAsia" w:ascii="仿宋" w:hAnsi="仿宋" w:eastAsia="仿宋" w:cs="宋体"/>
                <w:color w:val="000000"/>
                <w:kern w:val="0"/>
                <w:sz w:val="24"/>
                <w:highlight w:val="none"/>
              </w:rPr>
            </w:pPr>
          </w:p>
        </w:tc>
        <w:tc>
          <w:tcPr>
            <w:tcW w:w="848" w:type="dxa"/>
            <w:vMerge w:val="continue"/>
            <w:vAlign w:val="center"/>
          </w:tcPr>
          <w:p w14:paraId="0F91BC77">
            <w:pPr>
              <w:jc w:val="left"/>
              <w:rPr>
                <w:rFonts w:hint="eastAsia" w:ascii="仿宋" w:hAnsi="仿宋" w:eastAsia="仿宋" w:cs="宋体"/>
                <w:color w:val="000000"/>
                <w:kern w:val="0"/>
                <w:sz w:val="24"/>
                <w:highlight w:val="none"/>
              </w:rPr>
            </w:pPr>
          </w:p>
        </w:tc>
        <w:tc>
          <w:tcPr>
            <w:tcW w:w="847" w:type="dxa"/>
            <w:vAlign w:val="center"/>
          </w:tcPr>
          <w:p w14:paraId="7E310511">
            <w:pPr>
              <w:jc w:val="center"/>
              <w:rPr>
                <w:rFonts w:hint="eastAsia" w:ascii="仿宋" w:hAnsi="仿宋" w:eastAsia="仿宋" w:cs="宋体"/>
                <w:color w:val="000000"/>
                <w:kern w:val="0"/>
                <w:sz w:val="24"/>
                <w:highlight w:val="none"/>
              </w:rPr>
            </w:pPr>
            <w:r>
              <w:rPr>
                <w:rFonts w:hint="eastAsia" w:ascii="仿宋" w:hAnsi="仿宋" w:eastAsia="仿宋" w:cs="宋体"/>
                <w:color w:val="000000"/>
                <w:kern w:val="0"/>
                <w:sz w:val="24"/>
                <w:highlight w:val="none"/>
              </w:rPr>
              <w:t>整站风格设计</w:t>
            </w:r>
          </w:p>
        </w:tc>
        <w:tc>
          <w:tcPr>
            <w:tcW w:w="6565" w:type="dxa"/>
            <w:vAlign w:val="center"/>
          </w:tcPr>
          <w:p w14:paraId="434006C8">
            <w:pPr>
              <w:jc w:val="left"/>
              <w:rPr>
                <w:rFonts w:hint="eastAsia" w:ascii="仿宋" w:hAnsi="仿宋" w:eastAsia="仿宋" w:cs="宋体"/>
                <w:color w:val="000000"/>
                <w:kern w:val="0"/>
                <w:sz w:val="24"/>
                <w:highlight w:val="none"/>
              </w:rPr>
            </w:pPr>
            <w:r>
              <w:rPr>
                <w:rFonts w:hint="eastAsia" w:ascii="仿宋" w:hAnsi="仿宋" w:eastAsia="仿宋" w:cs="宋体"/>
                <w:color w:val="000000"/>
                <w:kern w:val="0"/>
                <w:sz w:val="24"/>
                <w:highlight w:val="none"/>
              </w:rPr>
              <w:t>unep风格、需包含中国、广西等元素，页面主题配色需与院徽遥相呼应呈蓝白结合，画面表达体现大气简约、积极向上、开放包容、主权及治理的主题效果。全站整体页面布局采用上中下结构，分为顶部通栏（黑）、顶部通栏（白、含logo）、内容模块部分、底部通栏。其中，顶部通栏（黑）需包含news、events入口，language下拉菜单、search输入框；顶部通栏（白）需包含logo、栏目导航；中部为各页内容部分，背景呈白色；底部通栏需包含网站栏目地图、友情链接、logo、备案及版权信息，背景呈蓝色。</w:t>
            </w:r>
          </w:p>
        </w:tc>
      </w:tr>
      <w:tr w14:paraId="20048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0" w:hRule="atLeast"/>
        </w:trPr>
        <w:tc>
          <w:tcPr>
            <w:tcW w:w="535" w:type="dxa"/>
            <w:vMerge w:val="continue"/>
          </w:tcPr>
          <w:p w14:paraId="07973206">
            <w:pPr>
              <w:jc w:val="center"/>
              <w:rPr>
                <w:rFonts w:hint="eastAsia" w:ascii="仿宋" w:hAnsi="仿宋" w:eastAsia="仿宋" w:cs="宋体"/>
                <w:color w:val="000000"/>
                <w:kern w:val="0"/>
                <w:sz w:val="24"/>
                <w:highlight w:val="none"/>
              </w:rPr>
            </w:pPr>
          </w:p>
        </w:tc>
        <w:tc>
          <w:tcPr>
            <w:tcW w:w="710" w:type="dxa"/>
            <w:vMerge w:val="continue"/>
            <w:noWrap/>
            <w:vAlign w:val="center"/>
          </w:tcPr>
          <w:p w14:paraId="66D60104">
            <w:pPr>
              <w:jc w:val="center"/>
              <w:rPr>
                <w:rFonts w:hint="eastAsia" w:ascii="仿宋" w:hAnsi="仿宋" w:eastAsia="仿宋" w:cs="宋体"/>
                <w:color w:val="000000"/>
                <w:kern w:val="0"/>
                <w:sz w:val="24"/>
                <w:highlight w:val="none"/>
              </w:rPr>
            </w:pPr>
          </w:p>
        </w:tc>
        <w:tc>
          <w:tcPr>
            <w:tcW w:w="848" w:type="dxa"/>
            <w:vMerge w:val="continue"/>
            <w:vAlign w:val="center"/>
          </w:tcPr>
          <w:p w14:paraId="3D09B455">
            <w:pPr>
              <w:jc w:val="left"/>
              <w:rPr>
                <w:rFonts w:hint="eastAsia" w:ascii="仿宋" w:hAnsi="仿宋" w:eastAsia="仿宋" w:cs="宋体"/>
                <w:color w:val="000000"/>
                <w:kern w:val="0"/>
                <w:sz w:val="24"/>
                <w:highlight w:val="none"/>
              </w:rPr>
            </w:pPr>
          </w:p>
        </w:tc>
        <w:tc>
          <w:tcPr>
            <w:tcW w:w="847" w:type="dxa"/>
            <w:vAlign w:val="center"/>
          </w:tcPr>
          <w:p w14:paraId="1ED41F92">
            <w:pPr>
              <w:jc w:val="center"/>
              <w:rPr>
                <w:rFonts w:hint="eastAsia" w:ascii="仿宋" w:hAnsi="仿宋" w:eastAsia="仿宋" w:cs="宋体"/>
                <w:color w:val="000000"/>
                <w:kern w:val="0"/>
                <w:sz w:val="24"/>
                <w:highlight w:val="none"/>
              </w:rPr>
            </w:pPr>
            <w:r>
              <w:rPr>
                <w:rFonts w:hint="eastAsia" w:ascii="仿宋" w:hAnsi="仿宋" w:eastAsia="仿宋" w:cs="宋体"/>
                <w:color w:val="000000"/>
                <w:kern w:val="0"/>
                <w:sz w:val="24"/>
                <w:highlight w:val="none"/>
              </w:rPr>
              <w:t>首页设计开发</w:t>
            </w:r>
          </w:p>
        </w:tc>
        <w:tc>
          <w:tcPr>
            <w:tcW w:w="6565" w:type="dxa"/>
            <w:vAlign w:val="center"/>
          </w:tcPr>
          <w:p w14:paraId="7178D066">
            <w:pPr>
              <w:jc w:val="left"/>
              <w:rPr>
                <w:rFonts w:hint="eastAsia" w:ascii="仿宋" w:hAnsi="仿宋" w:eastAsia="仿宋" w:cs="宋体"/>
                <w:color w:val="000000"/>
                <w:kern w:val="0"/>
                <w:sz w:val="24"/>
                <w:highlight w:val="none"/>
              </w:rPr>
            </w:pPr>
            <w:r>
              <w:rPr>
                <w:rFonts w:hint="eastAsia" w:ascii="仿宋" w:hAnsi="仿宋" w:eastAsia="仿宋" w:cs="宋体"/>
                <w:color w:val="000000"/>
                <w:kern w:val="0"/>
                <w:sz w:val="24"/>
                <w:highlight w:val="none"/>
              </w:rPr>
              <w:t>首页的内容部分为新闻置顶模块、活动专题模块、新闻摘要模块、活动信息模块。其中，新闻置顶模块由4个不规则矩形内容框组成，每个内容框中包含文章标题，其中三个包含文章封面图；活动专题模块有横向图文摘要组成，可以根据不同活动使用箭头切换图片，图片表达为一张高清背景大图，下拉过程中背景图片位置不变，模块文字及封面图随鼠标手势移动，箭头切换专题时背景图片随之变换；新闻摘要模块为两行三列一共六组图文摘要，每个小模块包含文章封面图、发布日期及文章标题，在模块底部有see more按钮；活动信息模块为横向左右布局，左侧有文章封面图、右侧为活动的文章标题列表，鼠标经过文章标题时自动切换当下文章的封面图，文章标题列表包含文章标题、发布日期及活动类型。</w:t>
            </w:r>
          </w:p>
        </w:tc>
      </w:tr>
      <w:tr w14:paraId="25B93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535" w:type="dxa"/>
            <w:vMerge w:val="continue"/>
          </w:tcPr>
          <w:p w14:paraId="32ABFC82">
            <w:pPr>
              <w:jc w:val="center"/>
              <w:rPr>
                <w:rFonts w:hint="eastAsia" w:ascii="仿宋" w:hAnsi="仿宋" w:eastAsia="仿宋" w:cs="宋体"/>
                <w:color w:val="000000"/>
                <w:kern w:val="0"/>
                <w:sz w:val="24"/>
                <w:highlight w:val="none"/>
              </w:rPr>
            </w:pPr>
          </w:p>
        </w:tc>
        <w:tc>
          <w:tcPr>
            <w:tcW w:w="710" w:type="dxa"/>
            <w:vMerge w:val="continue"/>
            <w:noWrap/>
            <w:vAlign w:val="center"/>
          </w:tcPr>
          <w:p w14:paraId="2E78AC27">
            <w:pPr>
              <w:jc w:val="center"/>
              <w:rPr>
                <w:rFonts w:hint="eastAsia" w:ascii="仿宋" w:hAnsi="仿宋" w:eastAsia="仿宋" w:cs="宋体"/>
                <w:color w:val="000000"/>
                <w:kern w:val="0"/>
                <w:sz w:val="24"/>
                <w:highlight w:val="none"/>
              </w:rPr>
            </w:pPr>
          </w:p>
        </w:tc>
        <w:tc>
          <w:tcPr>
            <w:tcW w:w="848" w:type="dxa"/>
            <w:vMerge w:val="continue"/>
            <w:vAlign w:val="center"/>
          </w:tcPr>
          <w:p w14:paraId="4347D09F">
            <w:pPr>
              <w:jc w:val="left"/>
              <w:rPr>
                <w:rFonts w:hint="eastAsia" w:ascii="仿宋" w:hAnsi="仿宋" w:eastAsia="仿宋" w:cs="宋体"/>
                <w:color w:val="000000"/>
                <w:kern w:val="0"/>
                <w:sz w:val="24"/>
                <w:highlight w:val="none"/>
              </w:rPr>
            </w:pPr>
          </w:p>
        </w:tc>
        <w:tc>
          <w:tcPr>
            <w:tcW w:w="847" w:type="dxa"/>
            <w:vAlign w:val="center"/>
          </w:tcPr>
          <w:p w14:paraId="38A45A0C">
            <w:pPr>
              <w:jc w:val="center"/>
              <w:rPr>
                <w:rFonts w:hint="eastAsia" w:ascii="仿宋" w:hAnsi="仿宋" w:eastAsia="仿宋" w:cs="宋体"/>
                <w:color w:val="000000"/>
                <w:kern w:val="0"/>
                <w:sz w:val="24"/>
                <w:highlight w:val="none"/>
              </w:rPr>
            </w:pPr>
            <w:r>
              <w:rPr>
                <w:rFonts w:hint="eastAsia" w:ascii="仿宋" w:hAnsi="仿宋" w:eastAsia="仿宋" w:cs="宋体"/>
                <w:color w:val="000000"/>
                <w:kern w:val="0"/>
                <w:sz w:val="24"/>
                <w:highlight w:val="none"/>
              </w:rPr>
              <w:t>文章列表页设计开发</w:t>
            </w:r>
          </w:p>
        </w:tc>
        <w:tc>
          <w:tcPr>
            <w:tcW w:w="6565" w:type="dxa"/>
            <w:vAlign w:val="center"/>
          </w:tcPr>
          <w:p w14:paraId="75E891EC">
            <w:pPr>
              <w:jc w:val="left"/>
              <w:rPr>
                <w:rFonts w:hint="eastAsia" w:ascii="仿宋" w:hAnsi="仿宋" w:eastAsia="仿宋" w:cs="宋体"/>
                <w:color w:val="000000"/>
                <w:kern w:val="0"/>
                <w:sz w:val="24"/>
                <w:highlight w:val="none"/>
              </w:rPr>
            </w:pPr>
            <w:r>
              <w:rPr>
                <w:rFonts w:hint="eastAsia" w:ascii="仿宋" w:hAnsi="仿宋" w:eastAsia="仿宋" w:cs="宋体"/>
                <w:color w:val="000000"/>
                <w:kern w:val="0"/>
                <w:sz w:val="24"/>
                <w:highlight w:val="none"/>
              </w:rPr>
              <w:t>文章列表页内容部分为上下左右结构，上部为banner图，图片悬浮栏目路径、栏目名称；下部为左右结构，左侧为文章图文摘要，包含文章标题、发布时间、文章内容摘要、文章封面图，右侧为栏目列表，并展开该栏目下的所有二级栏目列表。</w:t>
            </w:r>
          </w:p>
        </w:tc>
      </w:tr>
      <w:tr w14:paraId="669A1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35" w:type="dxa"/>
            <w:vMerge w:val="continue"/>
          </w:tcPr>
          <w:p w14:paraId="57114574">
            <w:pPr>
              <w:jc w:val="center"/>
              <w:rPr>
                <w:rFonts w:hint="eastAsia" w:ascii="仿宋" w:hAnsi="仿宋" w:eastAsia="仿宋" w:cs="宋体"/>
                <w:color w:val="000000"/>
                <w:kern w:val="0"/>
                <w:sz w:val="24"/>
                <w:highlight w:val="none"/>
              </w:rPr>
            </w:pPr>
          </w:p>
        </w:tc>
        <w:tc>
          <w:tcPr>
            <w:tcW w:w="710" w:type="dxa"/>
            <w:vMerge w:val="continue"/>
            <w:noWrap/>
            <w:vAlign w:val="center"/>
          </w:tcPr>
          <w:p w14:paraId="67E63C76">
            <w:pPr>
              <w:jc w:val="center"/>
              <w:rPr>
                <w:rFonts w:hint="eastAsia" w:ascii="仿宋" w:hAnsi="仿宋" w:eastAsia="仿宋" w:cs="宋体"/>
                <w:color w:val="000000"/>
                <w:kern w:val="0"/>
                <w:sz w:val="24"/>
                <w:highlight w:val="none"/>
              </w:rPr>
            </w:pPr>
          </w:p>
        </w:tc>
        <w:tc>
          <w:tcPr>
            <w:tcW w:w="848" w:type="dxa"/>
            <w:vMerge w:val="continue"/>
            <w:vAlign w:val="center"/>
          </w:tcPr>
          <w:p w14:paraId="74BBDC29">
            <w:pPr>
              <w:jc w:val="left"/>
              <w:rPr>
                <w:rFonts w:hint="eastAsia" w:ascii="仿宋" w:hAnsi="仿宋" w:eastAsia="仿宋" w:cs="宋体"/>
                <w:color w:val="000000"/>
                <w:kern w:val="0"/>
                <w:sz w:val="24"/>
                <w:highlight w:val="none"/>
              </w:rPr>
            </w:pPr>
          </w:p>
        </w:tc>
        <w:tc>
          <w:tcPr>
            <w:tcW w:w="847" w:type="dxa"/>
            <w:vAlign w:val="center"/>
          </w:tcPr>
          <w:p w14:paraId="73B2C90A">
            <w:pPr>
              <w:jc w:val="center"/>
              <w:rPr>
                <w:rFonts w:hint="eastAsia" w:ascii="仿宋" w:hAnsi="仿宋" w:eastAsia="仿宋" w:cs="宋体"/>
                <w:color w:val="000000"/>
                <w:kern w:val="0"/>
                <w:sz w:val="24"/>
                <w:highlight w:val="none"/>
              </w:rPr>
            </w:pPr>
            <w:r>
              <w:rPr>
                <w:rFonts w:hint="eastAsia" w:ascii="仿宋" w:hAnsi="仿宋" w:eastAsia="仿宋" w:cs="宋体"/>
                <w:color w:val="000000"/>
                <w:kern w:val="0"/>
                <w:sz w:val="24"/>
                <w:highlight w:val="none"/>
              </w:rPr>
              <w:t>文章内容页设计开发</w:t>
            </w:r>
          </w:p>
        </w:tc>
        <w:tc>
          <w:tcPr>
            <w:tcW w:w="6565" w:type="dxa"/>
            <w:vAlign w:val="center"/>
          </w:tcPr>
          <w:p w14:paraId="1A6DE830">
            <w:pPr>
              <w:jc w:val="left"/>
              <w:rPr>
                <w:rFonts w:hint="eastAsia" w:ascii="仿宋" w:hAnsi="仿宋" w:eastAsia="仿宋" w:cs="宋体"/>
                <w:color w:val="000000"/>
                <w:kern w:val="0"/>
                <w:sz w:val="24"/>
                <w:highlight w:val="none"/>
              </w:rPr>
            </w:pPr>
            <w:r>
              <w:rPr>
                <w:rFonts w:hint="eastAsia" w:ascii="仿宋" w:hAnsi="仿宋" w:eastAsia="仿宋" w:cs="宋体"/>
                <w:color w:val="000000"/>
                <w:kern w:val="0"/>
                <w:sz w:val="24"/>
                <w:highlight w:val="none"/>
              </w:rPr>
              <w:t>文章内容页内容部分为富文本，包含内容卡片。</w:t>
            </w:r>
          </w:p>
        </w:tc>
      </w:tr>
      <w:tr w14:paraId="4118B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0" w:hRule="atLeast"/>
        </w:trPr>
        <w:tc>
          <w:tcPr>
            <w:tcW w:w="535" w:type="dxa"/>
            <w:vMerge w:val="continue"/>
          </w:tcPr>
          <w:p w14:paraId="0E431AF4">
            <w:pPr>
              <w:jc w:val="center"/>
              <w:rPr>
                <w:rFonts w:hint="eastAsia" w:ascii="仿宋" w:hAnsi="仿宋" w:eastAsia="仿宋" w:cs="宋体"/>
                <w:color w:val="000000"/>
                <w:kern w:val="0"/>
                <w:sz w:val="24"/>
                <w:highlight w:val="none"/>
              </w:rPr>
            </w:pPr>
          </w:p>
        </w:tc>
        <w:tc>
          <w:tcPr>
            <w:tcW w:w="710" w:type="dxa"/>
            <w:vMerge w:val="continue"/>
            <w:noWrap/>
            <w:vAlign w:val="center"/>
          </w:tcPr>
          <w:p w14:paraId="6C7282A2">
            <w:pPr>
              <w:jc w:val="center"/>
              <w:rPr>
                <w:rFonts w:hint="eastAsia" w:ascii="仿宋" w:hAnsi="仿宋" w:eastAsia="仿宋" w:cs="宋体"/>
                <w:color w:val="000000"/>
                <w:kern w:val="0"/>
                <w:sz w:val="24"/>
                <w:highlight w:val="none"/>
              </w:rPr>
            </w:pPr>
          </w:p>
        </w:tc>
        <w:tc>
          <w:tcPr>
            <w:tcW w:w="848" w:type="dxa"/>
            <w:vMerge w:val="continue"/>
            <w:vAlign w:val="center"/>
          </w:tcPr>
          <w:p w14:paraId="4A3D5430">
            <w:pPr>
              <w:jc w:val="left"/>
              <w:rPr>
                <w:rFonts w:hint="eastAsia" w:ascii="仿宋" w:hAnsi="仿宋" w:eastAsia="仿宋" w:cs="宋体"/>
                <w:color w:val="000000"/>
                <w:kern w:val="0"/>
                <w:sz w:val="24"/>
                <w:highlight w:val="none"/>
              </w:rPr>
            </w:pPr>
          </w:p>
        </w:tc>
        <w:tc>
          <w:tcPr>
            <w:tcW w:w="847" w:type="dxa"/>
            <w:vAlign w:val="center"/>
          </w:tcPr>
          <w:p w14:paraId="5293F3BA">
            <w:pPr>
              <w:jc w:val="center"/>
              <w:rPr>
                <w:rFonts w:hint="eastAsia" w:ascii="仿宋" w:hAnsi="仿宋" w:eastAsia="仿宋" w:cs="宋体"/>
                <w:color w:val="000000"/>
                <w:kern w:val="0"/>
                <w:sz w:val="24"/>
                <w:highlight w:val="none"/>
              </w:rPr>
            </w:pPr>
            <w:r>
              <w:rPr>
                <w:rFonts w:hint="eastAsia" w:ascii="仿宋" w:hAnsi="仿宋" w:eastAsia="仿宋" w:cs="宋体"/>
                <w:color w:val="000000"/>
                <w:kern w:val="0"/>
                <w:sz w:val="24"/>
                <w:highlight w:val="none"/>
              </w:rPr>
              <w:t>新闻专题页设计开发</w:t>
            </w:r>
          </w:p>
        </w:tc>
        <w:tc>
          <w:tcPr>
            <w:tcW w:w="6565" w:type="dxa"/>
            <w:vAlign w:val="center"/>
          </w:tcPr>
          <w:p w14:paraId="220A3682">
            <w:pPr>
              <w:jc w:val="left"/>
              <w:rPr>
                <w:rFonts w:hint="eastAsia" w:ascii="仿宋" w:hAnsi="仿宋" w:eastAsia="仿宋" w:cs="宋体"/>
                <w:color w:val="000000"/>
                <w:kern w:val="0"/>
                <w:sz w:val="24"/>
                <w:highlight w:val="none"/>
              </w:rPr>
            </w:pPr>
            <w:r>
              <w:rPr>
                <w:rFonts w:hint="eastAsia" w:ascii="仿宋" w:hAnsi="仿宋" w:eastAsia="仿宋" w:cs="宋体"/>
                <w:color w:val="000000"/>
                <w:kern w:val="0"/>
                <w:sz w:val="24"/>
                <w:highlight w:val="none"/>
              </w:rPr>
              <w:t>新闻专题页的内容为新闻置顶模块和新闻摘要模块，其中新闻置顶模块为5个不规则矩形图文摘要模块快，每个图文摘要模块包含文章标题、发布时间，其中三个图文摘要模块包含文章封面图作为背景，另两个为纯色背景，分别为黑色和蓝色；新闻摘要模块为上下结构，上部为左右分布两个图文摘要模块，包含封面图作为背景、文章标题及发布时间；下部为两行三列六个图文摘要模块，均包含封面图作为背景、发布时间及文章标题，在整个新闻摘要模块底部有see all news按钮。</w:t>
            </w:r>
          </w:p>
        </w:tc>
      </w:tr>
      <w:tr w14:paraId="70945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535" w:type="dxa"/>
            <w:vMerge w:val="continue"/>
          </w:tcPr>
          <w:p w14:paraId="7DAD4A6C">
            <w:pPr>
              <w:jc w:val="center"/>
              <w:rPr>
                <w:rFonts w:hint="eastAsia" w:ascii="仿宋" w:hAnsi="仿宋" w:eastAsia="仿宋" w:cs="宋体"/>
                <w:color w:val="000000"/>
                <w:kern w:val="0"/>
                <w:sz w:val="24"/>
                <w:highlight w:val="none"/>
              </w:rPr>
            </w:pPr>
          </w:p>
        </w:tc>
        <w:tc>
          <w:tcPr>
            <w:tcW w:w="710" w:type="dxa"/>
            <w:vMerge w:val="continue"/>
            <w:noWrap/>
            <w:vAlign w:val="center"/>
          </w:tcPr>
          <w:p w14:paraId="6C52BE3F">
            <w:pPr>
              <w:jc w:val="center"/>
              <w:rPr>
                <w:rFonts w:hint="eastAsia" w:ascii="仿宋" w:hAnsi="仿宋" w:eastAsia="仿宋" w:cs="宋体"/>
                <w:color w:val="000000"/>
                <w:kern w:val="0"/>
                <w:sz w:val="24"/>
                <w:highlight w:val="none"/>
              </w:rPr>
            </w:pPr>
          </w:p>
        </w:tc>
        <w:tc>
          <w:tcPr>
            <w:tcW w:w="848" w:type="dxa"/>
            <w:vMerge w:val="continue"/>
            <w:vAlign w:val="center"/>
          </w:tcPr>
          <w:p w14:paraId="0A2C7EDC">
            <w:pPr>
              <w:jc w:val="left"/>
              <w:rPr>
                <w:rFonts w:hint="eastAsia" w:ascii="仿宋" w:hAnsi="仿宋" w:eastAsia="仿宋" w:cs="宋体"/>
                <w:color w:val="000000"/>
                <w:kern w:val="0"/>
                <w:sz w:val="24"/>
                <w:highlight w:val="none"/>
              </w:rPr>
            </w:pPr>
          </w:p>
        </w:tc>
        <w:tc>
          <w:tcPr>
            <w:tcW w:w="847" w:type="dxa"/>
            <w:vAlign w:val="center"/>
          </w:tcPr>
          <w:p w14:paraId="0FAF10FF">
            <w:pPr>
              <w:jc w:val="center"/>
              <w:rPr>
                <w:rFonts w:hint="eastAsia" w:ascii="仿宋" w:hAnsi="仿宋" w:eastAsia="仿宋" w:cs="宋体"/>
                <w:color w:val="000000"/>
                <w:kern w:val="0"/>
                <w:sz w:val="24"/>
                <w:highlight w:val="none"/>
              </w:rPr>
            </w:pPr>
            <w:r>
              <w:rPr>
                <w:rFonts w:hint="eastAsia" w:ascii="仿宋" w:hAnsi="仿宋" w:eastAsia="仿宋" w:cs="宋体"/>
                <w:color w:val="000000"/>
                <w:kern w:val="0"/>
                <w:sz w:val="24"/>
                <w:highlight w:val="none"/>
              </w:rPr>
              <w:t>人物内容页设计开发</w:t>
            </w:r>
          </w:p>
        </w:tc>
        <w:tc>
          <w:tcPr>
            <w:tcW w:w="6565" w:type="dxa"/>
            <w:vAlign w:val="center"/>
          </w:tcPr>
          <w:p w14:paraId="19C75120">
            <w:pPr>
              <w:jc w:val="left"/>
              <w:rPr>
                <w:rFonts w:hint="eastAsia" w:ascii="仿宋" w:hAnsi="仿宋" w:eastAsia="仿宋" w:cs="宋体"/>
                <w:color w:val="000000"/>
                <w:kern w:val="0"/>
                <w:sz w:val="24"/>
                <w:highlight w:val="none"/>
              </w:rPr>
            </w:pPr>
            <w:r>
              <w:rPr>
                <w:rFonts w:hint="eastAsia" w:ascii="仿宋" w:hAnsi="仿宋" w:eastAsia="仿宋" w:cs="宋体"/>
                <w:color w:val="000000"/>
                <w:kern w:val="0"/>
                <w:sz w:val="24"/>
                <w:highlight w:val="none"/>
              </w:rPr>
              <w:t>人物内容页内容部分为左右结构，左侧部分为上下结构，上部包含职位及头衔、荣誉，下部包含人物姓名及人物详情介绍；右侧为上下结构，上部为人物图片，下部为联系方式及社交账号。</w:t>
            </w:r>
          </w:p>
        </w:tc>
      </w:tr>
      <w:tr w14:paraId="7A4D5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35" w:type="dxa"/>
            <w:vMerge w:val="continue"/>
          </w:tcPr>
          <w:p w14:paraId="198EF70F">
            <w:pPr>
              <w:jc w:val="center"/>
              <w:rPr>
                <w:rFonts w:hint="eastAsia" w:ascii="仿宋" w:hAnsi="仿宋" w:eastAsia="仿宋" w:cs="宋体"/>
                <w:color w:val="000000"/>
                <w:kern w:val="0"/>
                <w:sz w:val="24"/>
                <w:highlight w:val="none"/>
              </w:rPr>
            </w:pPr>
          </w:p>
        </w:tc>
        <w:tc>
          <w:tcPr>
            <w:tcW w:w="710" w:type="dxa"/>
            <w:vMerge w:val="continue"/>
            <w:noWrap/>
            <w:vAlign w:val="center"/>
          </w:tcPr>
          <w:p w14:paraId="1B85DC03">
            <w:pPr>
              <w:jc w:val="center"/>
              <w:rPr>
                <w:rFonts w:hint="eastAsia" w:ascii="仿宋" w:hAnsi="仿宋" w:eastAsia="仿宋" w:cs="宋体"/>
                <w:color w:val="000000"/>
                <w:kern w:val="0"/>
                <w:sz w:val="24"/>
                <w:highlight w:val="none"/>
              </w:rPr>
            </w:pPr>
          </w:p>
        </w:tc>
        <w:tc>
          <w:tcPr>
            <w:tcW w:w="848" w:type="dxa"/>
            <w:vMerge w:val="continue"/>
            <w:vAlign w:val="center"/>
          </w:tcPr>
          <w:p w14:paraId="31DFC449">
            <w:pPr>
              <w:jc w:val="left"/>
              <w:rPr>
                <w:rFonts w:hint="eastAsia" w:ascii="仿宋" w:hAnsi="仿宋" w:eastAsia="仿宋" w:cs="宋体"/>
                <w:color w:val="000000"/>
                <w:kern w:val="0"/>
                <w:sz w:val="24"/>
                <w:highlight w:val="none"/>
              </w:rPr>
            </w:pPr>
          </w:p>
        </w:tc>
        <w:tc>
          <w:tcPr>
            <w:tcW w:w="847" w:type="dxa"/>
            <w:vAlign w:val="center"/>
          </w:tcPr>
          <w:p w14:paraId="751B1B7D">
            <w:pPr>
              <w:jc w:val="center"/>
              <w:rPr>
                <w:rFonts w:hint="eastAsia" w:ascii="仿宋" w:hAnsi="仿宋" w:eastAsia="仿宋" w:cs="宋体"/>
                <w:color w:val="000000"/>
                <w:kern w:val="0"/>
                <w:sz w:val="24"/>
                <w:highlight w:val="none"/>
              </w:rPr>
            </w:pPr>
            <w:r>
              <w:rPr>
                <w:rFonts w:hint="eastAsia" w:ascii="仿宋" w:hAnsi="仿宋" w:eastAsia="仿宋" w:cs="宋体"/>
                <w:color w:val="000000"/>
                <w:kern w:val="0"/>
                <w:sz w:val="24"/>
                <w:highlight w:val="none"/>
              </w:rPr>
              <w:t>数据迁移</w:t>
            </w:r>
          </w:p>
        </w:tc>
        <w:tc>
          <w:tcPr>
            <w:tcW w:w="6565" w:type="dxa"/>
            <w:vAlign w:val="center"/>
          </w:tcPr>
          <w:p w14:paraId="4447E80C">
            <w:pPr>
              <w:jc w:val="left"/>
              <w:rPr>
                <w:rFonts w:hint="eastAsia" w:ascii="仿宋" w:hAnsi="仿宋" w:eastAsia="仿宋" w:cs="宋体"/>
                <w:color w:val="000000"/>
                <w:kern w:val="0"/>
                <w:sz w:val="24"/>
                <w:highlight w:val="none"/>
              </w:rPr>
            </w:pPr>
            <w:r>
              <w:rPr>
                <w:rFonts w:hint="eastAsia" w:ascii="仿宋" w:hAnsi="仿宋" w:eastAsia="仿宋" w:cs="宋体"/>
                <w:color w:val="000000"/>
                <w:kern w:val="0"/>
                <w:sz w:val="24"/>
                <w:highlight w:val="none"/>
              </w:rPr>
              <w:t>将中文版站点数据部分翻译并迁移至英文站；</w:t>
            </w:r>
          </w:p>
        </w:tc>
      </w:tr>
      <w:tr w14:paraId="6E4DE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0" w:hRule="atLeast"/>
        </w:trPr>
        <w:tc>
          <w:tcPr>
            <w:tcW w:w="535" w:type="dxa"/>
            <w:vMerge w:val="continue"/>
          </w:tcPr>
          <w:p w14:paraId="316CDBDD">
            <w:pPr>
              <w:jc w:val="center"/>
              <w:rPr>
                <w:rFonts w:hint="eastAsia" w:ascii="仿宋" w:hAnsi="仿宋" w:eastAsia="仿宋" w:cs="宋体"/>
                <w:color w:val="000000"/>
                <w:kern w:val="0"/>
                <w:sz w:val="24"/>
                <w:highlight w:val="none"/>
              </w:rPr>
            </w:pPr>
          </w:p>
        </w:tc>
        <w:tc>
          <w:tcPr>
            <w:tcW w:w="710" w:type="dxa"/>
            <w:vMerge w:val="continue"/>
            <w:noWrap/>
            <w:vAlign w:val="center"/>
          </w:tcPr>
          <w:p w14:paraId="463113AE">
            <w:pPr>
              <w:jc w:val="center"/>
              <w:rPr>
                <w:rFonts w:hint="eastAsia" w:ascii="仿宋" w:hAnsi="仿宋" w:eastAsia="仿宋" w:cs="宋体"/>
                <w:color w:val="000000"/>
                <w:kern w:val="0"/>
                <w:sz w:val="24"/>
                <w:highlight w:val="none"/>
              </w:rPr>
            </w:pPr>
          </w:p>
        </w:tc>
        <w:tc>
          <w:tcPr>
            <w:tcW w:w="848" w:type="dxa"/>
            <w:vMerge w:val="restart"/>
            <w:vAlign w:val="center"/>
          </w:tcPr>
          <w:p w14:paraId="41C1C3E6">
            <w:pPr>
              <w:jc w:val="center"/>
              <w:rPr>
                <w:rFonts w:hint="eastAsia" w:ascii="仿宋" w:hAnsi="仿宋" w:eastAsia="仿宋" w:cs="宋体"/>
                <w:color w:val="000000"/>
                <w:kern w:val="0"/>
                <w:sz w:val="24"/>
                <w:highlight w:val="none"/>
              </w:rPr>
            </w:pPr>
            <w:r>
              <w:rPr>
                <w:rFonts w:hint="eastAsia" w:ascii="仿宋" w:hAnsi="仿宋" w:eastAsia="仿宋" w:cs="宋体"/>
                <w:color w:val="000000"/>
                <w:kern w:val="0"/>
                <w:sz w:val="24"/>
                <w:highlight w:val="none"/>
              </w:rPr>
              <w:t>网站系统升级</w:t>
            </w:r>
          </w:p>
        </w:tc>
        <w:tc>
          <w:tcPr>
            <w:tcW w:w="847" w:type="dxa"/>
            <w:vAlign w:val="center"/>
          </w:tcPr>
          <w:p w14:paraId="52113BFC">
            <w:pPr>
              <w:jc w:val="center"/>
              <w:rPr>
                <w:rFonts w:hint="eastAsia" w:ascii="仿宋" w:hAnsi="仿宋" w:eastAsia="仿宋" w:cs="宋体"/>
                <w:color w:val="000000"/>
                <w:kern w:val="0"/>
                <w:sz w:val="24"/>
                <w:highlight w:val="none"/>
              </w:rPr>
            </w:pPr>
            <w:r>
              <w:rPr>
                <w:rFonts w:hint="eastAsia" w:ascii="仿宋" w:hAnsi="仿宋" w:eastAsia="仿宋" w:cs="宋体"/>
                <w:color w:val="000000"/>
                <w:kern w:val="0"/>
                <w:sz w:val="24"/>
                <w:highlight w:val="none"/>
              </w:rPr>
              <w:t>模板管理模块升级</w:t>
            </w:r>
          </w:p>
        </w:tc>
        <w:tc>
          <w:tcPr>
            <w:tcW w:w="6565" w:type="dxa"/>
            <w:vAlign w:val="center"/>
          </w:tcPr>
          <w:p w14:paraId="1D716215">
            <w:pPr>
              <w:jc w:val="left"/>
              <w:rPr>
                <w:rFonts w:hint="eastAsia" w:ascii="仿宋" w:hAnsi="仿宋" w:eastAsia="仿宋" w:cs="宋体"/>
                <w:color w:val="000000"/>
                <w:kern w:val="0"/>
                <w:sz w:val="24"/>
                <w:highlight w:val="none"/>
              </w:rPr>
            </w:pPr>
            <w:r>
              <w:rPr>
                <w:rFonts w:hint="eastAsia" w:ascii="仿宋" w:hAnsi="仿宋" w:eastAsia="仿宋" w:cs="宋体"/>
                <w:color w:val="000000"/>
                <w:kern w:val="0"/>
                <w:sz w:val="24"/>
                <w:highlight w:val="none"/>
              </w:rPr>
              <w:t>升级网站系统应内置对模板文件和风格文件的管理功能。支持按站点对模板/风格文件进行逻辑隔离。模板文件应支持预览、编辑、删除、重命名、移动、复制、查看绑定此模板的节点/内容等操作。</w:t>
            </w:r>
            <w:r>
              <w:rPr>
                <w:rFonts w:hint="eastAsia" w:ascii="仿宋" w:hAnsi="仿宋" w:eastAsia="仿宋" w:cs="宋体"/>
                <w:color w:val="000000"/>
                <w:kern w:val="0"/>
                <w:sz w:val="24"/>
                <w:highlight w:val="none"/>
              </w:rPr>
              <w:br w:type="textWrapping"/>
            </w:r>
            <w:r>
              <w:rPr>
                <w:rFonts w:hint="eastAsia" w:ascii="仿宋" w:hAnsi="仿宋" w:eastAsia="仿宋" w:cs="宋体"/>
                <w:color w:val="000000"/>
                <w:kern w:val="0"/>
                <w:sz w:val="24"/>
                <w:highlight w:val="none"/>
              </w:rPr>
              <w:t>网站系统对模板的编辑应同时支持代码编辑和可视化编辑两种模式。代码模式编辑模板时，应支持类似常用的代码编辑器一样的代码语法高亮显示，应支持在代码编辑区的当前光标位置插入组件、系统对象和方法，对于代码编辑区中的组件、系统对象及方法应支持可视化设置参数。可视化编辑模板时，应展现模板解析后的最终效果，以实现所见即所得的编辑效果，应支持从拖拽组件或HTML元素到模板效果编辑区中的指定位置，对于模板中调用的组件应支持删除和可视化设置组件参数。</w:t>
            </w:r>
          </w:p>
        </w:tc>
      </w:tr>
      <w:tr w14:paraId="427DB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35" w:type="dxa"/>
            <w:vMerge w:val="continue"/>
          </w:tcPr>
          <w:p w14:paraId="2E12BFA0">
            <w:pPr>
              <w:jc w:val="center"/>
              <w:rPr>
                <w:rFonts w:hint="eastAsia" w:ascii="仿宋" w:hAnsi="仿宋" w:eastAsia="仿宋" w:cs="宋体"/>
                <w:color w:val="000000"/>
                <w:kern w:val="0"/>
                <w:sz w:val="24"/>
                <w:highlight w:val="none"/>
              </w:rPr>
            </w:pPr>
          </w:p>
        </w:tc>
        <w:tc>
          <w:tcPr>
            <w:tcW w:w="710" w:type="dxa"/>
            <w:vMerge w:val="continue"/>
            <w:noWrap/>
            <w:vAlign w:val="center"/>
          </w:tcPr>
          <w:p w14:paraId="621759F8">
            <w:pPr>
              <w:jc w:val="center"/>
              <w:rPr>
                <w:rFonts w:hint="eastAsia" w:ascii="仿宋" w:hAnsi="仿宋" w:eastAsia="仿宋" w:cs="宋体"/>
                <w:color w:val="000000"/>
                <w:kern w:val="0"/>
                <w:sz w:val="24"/>
                <w:highlight w:val="none"/>
              </w:rPr>
            </w:pPr>
          </w:p>
        </w:tc>
        <w:tc>
          <w:tcPr>
            <w:tcW w:w="848" w:type="dxa"/>
            <w:vMerge w:val="continue"/>
            <w:vAlign w:val="center"/>
          </w:tcPr>
          <w:p w14:paraId="4E5548AA">
            <w:pPr>
              <w:jc w:val="left"/>
              <w:rPr>
                <w:rFonts w:hint="eastAsia" w:ascii="仿宋" w:hAnsi="仿宋" w:eastAsia="仿宋" w:cs="宋体"/>
                <w:color w:val="000000"/>
                <w:kern w:val="0"/>
                <w:sz w:val="24"/>
                <w:highlight w:val="none"/>
              </w:rPr>
            </w:pPr>
          </w:p>
        </w:tc>
        <w:tc>
          <w:tcPr>
            <w:tcW w:w="847" w:type="dxa"/>
            <w:vAlign w:val="center"/>
          </w:tcPr>
          <w:p w14:paraId="63BA6B0F">
            <w:pPr>
              <w:jc w:val="center"/>
              <w:rPr>
                <w:rFonts w:hint="eastAsia" w:ascii="仿宋" w:hAnsi="仿宋" w:eastAsia="仿宋" w:cs="宋体"/>
                <w:color w:val="000000"/>
                <w:kern w:val="0"/>
                <w:sz w:val="24"/>
                <w:highlight w:val="none"/>
              </w:rPr>
            </w:pPr>
            <w:r>
              <w:rPr>
                <w:rFonts w:hint="eastAsia" w:ascii="仿宋" w:hAnsi="仿宋" w:eastAsia="仿宋" w:cs="宋体"/>
                <w:color w:val="000000"/>
                <w:kern w:val="0"/>
                <w:sz w:val="24"/>
                <w:highlight w:val="none"/>
              </w:rPr>
              <w:t>编辑器模块升级</w:t>
            </w:r>
          </w:p>
        </w:tc>
        <w:tc>
          <w:tcPr>
            <w:tcW w:w="6565" w:type="dxa"/>
            <w:vAlign w:val="center"/>
          </w:tcPr>
          <w:p w14:paraId="54A8EAB9">
            <w:pPr>
              <w:jc w:val="left"/>
              <w:rPr>
                <w:rFonts w:hint="eastAsia" w:ascii="仿宋" w:hAnsi="仿宋" w:eastAsia="仿宋" w:cs="宋体"/>
                <w:color w:val="000000"/>
                <w:kern w:val="0"/>
                <w:sz w:val="24"/>
                <w:highlight w:val="none"/>
              </w:rPr>
            </w:pPr>
            <w:r>
              <w:rPr>
                <w:rFonts w:hint="eastAsia" w:ascii="仿宋" w:hAnsi="仿宋" w:eastAsia="仿宋" w:cs="宋体"/>
                <w:color w:val="000000"/>
                <w:kern w:val="0"/>
                <w:sz w:val="24"/>
                <w:highlight w:val="none"/>
              </w:rPr>
              <w:t>应支持整合错别字和敏感字检查，对于发现的每个错别字和敏感字，点击时编辑器中的内容中同步定位相应位置并标记显示，编辑人员可以人工确认，确认是错别字和敏感字时可点击“更正”按钮让系统自动更正。</w:t>
            </w:r>
            <w:r>
              <w:rPr>
                <w:rFonts w:hint="eastAsia" w:ascii="仿宋" w:hAnsi="仿宋" w:eastAsia="仿宋" w:cs="宋体"/>
                <w:color w:val="000000"/>
                <w:kern w:val="0"/>
                <w:sz w:val="24"/>
                <w:highlight w:val="none"/>
              </w:rPr>
              <w:br w:type="textWrapping"/>
            </w:r>
            <w:r>
              <w:rPr>
                <w:rFonts w:hint="eastAsia" w:ascii="仿宋" w:hAnsi="仿宋" w:eastAsia="仿宋" w:cs="宋体"/>
                <w:color w:val="000000"/>
                <w:kern w:val="0"/>
                <w:sz w:val="24"/>
                <w:highlight w:val="none"/>
              </w:rPr>
              <w:t>在编辑器左侧显示目录结构，可以自动根据内容中的标题来生成文档目录结构，并在内容目录结构发生变化时同步更新。</w:t>
            </w:r>
          </w:p>
        </w:tc>
      </w:tr>
      <w:tr w14:paraId="2F9A3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trPr>
        <w:tc>
          <w:tcPr>
            <w:tcW w:w="535" w:type="dxa"/>
            <w:vMerge w:val="continue"/>
          </w:tcPr>
          <w:p w14:paraId="35008A9F">
            <w:pPr>
              <w:jc w:val="center"/>
              <w:rPr>
                <w:rFonts w:hint="eastAsia" w:ascii="仿宋" w:hAnsi="仿宋" w:eastAsia="仿宋" w:cs="宋体"/>
                <w:color w:val="000000"/>
                <w:kern w:val="0"/>
                <w:sz w:val="24"/>
                <w:highlight w:val="none"/>
              </w:rPr>
            </w:pPr>
          </w:p>
        </w:tc>
        <w:tc>
          <w:tcPr>
            <w:tcW w:w="710" w:type="dxa"/>
            <w:vMerge w:val="continue"/>
            <w:noWrap/>
            <w:vAlign w:val="center"/>
          </w:tcPr>
          <w:p w14:paraId="0A4FB4CE">
            <w:pPr>
              <w:jc w:val="center"/>
              <w:rPr>
                <w:rFonts w:hint="eastAsia" w:ascii="仿宋" w:hAnsi="仿宋" w:eastAsia="仿宋" w:cs="宋体"/>
                <w:color w:val="000000"/>
                <w:kern w:val="0"/>
                <w:sz w:val="24"/>
                <w:highlight w:val="none"/>
              </w:rPr>
            </w:pPr>
          </w:p>
        </w:tc>
        <w:tc>
          <w:tcPr>
            <w:tcW w:w="848" w:type="dxa"/>
            <w:vMerge w:val="continue"/>
            <w:vAlign w:val="center"/>
          </w:tcPr>
          <w:p w14:paraId="5F9B5D33">
            <w:pPr>
              <w:jc w:val="left"/>
              <w:rPr>
                <w:rFonts w:hint="eastAsia" w:ascii="仿宋" w:hAnsi="仿宋" w:eastAsia="仿宋" w:cs="宋体"/>
                <w:color w:val="000000"/>
                <w:kern w:val="0"/>
                <w:sz w:val="24"/>
                <w:highlight w:val="none"/>
              </w:rPr>
            </w:pPr>
          </w:p>
        </w:tc>
        <w:tc>
          <w:tcPr>
            <w:tcW w:w="847" w:type="dxa"/>
            <w:vAlign w:val="center"/>
          </w:tcPr>
          <w:p w14:paraId="5A97BB57">
            <w:pPr>
              <w:jc w:val="center"/>
              <w:rPr>
                <w:rFonts w:hint="eastAsia" w:ascii="仿宋" w:hAnsi="仿宋" w:eastAsia="仿宋" w:cs="宋体"/>
                <w:color w:val="000000"/>
                <w:kern w:val="0"/>
                <w:sz w:val="24"/>
                <w:highlight w:val="none"/>
              </w:rPr>
            </w:pPr>
            <w:r>
              <w:rPr>
                <w:rFonts w:hint="eastAsia" w:ascii="仿宋" w:hAnsi="仿宋" w:eastAsia="仿宋" w:cs="宋体"/>
                <w:color w:val="000000"/>
                <w:kern w:val="0"/>
                <w:sz w:val="24"/>
                <w:highlight w:val="none"/>
              </w:rPr>
              <w:t>文件上传模块升级</w:t>
            </w:r>
          </w:p>
        </w:tc>
        <w:tc>
          <w:tcPr>
            <w:tcW w:w="6565" w:type="dxa"/>
            <w:vAlign w:val="center"/>
          </w:tcPr>
          <w:p w14:paraId="760D756E">
            <w:pPr>
              <w:jc w:val="left"/>
              <w:rPr>
                <w:rFonts w:hint="eastAsia" w:ascii="仿宋" w:hAnsi="仿宋" w:eastAsia="仿宋" w:cs="宋体"/>
                <w:color w:val="000000"/>
                <w:kern w:val="0"/>
                <w:sz w:val="24"/>
                <w:highlight w:val="none"/>
              </w:rPr>
            </w:pPr>
            <w:r>
              <w:rPr>
                <w:rFonts w:hint="eastAsia" w:ascii="仿宋" w:hAnsi="仿宋" w:eastAsia="仿宋" w:cs="宋体"/>
                <w:color w:val="000000"/>
                <w:kern w:val="0"/>
                <w:sz w:val="24"/>
                <w:highlight w:val="none"/>
              </w:rPr>
              <w:t>应支持在“文件内容中搜索”功能。对于常用的办公文档（比如Word、Excel、PPT、TXT、PDF文件），可以搜索文件内容中存在搜索关键字的文件，搜索时支持区分大小写、全字匹配、使用正则表达式，支持限定搜索范围。应支持搜索任务队列设计，以支持多人同时搜索且不过高占用服务器资源。应支持在文件内容搜索结果页可以直接预览文件内容并定位搜索结果。</w:t>
            </w:r>
          </w:p>
        </w:tc>
      </w:tr>
    </w:tbl>
    <w:p w14:paraId="5CD7458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8F6182"/>
    <w:rsid w:val="648F61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ascii="宋体" w:hAnsi="宋体" w:eastAsia="宋体" w:cs="Times New Roman"/>
      <w:color w:val="000000"/>
      <w:sz w:val="24"/>
      <w:lang w:val="en-US" w:eastAsia="zh-CN" w:bidi="ar-SA"/>
    </w:rPr>
  </w:style>
  <w:style w:type="paragraph" w:styleId="3">
    <w:name w:val="footer"/>
    <w:basedOn w:val="1"/>
    <w:next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2025-10-30T02:59:00Z</dcterms:created>
  <dc:creator>何超超</dc:creator>
  <cp:lastModifiedBy>何超超</cp:lastModifiedBy>
  <dcterms:modified xsi:type="dcterms:W3CDTF">2025-10-30T03:01:19Z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B8EB3FC1D41E4A8BB5AC68CE00F90E56_11</vt:lpwstr>
  </property>
  <property fmtid="{D5CDD505-2E9C-101B-9397-08002B2CF9AE}" pid="4" name="KSOTemplateDocerSaveRecord">
    <vt:lpwstr>eyJoZGlkIjoiZGI1MzVhYWZiZWExZDgzMmQ2MjM2ZmZjMDFjNjYzYWEiLCJ1c2VySWQiOiIxNTU0NDM3MDQyIn0=</vt:lpwstr>
  </property>
</Properties>
</file>