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639A" w14:textId="77777777" w:rsidR="003A5B28" w:rsidRPr="003A5B28" w:rsidRDefault="003A5B28" w:rsidP="003A5B28">
      <w:pPr>
        <w:tabs>
          <w:tab w:val="left" w:pos="0"/>
        </w:tabs>
        <w:spacing w:line="600" w:lineRule="exact"/>
        <w:jc w:val="left"/>
        <w:rPr>
          <w:rFonts w:ascii="Times New Roman" w:eastAsia="黑体" w:hAnsi="Times New Roman" w:cs="Times New Roman"/>
          <w:sz w:val="32"/>
          <w:szCs w:val="32"/>
        </w:rPr>
      </w:pPr>
      <w:r w:rsidRPr="003A5B28">
        <w:rPr>
          <w:rFonts w:ascii="Times New Roman" w:eastAsia="黑体" w:hAnsi="Times New Roman" w:cs="Times New Roman"/>
          <w:sz w:val="32"/>
          <w:szCs w:val="32"/>
        </w:rPr>
        <w:t>附件</w:t>
      </w:r>
      <w:r w:rsidRPr="003A5B28">
        <w:rPr>
          <w:rFonts w:ascii="Times New Roman" w:eastAsia="黑体" w:hAnsi="Times New Roman" w:cs="Times New Roman"/>
          <w:sz w:val="32"/>
          <w:szCs w:val="32"/>
        </w:rPr>
        <w:t>4</w:t>
      </w:r>
    </w:p>
    <w:p w14:paraId="7647F179" w14:textId="77777777" w:rsidR="003A5B28" w:rsidRDefault="003A5B28" w:rsidP="003A5B28">
      <w:pPr>
        <w:spacing w:line="360" w:lineRule="auto"/>
        <w:jc w:val="center"/>
        <w:rPr>
          <w:rFonts w:ascii="Times New Roman" w:eastAsia="宋体" w:hAnsi="Times New Roman" w:cs="Times New Roman"/>
          <w:b/>
          <w:bCs/>
          <w:kern w:val="0"/>
          <w:sz w:val="40"/>
          <w:szCs w:val="40"/>
        </w:rPr>
      </w:pPr>
      <w:r w:rsidRPr="003A5B28">
        <w:rPr>
          <w:rFonts w:ascii="Times New Roman" w:eastAsia="宋体" w:hAnsi="Times New Roman" w:cs="Times New Roman"/>
          <w:b/>
          <w:bCs/>
          <w:kern w:val="0"/>
          <w:sz w:val="40"/>
          <w:szCs w:val="40"/>
        </w:rPr>
        <w:t>广西壮族自治区柳州生态环境监测中心</w:t>
      </w:r>
    </w:p>
    <w:p w14:paraId="04F1D820" w14:textId="73C20BB4" w:rsidR="003A5B28" w:rsidRPr="003A5B28" w:rsidRDefault="003A5B28" w:rsidP="003A5B28">
      <w:pPr>
        <w:spacing w:line="360" w:lineRule="auto"/>
        <w:jc w:val="center"/>
        <w:rPr>
          <w:rFonts w:ascii="Times New Roman" w:eastAsia="宋体" w:hAnsi="Times New Roman" w:cs="Times New Roman"/>
          <w:b/>
          <w:bCs/>
          <w:kern w:val="0"/>
          <w:sz w:val="40"/>
          <w:szCs w:val="40"/>
        </w:rPr>
      </w:pPr>
      <w:bookmarkStart w:id="0" w:name="_Hlk213949279"/>
      <w:proofErr w:type="gramStart"/>
      <w:r w:rsidRPr="003A5B28">
        <w:rPr>
          <w:rFonts w:ascii="Times New Roman" w:eastAsia="宋体" w:hAnsi="Times New Roman" w:cs="Times New Roman" w:hint="eastAsia"/>
          <w:b/>
          <w:bCs/>
          <w:kern w:val="0"/>
          <w:sz w:val="40"/>
          <w:szCs w:val="40"/>
        </w:rPr>
        <w:t>洛</w:t>
      </w:r>
      <w:proofErr w:type="gramEnd"/>
      <w:r w:rsidRPr="003A5B28">
        <w:rPr>
          <w:rFonts w:ascii="Times New Roman" w:eastAsia="宋体" w:hAnsi="Times New Roman" w:cs="Times New Roman" w:hint="eastAsia"/>
          <w:b/>
          <w:bCs/>
          <w:kern w:val="0"/>
          <w:sz w:val="40"/>
          <w:szCs w:val="40"/>
        </w:rPr>
        <w:t>维水站设施维修改造工程</w:t>
      </w:r>
      <w:bookmarkEnd w:id="0"/>
      <w:r w:rsidRPr="003A5B28">
        <w:rPr>
          <w:rFonts w:ascii="Times New Roman" w:eastAsia="宋体" w:hAnsi="Times New Roman" w:cs="Times New Roman"/>
          <w:b/>
          <w:bCs/>
          <w:kern w:val="0"/>
          <w:sz w:val="40"/>
          <w:szCs w:val="40"/>
        </w:rPr>
        <w:t>项目评分标准</w:t>
      </w:r>
    </w:p>
    <w:p w14:paraId="0F8030A0" w14:textId="77777777" w:rsidR="003A5B28" w:rsidRPr="003A5B28" w:rsidRDefault="003A5B28">
      <w:pPr>
        <w:rPr>
          <w:rFonts w:asciiTheme="majorEastAsia" w:eastAsiaTheme="majorEastAsia" w:hAnsiTheme="majorEastAsia" w:cstheme="majorEastAsia" w:hint="eastAsia"/>
          <w:b/>
          <w:bCs/>
        </w:rPr>
      </w:pPr>
    </w:p>
    <w:p w14:paraId="2BC4F32E" w14:textId="4208AD36" w:rsidR="003A5B28" w:rsidRPr="003A5B28" w:rsidRDefault="003A5B28" w:rsidP="003A5B28">
      <w:pPr>
        <w:ind w:firstLineChars="200" w:firstLine="420"/>
      </w:pPr>
      <w:r w:rsidRPr="003A5B28">
        <w:rPr>
          <w:rFonts w:hint="eastAsia"/>
        </w:rPr>
        <w:t>本次设施维修改造工程招标评分体系共分为四个部分，分别是价格部分、技术部分、商务部分和服务部分，总分值为</w:t>
      </w:r>
      <w:r w:rsidRPr="003A5B28">
        <w:rPr>
          <w:rFonts w:hint="eastAsia"/>
        </w:rPr>
        <w:t xml:space="preserve"> 100 </w:t>
      </w:r>
      <w:r w:rsidRPr="003A5B28">
        <w:rPr>
          <w:rFonts w:hint="eastAsia"/>
        </w:rPr>
        <w:t>分。各部分具体权重如下：</w:t>
      </w:r>
    </w:p>
    <w:p w14:paraId="1126CF4E" w14:textId="77777777" w:rsidR="00EE0AE1" w:rsidRDefault="00000000">
      <w:r>
        <w:rPr>
          <w:rFonts w:hint="eastAsia"/>
        </w:rPr>
        <w:t xml:space="preserve">  </w:t>
      </w:r>
    </w:p>
    <w:p w14:paraId="78E58E1A" w14:textId="61E9BD44" w:rsidR="00EE0AE1" w:rsidRDefault="00000000" w:rsidP="003A5B28">
      <w:pPr>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rPr>
        <w:t>评分细则表</w:t>
      </w:r>
    </w:p>
    <w:p w14:paraId="44531A02" w14:textId="77777777" w:rsidR="003A5B28" w:rsidRPr="003A5B28" w:rsidRDefault="003A5B28" w:rsidP="003A5B28">
      <w:pPr>
        <w:pStyle w:val="a0"/>
      </w:pPr>
    </w:p>
    <w:tbl>
      <w:tblPr>
        <w:tblStyle w:val="a6"/>
        <w:tblW w:w="4998" w:type="pct"/>
        <w:jc w:val="center"/>
        <w:tblLayout w:type="fixed"/>
        <w:tblLook w:val="04A0" w:firstRow="1" w:lastRow="0" w:firstColumn="1" w:lastColumn="0" w:noHBand="0" w:noVBand="1"/>
      </w:tblPr>
      <w:tblGrid>
        <w:gridCol w:w="878"/>
        <w:gridCol w:w="1155"/>
        <w:gridCol w:w="5844"/>
        <w:gridCol w:w="642"/>
      </w:tblGrid>
      <w:tr w:rsidR="00EE0AE1" w14:paraId="095BB858" w14:textId="77777777">
        <w:trPr>
          <w:trHeight w:val="584"/>
          <w:jc w:val="center"/>
        </w:trPr>
        <w:tc>
          <w:tcPr>
            <w:tcW w:w="515" w:type="pct"/>
            <w:vAlign w:val="center"/>
          </w:tcPr>
          <w:p w14:paraId="3B2F8662"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rPr>
              <w:t>序号</w:t>
            </w:r>
          </w:p>
        </w:tc>
        <w:tc>
          <w:tcPr>
            <w:tcW w:w="678" w:type="pct"/>
            <w:vAlign w:val="center"/>
          </w:tcPr>
          <w:p w14:paraId="0516C76D"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rPr>
              <w:t>评审内容</w:t>
            </w:r>
          </w:p>
        </w:tc>
        <w:tc>
          <w:tcPr>
            <w:tcW w:w="3429" w:type="pct"/>
            <w:vAlign w:val="center"/>
          </w:tcPr>
          <w:p w14:paraId="5F2BB930"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rPr>
              <w:t>评审标准得分</w:t>
            </w:r>
          </w:p>
        </w:tc>
        <w:tc>
          <w:tcPr>
            <w:tcW w:w="375" w:type="pct"/>
            <w:vAlign w:val="center"/>
          </w:tcPr>
          <w:p w14:paraId="52380493"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rPr>
              <w:t>得分</w:t>
            </w:r>
          </w:p>
        </w:tc>
      </w:tr>
      <w:tr w:rsidR="00EE0AE1" w14:paraId="754C4670" w14:textId="77777777" w:rsidTr="003A5B28">
        <w:trPr>
          <w:trHeight w:val="546"/>
          <w:jc w:val="center"/>
        </w:trPr>
        <w:tc>
          <w:tcPr>
            <w:tcW w:w="515" w:type="pct"/>
            <w:vAlign w:val="center"/>
          </w:tcPr>
          <w:p w14:paraId="17BB6448" w14:textId="77777777" w:rsidR="00EE0AE1" w:rsidRDefault="00EE0AE1">
            <w:pPr>
              <w:snapToGrid w:val="0"/>
              <w:jc w:val="center"/>
              <w:rPr>
                <w:rFonts w:asciiTheme="majorEastAsia" w:eastAsiaTheme="majorEastAsia" w:hAnsiTheme="majorEastAsia" w:cstheme="majorEastAsia" w:hint="eastAsia"/>
                <w:b/>
                <w:bCs/>
              </w:rPr>
            </w:pPr>
          </w:p>
        </w:tc>
        <w:tc>
          <w:tcPr>
            <w:tcW w:w="4108" w:type="pct"/>
            <w:gridSpan w:val="2"/>
            <w:vAlign w:val="center"/>
          </w:tcPr>
          <w:p w14:paraId="01A888A4"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rPr>
              <w:t>一、价格部分（30分）</w:t>
            </w:r>
          </w:p>
        </w:tc>
        <w:tc>
          <w:tcPr>
            <w:tcW w:w="375" w:type="pct"/>
            <w:vAlign w:val="center"/>
          </w:tcPr>
          <w:p w14:paraId="13ECE6EF" w14:textId="77777777" w:rsidR="00EE0AE1" w:rsidRDefault="00EE0AE1">
            <w:pPr>
              <w:snapToGrid w:val="0"/>
              <w:jc w:val="center"/>
              <w:rPr>
                <w:rFonts w:asciiTheme="majorEastAsia" w:eastAsiaTheme="majorEastAsia" w:hAnsiTheme="majorEastAsia" w:cstheme="majorEastAsia" w:hint="eastAsia"/>
                <w:b/>
                <w:bCs/>
              </w:rPr>
            </w:pPr>
          </w:p>
        </w:tc>
      </w:tr>
      <w:tr w:rsidR="00EE0AE1" w14:paraId="5B4215CC" w14:textId="77777777">
        <w:trPr>
          <w:jc w:val="center"/>
        </w:trPr>
        <w:tc>
          <w:tcPr>
            <w:tcW w:w="515" w:type="pct"/>
            <w:vAlign w:val="center"/>
          </w:tcPr>
          <w:p w14:paraId="4F63A26E" w14:textId="77777777" w:rsidR="00EE0AE1" w:rsidRDefault="00000000" w:rsidP="003A5B28">
            <w:pPr>
              <w:snapToGrid w:val="0"/>
              <w:ind w:firstLineChars="100" w:firstLine="210"/>
            </w:pPr>
            <w:r>
              <w:rPr>
                <w:rFonts w:hint="eastAsia"/>
              </w:rPr>
              <w:t>1</w:t>
            </w:r>
          </w:p>
        </w:tc>
        <w:tc>
          <w:tcPr>
            <w:tcW w:w="678" w:type="pct"/>
            <w:vAlign w:val="center"/>
          </w:tcPr>
          <w:p w14:paraId="4270C08E" w14:textId="77777777" w:rsidR="00EE0AE1" w:rsidRDefault="00000000">
            <w:pPr>
              <w:snapToGrid w:val="0"/>
              <w:jc w:val="center"/>
            </w:pPr>
            <w:r>
              <w:rPr>
                <w:rFonts w:asciiTheme="majorEastAsia" w:eastAsiaTheme="majorEastAsia" w:hAnsiTheme="majorEastAsia" w:cstheme="majorEastAsia" w:hint="eastAsia"/>
                <w:b/>
                <w:bCs/>
                <w:sz w:val="18"/>
                <w:szCs w:val="18"/>
              </w:rPr>
              <w:t>投标报价（30分）</w:t>
            </w:r>
          </w:p>
        </w:tc>
        <w:tc>
          <w:tcPr>
            <w:tcW w:w="3429" w:type="pct"/>
          </w:tcPr>
          <w:p w14:paraId="3E3147AE" w14:textId="77777777" w:rsidR="00EE0AE1" w:rsidRDefault="00000000">
            <w:pPr>
              <w:rPr>
                <w:rFonts w:ascii="Times New Roman" w:hAnsi="Times New Roman" w:cs="Times New Roman"/>
                <w:sz w:val="18"/>
                <w:szCs w:val="18"/>
              </w:rPr>
            </w:pPr>
            <w:r>
              <w:rPr>
                <w:rFonts w:ascii="Times New Roman" w:hAnsi="Times New Roman" w:cs="Times New Roman"/>
                <w:sz w:val="18"/>
                <w:szCs w:val="18"/>
              </w:rPr>
              <w:t>确定评标基准价</w:t>
            </w:r>
            <w:r>
              <w:rPr>
                <w:rFonts w:ascii="Times New Roman" w:hAnsi="Times New Roman" w:cs="Times New Roman"/>
                <w:sz w:val="18"/>
                <w:szCs w:val="18"/>
              </w:rPr>
              <w:t>​</w:t>
            </w:r>
          </w:p>
          <w:p w14:paraId="0397B189" w14:textId="77777777" w:rsidR="00EE0AE1" w:rsidRDefault="00000000">
            <w:pPr>
              <w:ind w:firstLine="480"/>
              <w:rPr>
                <w:rFonts w:ascii="Times New Roman" w:hAnsi="Times New Roman" w:cs="Times New Roman"/>
                <w:sz w:val="18"/>
                <w:szCs w:val="18"/>
              </w:rPr>
            </w:pPr>
            <w:r>
              <w:rPr>
                <w:rFonts w:ascii="Times New Roman" w:hAnsi="Times New Roman" w:cs="Times New Roman"/>
                <w:sz w:val="18"/>
                <w:szCs w:val="18"/>
              </w:rPr>
              <w:t>以所有通过资格审查和初步评审的有效投标报价中的最低报价作为评标基准价。若出现多家供应商报价相同且均为最低报价的情况，则该最低报价即为评标基准价。</w:t>
            </w:r>
            <w:r>
              <w:rPr>
                <w:rFonts w:ascii="Times New Roman" w:hAnsi="Times New Roman" w:cs="Times New Roman"/>
                <w:sz w:val="18"/>
                <w:szCs w:val="18"/>
              </w:rPr>
              <w:t>​</w:t>
            </w:r>
          </w:p>
          <w:p w14:paraId="6D8287A5" w14:textId="77777777" w:rsidR="00EE0AE1" w:rsidRDefault="00000000">
            <w:pPr>
              <w:rPr>
                <w:rFonts w:ascii="Times New Roman" w:hAnsi="Times New Roman" w:cs="Times New Roman"/>
                <w:sz w:val="18"/>
                <w:szCs w:val="18"/>
              </w:rPr>
            </w:pPr>
            <w:r>
              <w:rPr>
                <w:rFonts w:ascii="Times New Roman" w:hAnsi="Times New Roman" w:cs="Times New Roman"/>
                <w:sz w:val="18"/>
                <w:szCs w:val="18"/>
              </w:rPr>
              <w:t>计算投标报价得分</w:t>
            </w:r>
            <w:r>
              <w:rPr>
                <w:rFonts w:ascii="Times New Roman" w:hAnsi="Times New Roman" w:cs="Times New Roman"/>
                <w:sz w:val="18"/>
                <w:szCs w:val="18"/>
              </w:rPr>
              <w:t>​</w:t>
            </w:r>
          </w:p>
          <w:p w14:paraId="439AAB98" w14:textId="77777777" w:rsidR="00EE0AE1" w:rsidRDefault="00000000">
            <w:pPr>
              <w:ind w:firstLine="480"/>
              <w:rPr>
                <w:rFonts w:ascii="Times New Roman" w:hAnsi="Times New Roman" w:cs="Times New Roman"/>
                <w:sz w:val="18"/>
                <w:szCs w:val="18"/>
              </w:rPr>
            </w:pPr>
            <w:r>
              <w:rPr>
                <w:rFonts w:ascii="Times New Roman" w:hAnsi="Times New Roman" w:cs="Times New Roman"/>
                <w:sz w:val="18"/>
                <w:szCs w:val="18"/>
              </w:rPr>
              <w:t>投标报价得分</w:t>
            </w:r>
            <w:r>
              <w:rPr>
                <w:rFonts w:ascii="Times New Roman" w:hAnsi="Times New Roman" w:cs="Times New Roman"/>
                <w:sz w:val="18"/>
                <w:szCs w:val="18"/>
              </w:rPr>
              <w:t xml:space="preserve"> =</w:t>
            </w:r>
            <w:r>
              <w:rPr>
                <w:rFonts w:ascii="Times New Roman" w:hAnsi="Times New Roman" w:cs="Times New Roman"/>
                <w:sz w:val="18"/>
                <w:szCs w:val="18"/>
              </w:rPr>
              <w:t>（评标基准价</w:t>
            </w:r>
            <w:r>
              <w:rPr>
                <w:rFonts w:ascii="Times New Roman" w:hAnsi="Times New Roman" w:cs="Times New Roman"/>
                <w:sz w:val="18"/>
                <w:szCs w:val="18"/>
              </w:rPr>
              <w:t xml:space="preserve"> / </w:t>
            </w:r>
            <w:r>
              <w:rPr>
                <w:rFonts w:ascii="Times New Roman" w:hAnsi="Times New Roman" w:cs="Times New Roman"/>
                <w:sz w:val="18"/>
                <w:szCs w:val="18"/>
              </w:rPr>
              <w:t>投标报价）</w:t>
            </w:r>
            <w:r>
              <w:rPr>
                <w:rFonts w:ascii="Times New Roman" w:hAnsi="Times New Roman" w:cs="Times New Roman"/>
                <w:sz w:val="18"/>
                <w:szCs w:val="18"/>
              </w:rPr>
              <w:t>×30</w:t>
            </w:r>
            <w:r>
              <w:rPr>
                <w:rFonts w:ascii="Times New Roman" w:hAnsi="Times New Roman" w:cs="Times New Roman"/>
                <w:sz w:val="18"/>
                <w:szCs w:val="18"/>
              </w:rPr>
              <w:t>。</w:t>
            </w:r>
            <w:r>
              <w:rPr>
                <w:rFonts w:ascii="Times New Roman" w:hAnsi="Times New Roman" w:cs="Times New Roman"/>
                <w:sz w:val="18"/>
                <w:szCs w:val="18"/>
              </w:rPr>
              <w:t>​</w:t>
            </w:r>
          </w:p>
          <w:p w14:paraId="1FB5BA5E" w14:textId="77777777" w:rsidR="00EE0AE1" w:rsidRDefault="00000000">
            <w:pPr>
              <w:rPr>
                <w:rFonts w:ascii="Times New Roman" w:hAnsi="Times New Roman" w:cs="Times New Roman"/>
                <w:sz w:val="18"/>
                <w:szCs w:val="18"/>
              </w:rPr>
            </w:pPr>
            <w:r>
              <w:rPr>
                <w:rFonts w:ascii="Times New Roman" w:hAnsi="Times New Roman" w:cs="Times New Roman"/>
                <w:sz w:val="18"/>
                <w:szCs w:val="18"/>
              </w:rPr>
              <w:t>特殊情况处理</w:t>
            </w:r>
            <w:r>
              <w:rPr>
                <w:rFonts w:ascii="Times New Roman" w:hAnsi="Times New Roman" w:cs="Times New Roman"/>
                <w:sz w:val="18"/>
                <w:szCs w:val="18"/>
              </w:rPr>
              <w:t>​</w:t>
            </w:r>
          </w:p>
          <w:p w14:paraId="6F18A426" w14:textId="77777777" w:rsidR="00EE0AE1" w:rsidRDefault="00000000">
            <w:pPr>
              <w:snapToGrid w:val="0"/>
              <w:ind w:firstLineChars="200" w:firstLine="360"/>
            </w:pPr>
            <w:r>
              <w:rPr>
                <w:rFonts w:ascii="Times New Roman" w:hAnsi="Times New Roman" w:cs="Times New Roman"/>
                <w:sz w:val="18"/>
                <w:szCs w:val="18"/>
              </w:rPr>
              <w:t>若投标报价低于成本价（由评标委员会根据市场行情、生产成本等因素综合判断），该投标文件将被视为无效投标，不参与价格部分评分。</w:t>
            </w:r>
            <w:r>
              <w:rPr>
                <w:rFonts w:ascii="Times New Roman" w:hAnsi="Times New Roman" w:cs="Times New Roman"/>
                <w:sz w:val="18"/>
                <w:szCs w:val="18"/>
              </w:rPr>
              <w:t>​</w:t>
            </w:r>
          </w:p>
        </w:tc>
        <w:tc>
          <w:tcPr>
            <w:tcW w:w="375" w:type="pct"/>
          </w:tcPr>
          <w:p w14:paraId="24EFB1A1" w14:textId="77777777" w:rsidR="00EE0AE1" w:rsidRDefault="00EE0AE1">
            <w:pPr>
              <w:snapToGrid w:val="0"/>
              <w:ind w:firstLineChars="200" w:firstLine="420"/>
              <w:rPr>
                <w:rFonts w:asciiTheme="minorEastAsia" w:hAnsiTheme="minorEastAsia" w:cstheme="minorEastAsia" w:hint="eastAsia"/>
              </w:rPr>
            </w:pPr>
          </w:p>
        </w:tc>
      </w:tr>
      <w:tr w:rsidR="00EE0AE1" w14:paraId="235C39B2" w14:textId="77777777" w:rsidTr="003A5B28">
        <w:trPr>
          <w:trHeight w:val="611"/>
          <w:jc w:val="center"/>
        </w:trPr>
        <w:tc>
          <w:tcPr>
            <w:tcW w:w="5000" w:type="pct"/>
            <w:gridSpan w:val="4"/>
            <w:vAlign w:val="center"/>
          </w:tcPr>
          <w:p w14:paraId="542E32AA"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rPr>
              <w:t>二、技术部分（30分）</w:t>
            </w:r>
          </w:p>
        </w:tc>
      </w:tr>
      <w:tr w:rsidR="00EE0AE1" w14:paraId="53D4C488" w14:textId="77777777" w:rsidTr="003A5B28">
        <w:trPr>
          <w:trHeight w:val="2817"/>
          <w:jc w:val="center"/>
        </w:trPr>
        <w:tc>
          <w:tcPr>
            <w:tcW w:w="515" w:type="pct"/>
            <w:vAlign w:val="center"/>
          </w:tcPr>
          <w:p w14:paraId="135D0C3F"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rPr>
              <w:t>1</w:t>
            </w:r>
          </w:p>
        </w:tc>
        <w:tc>
          <w:tcPr>
            <w:tcW w:w="678" w:type="pct"/>
            <w:vAlign w:val="center"/>
          </w:tcPr>
          <w:p w14:paraId="5B26E91A" w14:textId="77777777" w:rsidR="00EE0AE1" w:rsidRDefault="00EE0AE1">
            <w:pPr>
              <w:snapToGrid w:val="0"/>
              <w:rPr>
                <w:rFonts w:asciiTheme="majorEastAsia" w:eastAsiaTheme="majorEastAsia" w:hAnsiTheme="majorEastAsia" w:cstheme="majorEastAsia" w:hint="eastAsia"/>
                <w:b/>
                <w:bCs/>
                <w:sz w:val="18"/>
                <w:szCs w:val="18"/>
              </w:rPr>
            </w:pPr>
          </w:p>
          <w:p w14:paraId="6A6EE0E7"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sz w:val="18"/>
                <w:szCs w:val="18"/>
              </w:rPr>
              <w:t>总体设计方案分（20分）</w:t>
            </w:r>
          </w:p>
        </w:tc>
        <w:tc>
          <w:tcPr>
            <w:tcW w:w="3429" w:type="pct"/>
            <w:vAlign w:val="center"/>
          </w:tcPr>
          <w:p w14:paraId="2DED15D1" w14:textId="42D27BAD" w:rsidR="00EE0AE1" w:rsidRDefault="00000000">
            <w:pPr>
              <w:snapToGrid w:val="0"/>
              <w:ind w:left="360" w:hangingChars="200" w:hanging="360"/>
              <w:jc w:val="left"/>
              <w:rPr>
                <w:rFonts w:asciiTheme="minorEastAsia" w:hAnsiTheme="minorEastAsia" w:cstheme="minorEastAsia" w:hint="eastAsia"/>
                <w:sz w:val="18"/>
                <w:szCs w:val="18"/>
              </w:rPr>
            </w:pPr>
            <w:r>
              <w:rPr>
                <w:rFonts w:asciiTheme="minorEastAsia" w:hAnsiTheme="minorEastAsia" w:cstheme="minorEastAsia" w:hint="eastAsia"/>
                <w:sz w:val="18"/>
                <w:szCs w:val="18"/>
              </w:rPr>
              <w:t>（1）一档（</w:t>
            </w:r>
            <w:r w:rsidR="003A5B28">
              <w:rPr>
                <w:rFonts w:asciiTheme="minorEastAsia" w:hAnsiTheme="minorEastAsia" w:cstheme="minorEastAsia" w:hint="eastAsia"/>
                <w:sz w:val="18"/>
                <w:szCs w:val="18"/>
              </w:rPr>
              <w:t>16-</w:t>
            </w:r>
            <w:r>
              <w:rPr>
                <w:rFonts w:asciiTheme="minorEastAsia" w:hAnsiTheme="minorEastAsia" w:cstheme="minorEastAsia" w:hint="eastAsia"/>
                <w:sz w:val="18"/>
                <w:szCs w:val="18"/>
              </w:rPr>
              <w:t>20分）：供应商能提供针对性设计方案，对项目的地域环境及情况把握准确，建设思路非常清晰、合理，设计方案非常清晰全面完善，数据详实，特点突出，理念、展示、装饰形式新颖、富有创意，具有地方特色。</w:t>
            </w:r>
          </w:p>
          <w:p w14:paraId="08D75F42" w14:textId="49AD28A4" w:rsidR="00EE0AE1" w:rsidRDefault="00000000">
            <w:pPr>
              <w:snapToGrid w:val="0"/>
              <w:ind w:left="360" w:hangingChars="200" w:hanging="360"/>
              <w:jc w:val="left"/>
              <w:rPr>
                <w:rFonts w:asciiTheme="minorEastAsia" w:hAnsiTheme="minorEastAsia" w:cstheme="minorEastAsia" w:hint="eastAsia"/>
                <w:sz w:val="18"/>
                <w:szCs w:val="18"/>
              </w:rPr>
            </w:pPr>
            <w:r>
              <w:rPr>
                <w:rFonts w:asciiTheme="minorEastAsia" w:hAnsiTheme="minorEastAsia" w:cstheme="minorEastAsia" w:hint="eastAsia"/>
                <w:sz w:val="18"/>
                <w:szCs w:val="18"/>
              </w:rPr>
              <w:t>（2）二档（</w:t>
            </w:r>
            <w:r w:rsidR="003A5B28">
              <w:rPr>
                <w:rFonts w:asciiTheme="minorEastAsia" w:hAnsiTheme="minorEastAsia" w:cstheme="minorEastAsia" w:hint="eastAsia"/>
                <w:sz w:val="18"/>
                <w:szCs w:val="18"/>
              </w:rPr>
              <w:t>11-</w:t>
            </w:r>
            <w:r>
              <w:rPr>
                <w:rFonts w:asciiTheme="minorEastAsia" w:hAnsiTheme="minorEastAsia" w:cstheme="minorEastAsia" w:hint="eastAsia"/>
                <w:sz w:val="18"/>
                <w:szCs w:val="18"/>
              </w:rPr>
              <w:t>15分）：供应商能提供设计方案，对项目的地域环境及情况把握准确，整体统一协调，理念、展示、装饰形式较新颖、富有创意，较有地方特色；</w:t>
            </w:r>
          </w:p>
          <w:p w14:paraId="21A3A429" w14:textId="7CA199E7" w:rsidR="00EE0AE1" w:rsidRDefault="00000000">
            <w:pPr>
              <w:snapToGrid w:val="0"/>
              <w:ind w:left="360" w:hangingChars="200" w:hanging="360"/>
              <w:jc w:val="left"/>
              <w:rPr>
                <w:rFonts w:asciiTheme="minorEastAsia" w:hAnsiTheme="minorEastAsia" w:cstheme="minorEastAsia" w:hint="eastAsia"/>
                <w:sz w:val="18"/>
                <w:szCs w:val="18"/>
              </w:rPr>
            </w:pPr>
            <w:r>
              <w:rPr>
                <w:rFonts w:asciiTheme="minorEastAsia" w:hAnsiTheme="minorEastAsia" w:cstheme="minorEastAsia" w:hint="eastAsia"/>
                <w:sz w:val="18"/>
                <w:szCs w:val="18"/>
              </w:rPr>
              <w:t>（3）三档（</w:t>
            </w:r>
            <w:r w:rsidR="003A5B28">
              <w:rPr>
                <w:rFonts w:asciiTheme="minorEastAsia" w:hAnsiTheme="minorEastAsia" w:cstheme="minorEastAsia" w:hint="eastAsia"/>
                <w:sz w:val="18"/>
                <w:szCs w:val="18"/>
              </w:rPr>
              <w:t>6-</w:t>
            </w:r>
            <w:r>
              <w:rPr>
                <w:rFonts w:asciiTheme="minorEastAsia" w:hAnsiTheme="minorEastAsia" w:cstheme="minorEastAsia" w:hint="eastAsia"/>
                <w:sz w:val="18"/>
                <w:szCs w:val="18"/>
              </w:rPr>
              <w:t>10分）：供应商能提供设计方案，对项目的地域环境及情况基本了解，方案思路基本符合要求，但整体效果一般，理念、展示、装饰形式一般，欠缺地方特色；</w:t>
            </w:r>
          </w:p>
          <w:p w14:paraId="2244D318" w14:textId="45691CA3" w:rsidR="00EE0AE1" w:rsidRDefault="00000000">
            <w:pPr>
              <w:snapToGrid w:val="0"/>
              <w:ind w:left="360" w:hangingChars="200" w:hanging="360"/>
              <w:jc w:val="left"/>
              <w:rPr>
                <w:rFonts w:asciiTheme="majorEastAsia" w:eastAsiaTheme="majorEastAsia" w:hAnsiTheme="majorEastAsia" w:cstheme="majorEastAsia" w:hint="eastAsia"/>
                <w:b/>
                <w:bCs/>
              </w:rPr>
            </w:pPr>
            <w:r>
              <w:rPr>
                <w:rFonts w:asciiTheme="minorEastAsia" w:hAnsiTheme="minorEastAsia" w:cstheme="minorEastAsia" w:hint="eastAsia"/>
                <w:sz w:val="18"/>
                <w:szCs w:val="18"/>
              </w:rPr>
              <w:t>（4）四档（</w:t>
            </w:r>
            <w:r w:rsidR="003A5B28">
              <w:rPr>
                <w:rFonts w:asciiTheme="minorEastAsia" w:hAnsiTheme="minorEastAsia" w:cstheme="minorEastAsia" w:hint="eastAsia"/>
                <w:sz w:val="18"/>
                <w:szCs w:val="18"/>
              </w:rPr>
              <w:t>0-</w:t>
            </w:r>
            <w:r>
              <w:rPr>
                <w:rFonts w:asciiTheme="minorEastAsia" w:hAnsiTheme="minorEastAsia" w:cstheme="minorEastAsia" w:hint="eastAsia"/>
                <w:sz w:val="18"/>
                <w:szCs w:val="18"/>
              </w:rPr>
              <w:t>5分）：供应商能提供设计方案的，内容简单，基本可行；</w:t>
            </w:r>
          </w:p>
        </w:tc>
        <w:tc>
          <w:tcPr>
            <w:tcW w:w="375" w:type="pct"/>
          </w:tcPr>
          <w:p w14:paraId="06A4E12A" w14:textId="77777777" w:rsidR="00EE0AE1" w:rsidRDefault="00EE0AE1">
            <w:pPr>
              <w:snapToGrid w:val="0"/>
              <w:jc w:val="center"/>
              <w:rPr>
                <w:rFonts w:asciiTheme="majorEastAsia" w:eastAsiaTheme="majorEastAsia" w:hAnsiTheme="majorEastAsia" w:cstheme="majorEastAsia" w:hint="eastAsia"/>
                <w:b/>
                <w:bCs/>
              </w:rPr>
            </w:pPr>
          </w:p>
        </w:tc>
      </w:tr>
      <w:tr w:rsidR="00EE0AE1" w14:paraId="1A341672" w14:textId="77777777" w:rsidTr="003A5B28">
        <w:trPr>
          <w:trHeight w:val="2315"/>
          <w:jc w:val="center"/>
        </w:trPr>
        <w:tc>
          <w:tcPr>
            <w:tcW w:w="515" w:type="pct"/>
            <w:vAlign w:val="center"/>
          </w:tcPr>
          <w:p w14:paraId="5F86D209"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rPr>
              <w:t>2</w:t>
            </w:r>
          </w:p>
        </w:tc>
        <w:tc>
          <w:tcPr>
            <w:tcW w:w="678" w:type="pct"/>
            <w:vAlign w:val="center"/>
          </w:tcPr>
          <w:p w14:paraId="6EF86786"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sz w:val="18"/>
                <w:szCs w:val="18"/>
              </w:rPr>
              <w:t>展示功能布局（10分）</w:t>
            </w:r>
          </w:p>
        </w:tc>
        <w:tc>
          <w:tcPr>
            <w:tcW w:w="3429" w:type="pct"/>
            <w:vAlign w:val="center"/>
          </w:tcPr>
          <w:p w14:paraId="56E3F2B6" w14:textId="384CB5B9" w:rsidR="00EE0AE1" w:rsidRDefault="00000000">
            <w:pPr>
              <w:snapToGrid w:val="0"/>
              <w:ind w:left="360" w:hangingChars="200" w:hanging="360"/>
              <w:jc w:val="left"/>
              <w:rPr>
                <w:rFonts w:asciiTheme="majorEastAsia" w:eastAsiaTheme="majorEastAsia" w:hAnsiTheme="majorEastAsia" w:cstheme="majorEastAsia" w:hint="eastAsia"/>
                <w:b/>
                <w:bCs/>
                <w:sz w:val="18"/>
                <w:szCs w:val="18"/>
              </w:rPr>
            </w:pPr>
            <w:r>
              <w:rPr>
                <w:rFonts w:asciiTheme="majorEastAsia" w:eastAsiaTheme="majorEastAsia" w:hAnsiTheme="majorEastAsia" w:cstheme="majorEastAsia" w:hint="eastAsia"/>
                <w:sz w:val="18"/>
                <w:szCs w:val="18"/>
              </w:rPr>
              <w:t>（1）</w:t>
            </w:r>
            <w:r>
              <w:rPr>
                <w:rFonts w:asciiTheme="minorEastAsia" w:hAnsiTheme="minorEastAsia" w:cstheme="minorEastAsia" w:hint="eastAsia"/>
                <w:sz w:val="18"/>
                <w:szCs w:val="18"/>
              </w:rPr>
              <w:t>一档（</w:t>
            </w:r>
            <w:r w:rsidR="009C5F04">
              <w:rPr>
                <w:rFonts w:asciiTheme="minorEastAsia" w:hAnsiTheme="minorEastAsia" w:cstheme="minorEastAsia" w:hint="eastAsia"/>
                <w:sz w:val="18"/>
                <w:szCs w:val="18"/>
              </w:rPr>
              <w:t>7-</w:t>
            </w:r>
            <w:r>
              <w:rPr>
                <w:rFonts w:asciiTheme="minorEastAsia" w:hAnsiTheme="minorEastAsia" w:cstheme="minorEastAsia" w:hint="eastAsia"/>
                <w:sz w:val="18"/>
                <w:szCs w:val="18"/>
              </w:rPr>
              <w:t>10分）：能全面容纳展示内容，满足展示要求；宣传栏展示布局合理兼顾艺术展示的美化功能；</w:t>
            </w:r>
          </w:p>
          <w:p w14:paraId="4BA33BE2" w14:textId="49FD6169" w:rsidR="00EE0AE1" w:rsidRDefault="00000000">
            <w:pPr>
              <w:snapToGrid w:val="0"/>
              <w:ind w:left="360" w:hangingChars="200" w:hanging="360"/>
              <w:jc w:val="left"/>
              <w:rPr>
                <w:rFonts w:asciiTheme="majorEastAsia" w:eastAsiaTheme="majorEastAsia" w:hAnsiTheme="majorEastAsia" w:cstheme="majorEastAsia" w:hint="eastAsia"/>
                <w:b/>
                <w:bCs/>
                <w:sz w:val="18"/>
                <w:szCs w:val="18"/>
              </w:rPr>
            </w:pPr>
            <w:r>
              <w:rPr>
                <w:rFonts w:asciiTheme="minorEastAsia" w:hAnsiTheme="minorEastAsia" w:cstheme="minorEastAsia" w:hint="eastAsia"/>
                <w:sz w:val="18"/>
                <w:szCs w:val="18"/>
              </w:rPr>
              <w:t>（2）二档（</w:t>
            </w:r>
            <w:r w:rsidR="009C5F04">
              <w:rPr>
                <w:rFonts w:asciiTheme="minorEastAsia" w:hAnsiTheme="minorEastAsia" w:cstheme="minorEastAsia" w:hint="eastAsia"/>
                <w:sz w:val="18"/>
                <w:szCs w:val="18"/>
              </w:rPr>
              <w:t>4-</w:t>
            </w:r>
            <w:r>
              <w:rPr>
                <w:rFonts w:asciiTheme="minorEastAsia" w:hAnsiTheme="minorEastAsia" w:cstheme="minorEastAsia" w:hint="eastAsia"/>
                <w:sz w:val="18"/>
                <w:szCs w:val="18"/>
              </w:rPr>
              <w:t>6分）：基本容纳展示内容、满足展示要求；宣传栏展示布局较合理，艺术展示美观功能性一般；</w:t>
            </w:r>
          </w:p>
          <w:p w14:paraId="4F5667D2" w14:textId="50C140FA" w:rsidR="00EE0AE1" w:rsidRDefault="00000000">
            <w:pPr>
              <w:snapToGrid w:val="0"/>
              <w:ind w:left="360" w:hangingChars="200" w:hanging="360"/>
              <w:jc w:val="left"/>
              <w:rPr>
                <w:rFonts w:asciiTheme="majorEastAsia" w:eastAsiaTheme="majorEastAsia" w:hAnsiTheme="majorEastAsia" w:cstheme="majorEastAsia" w:hint="eastAsia"/>
                <w:b/>
                <w:bCs/>
              </w:rPr>
            </w:pPr>
            <w:r>
              <w:rPr>
                <w:rFonts w:asciiTheme="minorEastAsia" w:hAnsiTheme="minorEastAsia" w:cstheme="minorEastAsia" w:hint="eastAsia"/>
                <w:sz w:val="18"/>
                <w:szCs w:val="18"/>
              </w:rPr>
              <w:t>（3）三档（</w:t>
            </w:r>
            <w:r w:rsidR="009C5F04">
              <w:rPr>
                <w:rFonts w:asciiTheme="minorEastAsia" w:hAnsiTheme="minorEastAsia" w:cstheme="minorEastAsia" w:hint="eastAsia"/>
                <w:sz w:val="18"/>
                <w:szCs w:val="18"/>
              </w:rPr>
              <w:t>0-</w:t>
            </w:r>
            <w:r>
              <w:rPr>
                <w:rFonts w:asciiTheme="minorEastAsia" w:hAnsiTheme="minorEastAsia" w:cstheme="minorEastAsia" w:hint="eastAsia"/>
                <w:sz w:val="18"/>
                <w:szCs w:val="18"/>
              </w:rPr>
              <w:t>3分）：能展现大部分展示内容、未能全面满足展示要求；宣传栏展示布局功能性较差，艺术展示美化功能较差；</w:t>
            </w:r>
          </w:p>
        </w:tc>
        <w:tc>
          <w:tcPr>
            <w:tcW w:w="375" w:type="pct"/>
          </w:tcPr>
          <w:p w14:paraId="5838BA19" w14:textId="77777777" w:rsidR="00EE0AE1" w:rsidRDefault="00EE0AE1">
            <w:pPr>
              <w:snapToGrid w:val="0"/>
              <w:jc w:val="center"/>
              <w:rPr>
                <w:rFonts w:asciiTheme="majorEastAsia" w:eastAsiaTheme="majorEastAsia" w:hAnsiTheme="majorEastAsia" w:cstheme="majorEastAsia" w:hint="eastAsia"/>
                <w:b/>
                <w:bCs/>
              </w:rPr>
            </w:pPr>
          </w:p>
        </w:tc>
      </w:tr>
      <w:tr w:rsidR="00EE0AE1" w14:paraId="6DF49D53" w14:textId="77777777">
        <w:trPr>
          <w:trHeight w:val="522"/>
          <w:jc w:val="center"/>
        </w:trPr>
        <w:tc>
          <w:tcPr>
            <w:tcW w:w="5000" w:type="pct"/>
            <w:gridSpan w:val="4"/>
            <w:vAlign w:val="center"/>
          </w:tcPr>
          <w:p w14:paraId="446B2353"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rPr>
              <w:lastRenderedPageBreak/>
              <w:t>三、</w:t>
            </w:r>
            <w:r>
              <w:rPr>
                <w:rFonts w:asciiTheme="majorEastAsia" w:eastAsiaTheme="majorEastAsia" w:hAnsiTheme="majorEastAsia" w:cstheme="majorEastAsia" w:hint="eastAsia"/>
                <w:b/>
                <w:bCs/>
                <w:szCs w:val="21"/>
              </w:rPr>
              <w:t>商务部分（15分）</w:t>
            </w:r>
          </w:p>
        </w:tc>
      </w:tr>
      <w:tr w:rsidR="00EE0AE1" w14:paraId="76EF4926" w14:textId="77777777">
        <w:trPr>
          <w:trHeight w:val="1764"/>
          <w:jc w:val="center"/>
        </w:trPr>
        <w:tc>
          <w:tcPr>
            <w:tcW w:w="515" w:type="pct"/>
            <w:vAlign w:val="center"/>
          </w:tcPr>
          <w:p w14:paraId="1AF2024B"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rPr>
              <w:t>1</w:t>
            </w:r>
          </w:p>
        </w:tc>
        <w:tc>
          <w:tcPr>
            <w:tcW w:w="678" w:type="pct"/>
            <w:vAlign w:val="center"/>
          </w:tcPr>
          <w:p w14:paraId="256AD56A" w14:textId="77777777" w:rsidR="00EE0AE1" w:rsidRDefault="00000000">
            <w:pPr>
              <w:jc w:val="center"/>
              <w:rPr>
                <w:rFonts w:asciiTheme="majorEastAsia" w:eastAsiaTheme="majorEastAsia" w:hAnsiTheme="majorEastAsia" w:cstheme="majorEastAsia" w:hint="eastAsia"/>
                <w:b/>
                <w:bCs/>
                <w:sz w:val="18"/>
                <w:szCs w:val="18"/>
              </w:rPr>
            </w:pPr>
            <w:r>
              <w:rPr>
                <w:rFonts w:asciiTheme="majorEastAsia" w:eastAsiaTheme="majorEastAsia" w:hAnsiTheme="majorEastAsia" w:cstheme="majorEastAsia" w:hint="eastAsia"/>
                <w:b/>
                <w:bCs/>
                <w:sz w:val="18"/>
                <w:szCs w:val="18"/>
              </w:rPr>
              <w:t>业绩分</w:t>
            </w:r>
          </w:p>
          <w:p w14:paraId="4E911FFF" w14:textId="77777777" w:rsidR="00EE0AE1" w:rsidRDefault="00000000">
            <w:pPr>
              <w:jc w:val="center"/>
              <w:rPr>
                <w:rFonts w:asciiTheme="majorEastAsia" w:eastAsiaTheme="majorEastAsia" w:hAnsiTheme="majorEastAsia" w:cstheme="majorEastAsia" w:hint="eastAsia"/>
                <w:b/>
                <w:bCs/>
                <w:sz w:val="18"/>
                <w:szCs w:val="18"/>
              </w:rPr>
            </w:pPr>
            <w:r>
              <w:rPr>
                <w:rFonts w:asciiTheme="majorEastAsia" w:eastAsiaTheme="majorEastAsia" w:hAnsiTheme="majorEastAsia" w:cstheme="majorEastAsia" w:hint="eastAsia"/>
                <w:b/>
                <w:bCs/>
                <w:sz w:val="18"/>
                <w:szCs w:val="18"/>
              </w:rPr>
              <w:t>（15分）</w:t>
            </w:r>
          </w:p>
          <w:p w14:paraId="59F74743" w14:textId="77777777" w:rsidR="00EE0AE1" w:rsidRDefault="00EE0AE1">
            <w:pPr>
              <w:snapToGrid w:val="0"/>
              <w:jc w:val="center"/>
              <w:rPr>
                <w:rFonts w:ascii="Times New Roman" w:hAnsi="Times New Roman" w:cs="Times New Roman"/>
                <w:b/>
                <w:bCs/>
              </w:rPr>
            </w:pPr>
          </w:p>
        </w:tc>
        <w:tc>
          <w:tcPr>
            <w:tcW w:w="3429" w:type="pct"/>
          </w:tcPr>
          <w:p w14:paraId="37B75817" w14:textId="7AA1305D" w:rsidR="00EE0AE1" w:rsidRDefault="00000000">
            <w:pPr>
              <w:ind w:firstLineChars="200" w:firstLine="360"/>
              <w:rPr>
                <w:rFonts w:asciiTheme="minorEastAsia" w:hAnsiTheme="minorEastAsia" w:cstheme="minorEastAsia" w:hint="eastAsia"/>
                <w:bCs/>
                <w:kern w:val="0"/>
                <w:sz w:val="18"/>
                <w:szCs w:val="18"/>
              </w:rPr>
            </w:pPr>
            <w:r>
              <w:rPr>
                <w:rFonts w:asciiTheme="minorEastAsia" w:hAnsiTheme="minorEastAsia" w:cstheme="minorEastAsia" w:hint="eastAsia"/>
                <w:bCs/>
                <w:kern w:val="0"/>
                <w:sz w:val="18"/>
                <w:szCs w:val="18"/>
              </w:rPr>
              <w:t>一档（</w:t>
            </w:r>
            <w:r w:rsidR="004E40C0">
              <w:rPr>
                <w:rFonts w:asciiTheme="minorEastAsia" w:hAnsiTheme="minorEastAsia" w:cstheme="minorEastAsia" w:hint="eastAsia"/>
                <w:bCs/>
                <w:kern w:val="0"/>
                <w:sz w:val="18"/>
                <w:szCs w:val="18"/>
              </w:rPr>
              <w:t>11-</w:t>
            </w:r>
            <w:r>
              <w:rPr>
                <w:rFonts w:asciiTheme="minorEastAsia" w:hAnsiTheme="minorEastAsia" w:cstheme="minorEastAsia" w:hint="eastAsia"/>
                <w:bCs/>
                <w:kern w:val="0"/>
                <w:sz w:val="18"/>
                <w:szCs w:val="18"/>
              </w:rPr>
              <w:t>15分）:近三年内(以合同签订日期为准)，供应商具有至少2</w:t>
            </w:r>
            <w:r w:rsidR="009119C1">
              <w:rPr>
                <w:rFonts w:asciiTheme="minorEastAsia" w:hAnsiTheme="minorEastAsia" w:cstheme="minorEastAsia" w:hint="eastAsia"/>
                <w:bCs/>
                <w:kern w:val="0"/>
                <w:sz w:val="18"/>
                <w:szCs w:val="18"/>
              </w:rPr>
              <w:t>个</w:t>
            </w:r>
            <w:r>
              <w:rPr>
                <w:rFonts w:asciiTheme="minorEastAsia" w:hAnsiTheme="minorEastAsia" w:cstheme="minorEastAsia" w:hint="eastAsia"/>
                <w:bCs/>
                <w:kern w:val="0"/>
                <w:sz w:val="18"/>
                <w:szCs w:val="18"/>
              </w:rPr>
              <w:t>与本次招标</w:t>
            </w:r>
            <w:r w:rsidR="009119C1">
              <w:rPr>
                <w:rFonts w:asciiTheme="minorEastAsia" w:hAnsiTheme="minorEastAsia" w:cstheme="minorEastAsia" w:hint="eastAsia"/>
                <w:bCs/>
                <w:kern w:val="0"/>
                <w:sz w:val="18"/>
                <w:szCs w:val="18"/>
              </w:rPr>
              <w:t>工程</w:t>
            </w:r>
            <w:r>
              <w:rPr>
                <w:rFonts w:asciiTheme="minorEastAsia" w:hAnsiTheme="minorEastAsia" w:cstheme="minorEastAsia" w:hint="eastAsia"/>
                <w:bCs/>
                <w:kern w:val="0"/>
                <w:sz w:val="18"/>
                <w:szCs w:val="18"/>
              </w:rPr>
              <w:t>相同或类似的项目业绩，且至少有一个合同金额超过8万元的，提供合同复印件等证明材料;</w:t>
            </w:r>
          </w:p>
          <w:p w14:paraId="77D25480" w14:textId="0C54A002" w:rsidR="00EE0AE1" w:rsidRDefault="00000000">
            <w:pPr>
              <w:ind w:firstLineChars="200" w:firstLine="360"/>
              <w:rPr>
                <w:rFonts w:asciiTheme="minorEastAsia" w:hAnsiTheme="minorEastAsia" w:cstheme="minorEastAsia" w:hint="eastAsia"/>
                <w:bCs/>
                <w:kern w:val="0"/>
                <w:sz w:val="18"/>
                <w:szCs w:val="18"/>
              </w:rPr>
            </w:pPr>
            <w:r>
              <w:rPr>
                <w:rFonts w:asciiTheme="minorEastAsia" w:hAnsiTheme="minorEastAsia" w:cstheme="minorEastAsia" w:hint="eastAsia"/>
                <w:bCs/>
                <w:kern w:val="0"/>
                <w:sz w:val="18"/>
                <w:szCs w:val="18"/>
              </w:rPr>
              <w:t>二档（</w:t>
            </w:r>
            <w:r w:rsidR="004E40C0">
              <w:rPr>
                <w:rFonts w:asciiTheme="minorEastAsia" w:hAnsiTheme="minorEastAsia" w:cstheme="minorEastAsia" w:hint="eastAsia"/>
                <w:bCs/>
                <w:kern w:val="0"/>
                <w:sz w:val="18"/>
                <w:szCs w:val="18"/>
              </w:rPr>
              <w:t>6-</w:t>
            </w:r>
            <w:r>
              <w:rPr>
                <w:rFonts w:asciiTheme="minorEastAsia" w:hAnsiTheme="minorEastAsia" w:cstheme="minorEastAsia" w:hint="eastAsia"/>
                <w:bCs/>
                <w:kern w:val="0"/>
                <w:sz w:val="18"/>
                <w:szCs w:val="18"/>
              </w:rPr>
              <w:t>10分）:近三年内(以合同签订日期为准)，供应商具有至少2个与本次招标</w:t>
            </w:r>
            <w:r w:rsidR="009119C1">
              <w:rPr>
                <w:rFonts w:asciiTheme="minorEastAsia" w:hAnsiTheme="minorEastAsia" w:cstheme="minorEastAsia" w:hint="eastAsia"/>
                <w:bCs/>
                <w:kern w:val="0"/>
                <w:sz w:val="18"/>
                <w:szCs w:val="18"/>
              </w:rPr>
              <w:t>工程</w:t>
            </w:r>
            <w:r>
              <w:rPr>
                <w:rFonts w:asciiTheme="minorEastAsia" w:hAnsiTheme="minorEastAsia" w:cstheme="minorEastAsia" w:hint="eastAsia"/>
                <w:bCs/>
                <w:kern w:val="0"/>
                <w:sz w:val="18"/>
                <w:szCs w:val="18"/>
              </w:rPr>
              <w:t>相同或类似的项目业绩，提供合同复印件等证明材料;</w:t>
            </w:r>
          </w:p>
          <w:p w14:paraId="4F64DA5E" w14:textId="0B913631" w:rsidR="00EE0AE1" w:rsidRDefault="00000000">
            <w:pPr>
              <w:ind w:firstLineChars="200" w:firstLine="360"/>
              <w:rPr>
                <w:rFonts w:asciiTheme="minorEastAsia" w:hAnsiTheme="minorEastAsia" w:cstheme="minorEastAsia" w:hint="eastAsia"/>
                <w:sz w:val="18"/>
                <w:szCs w:val="18"/>
              </w:rPr>
            </w:pPr>
            <w:r>
              <w:rPr>
                <w:rFonts w:asciiTheme="minorEastAsia" w:hAnsiTheme="minorEastAsia" w:cstheme="minorEastAsia" w:hint="eastAsia"/>
                <w:bCs/>
                <w:kern w:val="0"/>
                <w:sz w:val="18"/>
                <w:szCs w:val="18"/>
              </w:rPr>
              <w:t>三档（</w:t>
            </w:r>
            <w:r w:rsidR="004E40C0">
              <w:rPr>
                <w:rFonts w:asciiTheme="minorEastAsia" w:hAnsiTheme="minorEastAsia" w:cstheme="minorEastAsia" w:hint="eastAsia"/>
                <w:bCs/>
                <w:kern w:val="0"/>
                <w:sz w:val="18"/>
                <w:szCs w:val="18"/>
              </w:rPr>
              <w:t>0-</w:t>
            </w:r>
            <w:r>
              <w:rPr>
                <w:rFonts w:asciiTheme="minorEastAsia" w:hAnsiTheme="minorEastAsia" w:cstheme="minorEastAsia" w:hint="eastAsia"/>
                <w:bCs/>
                <w:kern w:val="0"/>
                <w:sz w:val="18"/>
                <w:szCs w:val="18"/>
              </w:rPr>
              <w:t>5分）:近三年内(以合同签订日期为准)，供应商具有至少1</w:t>
            </w:r>
            <w:r w:rsidR="009119C1">
              <w:rPr>
                <w:rFonts w:asciiTheme="minorEastAsia" w:hAnsiTheme="minorEastAsia" w:cstheme="minorEastAsia" w:hint="eastAsia"/>
                <w:bCs/>
                <w:kern w:val="0"/>
                <w:sz w:val="18"/>
                <w:szCs w:val="18"/>
              </w:rPr>
              <w:t>个</w:t>
            </w:r>
            <w:r>
              <w:rPr>
                <w:rFonts w:asciiTheme="minorEastAsia" w:hAnsiTheme="minorEastAsia" w:cstheme="minorEastAsia" w:hint="eastAsia"/>
                <w:bCs/>
                <w:kern w:val="0"/>
                <w:sz w:val="18"/>
                <w:szCs w:val="18"/>
              </w:rPr>
              <w:t>与本次招标</w:t>
            </w:r>
            <w:r w:rsidR="009119C1">
              <w:rPr>
                <w:rFonts w:asciiTheme="minorEastAsia" w:hAnsiTheme="minorEastAsia" w:cstheme="minorEastAsia" w:hint="eastAsia"/>
                <w:bCs/>
                <w:kern w:val="0"/>
                <w:sz w:val="18"/>
                <w:szCs w:val="18"/>
              </w:rPr>
              <w:t>工程</w:t>
            </w:r>
            <w:r>
              <w:rPr>
                <w:rFonts w:asciiTheme="minorEastAsia" w:hAnsiTheme="minorEastAsia" w:cstheme="minorEastAsia" w:hint="eastAsia"/>
                <w:bCs/>
                <w:kern w:val="0"/>
                <w:sz w:val="18"/>
                <w:szCs w:val="18"/>
              </w:rPr>
              <w:t>相同或类似的项目业绩，提供合同复印件等证明材料;</w:t>
            </w:r>
          </w:p>
        </w:tc>
        <w:tc>
          <w:tcPr>
            <w:tcW w:w="375" w:type="pct"/>
          </w:tcPr>
          <w:p w14:paraId="16942026" w14:textId="77777777" w:rsidR="00EE0AE1" w:rsidRDefault="00EE0AE1">
            <w:pPr>
              <w:snapToGrid w:val="0"/>
              <w:jc w:val="center"/>
              <w:rPr>
                <w:rFonts w:asciiTheme="majorEastAsia" w:eastAsiaTheme="majorEastAsia" w:hAnsiTheme="majorEastAsia" w:cstheme="majorEastAsia" w:hint="eastAsia"/>
                <w:b/>
                <w:bCs/>
              </w:rPr>
            </w:pPr>
          </w:p>
        </w:tc>
      </w:tr>
      <w:tr w:rsidR="00EE0AE1" w14:paraId="53C24735" w14:textId="77777777">
        <w:trPr>
          <w:trHeight w:val="379"/>
          <w:jc w:val="center"/>
        </w:trPr>
        <w:tc>
          <w:tcPr>
            <w:tcW w:w="5000" w:type="pct"/>
            <w:gridSpan w:val="4"/>
            <w:vAlign w:val="center"/>
          </w:tcPr>
          <w:p w14:paraId="0EAAA077" w14:textId="77777777" w:rsidR="00EE0AE1" w:rsidRDefault="00000000">
            <w:pPr>
              <w:snapToGrid w:val="0"/>
              <w:jc w:val="center"/>
              <w:rPr>
                <w:rFonts w:asciiTheme="majorEastAsia" w:eastAsiaTheme="majorEastAsia" w:hAnsiTheme="majorEastAsia" w:cstheme="majorEastAsia" w:hint="eastAsia"/>
                <w:b/>
                <w:bCs/>
              </w:rPr>
            </w:pPr>
            <w:r>
              <w:rPr>
                <w:rFonts w:asciiTheme="majorEastAsia" w:eastAsiaTheme="majorEastAsia" w:hAnsiTheme="majorEastAsia" w:cstheme="majorEastAsia" w:hint="eastAsia"/>
                <w:b/>
                <w:bCs/>
                <w:szCs w:val="21"/>
              </w:rPr>
              <w:t>四、服务部分（25分）</w:t>
            </w:r>
          </w:p>
        </w:tc>
      </w:tr>
      <w:tr w:rsidR="00EE0AE1" w14:paraId="7E404D7D" w14:textId="77777777">
        <w:trPr>
          <w:trHeight w:val="4843"/>
          <w:jc w:val="center"/>
        </w:trPr>
        <w:tc>
          <w:tcPr>
            <w:tcW w:w="515" w:type="pct"/>
            <w:vAlign w:val="center"/>
          </w:tcPr>
          <w:p w14:paraId="1E033743" w14:textId="77777777" w:rsidR="00EE0AE1" w:rsidRDefault="00000000">
            <w:pPr>
              <w:snapToGrid w:val="0"/>
              <w:jc w:val="center"/>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1</w:t>
            </w:r>
          </w:p>
        </w:tc>
        <w:tc>
          <w:tcPr>
            <w:tcW w:w="678" w:type="pct"/>
            <w:vAlign w:val="center"/>
          </w:tcPr>
          <w:p w14:paraId="1D8EB38D" w14:textId="77777777" w:rsidR="00EE0AE1" w:rsidRDefault="00000000">
            <w:pPr>
              <w:snapToGrid w:val="0"/>
              <w:jc w:val="center"/>
              <w:rPr>
                <w:rFonts w:asciiTheme="majorEastAsia" w:eastAsiaTheme="majorEastAsia" w:hAnsiTheme="majorEastAsia" w:cstheme="majorEastAsia" w:hint="eastAsia"/>
                <w:b/>
                <w:bCs/>
                <w:sz w:val="18"/>
                <w:szCs w:val="18"/>
              </w:rPr>
            </w:pPr>
            <w:r>
              <w:rPr>
                <w:rFonts w:asciiTheme="majorEastAsia" w:eastAsiaTheme="majorEastAsia" w:hAnsiTheme="majorEastAsia" w:cstheme="majorEastAsia" w:hint="eastAsia"/>
                <w:b/>
                <w:bCs/>
                <w:sz w:val="18"/>
                <w:szCs w:val="18"/>
              </w:rPr>
              <w:t>售后服务</w:t>
            </w:r>
          </w:p>
          <w:p w14:paraId="0085EB45" w14:textId="77777777" w:rsidR="00EE0AE1" w:rsidRDefault="00000000">
            <w:pPr>
              <w:pStyle w:val="a5"/>
              <w:jc w:val="center"/>
            </w:pPr>
            <w:r>
              <w:rPr>
                <w:rFonts w:asciiTheme="majorEastAsia" w:eastAsiaTheme="majorEastAsia" w:hAnsiTheme="majorEastAsia" w:cstheme="majorEastAsia" w:hint="eastAsia"/>
                <w:b/>
                <w:bCs/>
                <w:sz w:val="18"/>
                <w:szCs w:val="18"/>
              </w:rPr>
              <w:t>（25分）</w:t>
            </w:r>
          </w:p>
        </w:tc>
        <w:tc>
          <w:tcPr>
            <w:tcW w:w="3429" w:type="pct"/>
            <w:vAlign w:val="center"/>
          </w:tcPr>
          <w:p w14:paraId="44F71E33" w14:textId="77777777" w:rsidR="00EE0AE1" w:rsidRDefault="00000000">
            <w:pPr>
              <w:pStyle w:val="a4"/>
              <w:ind w:firstLine="420"/>
              <w:rPr>
                <w:rFonts w:asciiTheme="minorEastAsia" w:hAnsiTheme="minorEastAsia" w:cstheme="minorEastAsia" w:hint="eastAsia"/>
                <w:bCs/>
                <w:sz w:val="18"/>
                <w:szCs w:val="18"/>
              </w:rPr>
            </w:pPr>
            <w:r>
              <w:rPr>
                <w:rFonts w:asciiTheme="minorEastAsia" w:hAnsiTheme="minorEastAsia" w:cstheme="minorEastAsia" w:hint="eastAsia"/>
                <w:bCs/>
                <w:sz w:val="18"/>
                <w:szCs w:val="18"/>
              </w:rPr>
              <w:t>依据供应商响应文件中所提供的服务方案及承诺的情况进行综合评定（包括：服务承诺、内部管理机制、服务方案、服务流程、质量控制、进度控制、应急预案、廉洁承诺等方面）进行独立评审并打分，未提供不得分。</w:t>
            </w:r>
          </w:p>
          <w:p w14:paraId="7188C40C" w14:textId="1EB35B9E" w:rsidR="00EE0AE1" w:rsidRDefault="00000000">
            <w:pPr>
              <w:pStyle w:val="a4"/>
              <w:ind w:firstLine="420"/>
              <w:rPr>
                <w:rFonts w:asciiTheme="minorEastAsia" w:hAnsiTheme="minorEastAsia" w:cstheme="minorEastAsia" w:hint="eastAsia"/>
                <w:bCs/>
                <w:sz w:val="18"/>
                <w:szCs w:val="18"/>
              </w:rPr>
            </w:pPr>
            <w:r>
              <w:rPr>
                <w:rFonts w:asciiTheme="minorEastAsia" w:hAnsiTheme="minorEastAsia" w:cstheme="minorEastAsia" w:hint="eastAsia"/>
                <w:bCs/>
                <w:sz w:val="18"/>
                <w:szCs w:val="18"/>
              </w:rPr>
              <w:t>一档（</w:t>
            </w:r>
            <w:r w:rsidR="004E40C0">
              <w:rPr>
                <w:rFonts w:asciiTheme="minorEastAsia" w:hAnsiTheme="minorEastAsia" w:cstheme="minorEastAsia" w:hint="eastAsia"/>
                <w:bCs/>
                <w:sz w:val="18"/>
                <w:szCs w:val="18"/>
              </w:rPr>
              <w:t>21-</w:t>
            </w:r>
            <w:r>
              <w:rPr>
                <w:rFonts w:asciiTheme="minorEastAsia" w:hAnsiTheme="minorEastAsia" w:cstheme="minorEastAsia" w:hint="eastAsia"/>
                <w:bCs/>
                <w:sz w:val="18"/>
                <w:szCs w:val="18"/>
              </w:rPr>
              <w:t>25分）：服务承诺可行，较全面，有健全的服务方案，服务流程科学合理，质量控制，进度控制，应急预案、廉洁承诺描述详尽清晰，内容切实可行、并且对重点难点的分析解决，有内部防范和风险控制制度等，总体评价优秀。</w:t>
            </w:r>
          </w:p>
          <w:p w14:paraId="78276ED5" w14:textId="1D603440" w:rsidR="00EE0AE1" w:rsidRDefault="00000000">
            <w:pPr>
              <w:pStyle w:val="a4"/>
              <w:ind w:firstLine="420"/>
              <w:rPr>
                <w:rFonts w:asciiTheme="minorEastAsia" w:hAnsiTheme="minorEastAsia" w:cstheme="minorEastAsia" w:hint="eastAsia"/>
                <w:bCs/>
                <w:sz w:val="18"/>
                <w:szCs w:val="18"/>
              </w:rPr>
            </w:pPr>
            <w:r>
              <w:rPr>
                <w:rFonts w:asciiTheme="minorEastAsia" w:hAnsiTheme="minorEastAsia" w:cstheme="minorEastAsia" w:hint="eastAsia"/>
                <w:bCs/>
                <w:sz w:val="18"/>
                <w:szCs w:val="18"/>
              </w:rPr>
              <w:t>二档（</w:t>
            </w:r>
            <w:r w:rsidR="004E40C0">
              <w:rPr>
                <w:rFonts w:asciiTheme="minorEastAsia" w:hAnsiTheme="minorEastAsia" w:cstheme="minorEastAsia" w:hint="eastAsia"/>
                <w:bCs/>
                <w:sz w:val="18"/>
                <w:szCs w:val="18"/>
              </w:rPr>
              <w:t>16-</w:t>
            </w:r>
            <w:r>
              <w:rPr>
                <w:rFonts w:asciiTheme="minorEastAsia" w:hAnsiTheme="minorEastAsia" w:cstheme="minorEastAsia" w:hint="eastAsia"/>
                <w:bCs/>
                <w:sz w:val="18"/>
                <w:szCs w:val="18"/>
              </w:rPr>
              <w:t>20分）：服务承诺可行，较全面，有健全的服务方案，服务流程科学合理，质量控制，进度控制，应急预案、廉洁承诺较好，内容切实可行、并且对重点难点的分析解决。</w:t>
            </w:r>
          </w:p>
          <w:p w14:paraId="7B73E2B3" w14:textId="7D1F50F7" w:rsidR="00EE0AE1" w:rsidRDefault="00000000">
            <w:pPr>
              <w:pStyle w:val="a4"/>
              <w:ind w:firstLine="420"/>
              <w:rPr>
                <w:rFonts w:asciiTheme="minorEastAsia" w:hAnsiTheme="minorEastAsia" w:cstheme="minorEastAsia" w:hint="eastAsia"/>
                <w:bCs/>
                <w:sz w:val="18"/>
                <w:szCs w:val="18"/>
              </w:rPr>
            </w:pPr>
            <w:r>
              <w:rPr>
                <w:rFonts w:asciiTheme="minorEastAsia" w:hAnsiTheme="minorEastAsia" w:cstheme="minorEastAsia" w:hint="eastAsia"/>
                <w:bCs/>
                <w:sz w:val="18"/>
                <w:szCs w:val="18"/>
              </w:rPr>
              <w:t>三档（</w:t>
            </w:r>
            <w:r w:rsidR="004E40C0">
              <w:rPr>
                <w:rFonts w:asciiTheme="minorEastAsia" w:hAnsiTheme="minorEastAsia" w:cstheme="minorEastAsia" w:hint="eastAsia"/>
                <w:bCs/>
                <w:sz w:val="18"/>
                <w:szCs w:val="18"/>
              </w:rPr>
              <w:t>11-</w:t>
            </w:r>
            <w:r>
              <w:rPr>
                <w:rFonts w:asciiTheme="minorEastAsia" w:hAnsiTheme="minorEastAsia" w:cstheme="minorEastAsia" w:hint="eastAsia"/>
                <w:bCs/>
                <w:sz w:val="18"/>
                <w:szCs w:val="18"/>
              </w:rPr>
              <w:t xml:space="preserve">15分）：所提供的服务承诺比较全面，服务流程科学合理、质量控制、进度控制等有较详细描述，承诺内容可行，针对性好。     </w:t>
            </w:r>
          </w:p>
          <w:p w14:paraId="7ADE889E" w14:textId="23C1EB64" w:rsidR="00EE0AE1" w:rsidRDefault="00000000">
            <w:pPr>
              <w:pStyle w:val="a4"/>
              <w:ind w:firstLine="420"/>
              <w:rPr>
                <w:rFonts w:asciiTheme="minorEastAsia" w:hAnsiTheme="minorEastAsia" w:cstheme="minorEastAsia" w:hint="eastAsia"/>
                <w:bCs/>
                <w:sz w:val="18"/>
                <w:szCs w:val="18"/>
              </w:rPr>
            </w:pPr>
            <w:r>
              <w:rPr>
                <w:rFonts w:asciiTheme="minorEastAsia" w:hAnsiTheme="minorEastAsia" w:cstheme="minorEastAsia" w:hint="eastAsia"/>
                <w:bCs/>
                <w:sz w:val="18"/>
                <w:szCs w:val="18"/>
              </w:rPr>
              <w:t>四档（</w:t>
            </w:r>
            <w:r w:rsidR="004E40C0">
              <w:rPr>
                <w:rFonts w:asciiTheme="minorEastAsia" w:hAnsiTheme="minorEastAsia" w:cstheme="minorEastAsia" w:hint="eastAsia"/>
                <w:bCs/>
                <w:sz w:val="18"/>
                <w:szCs w:val="18"/>
              </w:rPr>
              <w:t>6-</w:t>
            </w:r>
            <w:r>
              <w:rPr>
                <w:rFonts w:asciiTheme="minorEastAsia" w:hAnsiTheme="minorEastAsia" w:cstheme="minorEastAsia" w:hint="eastAsia"/>
                <w:bCs/>
                <w:sz w:val="18"/>
                <w:szCs w:val="18"/>
              </w:rPr>
              <w:t>10分）：所提供的服务承诺比较全面，在服务措施、响应时间等有较详细描述，承诺内容可行，方案实施程序较好。</w:t>
            </w:r>
          </w:p>
          <w:p w14:paraId="144BE654" w14:textId="38111AA7" w:rsidR="00EE0AE1" w:rsidRDefault="00000000">
            <w:pPr>
              <w:pStyle w:val="a4"/>
              <w:ind w:firstLine="420"/>
              <w:rPr>
                <w:rFonts w:asciiTheme="minorEastAsia" w:hAnsiTheme="minorEastAsia" w:cstheme="minorEastAsia" w:hint="eastAsia"/>
                <w:bCs/>
                <w:sz w:val="18"/>
                <w:szCs w:val="18"/>
              </w:rPr>
            </w:pPr>
            <w:r>
              <w:rPr>
                <w:rFonts w:asciiTheme="minorEastAsia" w:hAnsiTheme="minorEastAsia" w:cstheme="minorEastAsia" w:hint="eastAsia"/>
                <w:bCs/>
                <w:sz w:val="18"/>
                <w:szCs w:val="18"/>
              </w:rPr>
              <w:t>五档（</w:t>
            </w:r>
            <w:r w:rsidR="004E40C0">
              <w:rPr>
                <w:rFonts w:asciiTheme="minorEastAsia" w:hAnsiTheme="minorEastAsia" w:cstheme="minorEastAsia" w:hint="eastAsia"/>
                <w:bCs/>
                <w:sz w:val="18"/>
                <w:szCs w:val="18"/>
              </w:rPr>
              <w:t>0-</w:t>
            </w:r>
            <w:r>
              <w:rPr>
                <w:rFonts w:asciiTheme="minorEastAsia" w:hAnsiTheme="minorEastAsia" w:cstheme="minorEastAsia" w:hint="eastAsia"/>
                <w:bCs/>
                <w:sz w:val="18"/>
                <w:szCs w:val="18"/>
              </w:rPr>
              <w:t>5分）：基本满足采购需求中的服务要求。</w:t>
            </w:r>
          </w:p>
          <w:p w14:paraId="108E9898" w14:textId="77777777" w:rsidR="00EE0AE1" w:rsidRDefault="00EE0AE1">
            <w:pPr>
              <w:pStyle w:val="a4"/>
              <w:ind w:firstLine="420"/>
            </w:pPr>
          </w:p>
        </w:tc>
        <w:tc>
          <w:tcPr>
            <w:tcW w:w="375" w:type="pct"/>
            <w:vAlign w:val="center"/>
          </w:tcPr>
          <w:p w14:paraId="79C40A27" w14:textId="77777777" w:rsidR="00EE0AE1" w:rsidRDefault="00EE0AE1">
            <w:pPr>
              <w:snapToGrid w:val="0"/>
              <w:jc w:val="center"/>
              <w:rPr>
                <w:rFonts w:asciiTheme="majorEastAsia" w:eastAsiaTheme="majorEastAsia" w:hAnsiTheme="majorEastAsia" w:cstheme="majorEastAsia" w:hint="eastAsia"/>
                <w:b/>
                <w:bCs/>
                <w:szCs w:val="21"/>
              </w:rPr>
            </w:pPr>
          </w:p>
        </w:tc>
      </w:tr>
    </w:tbl>
    <w:p w14:paraId="0051E0C1" w14:textId="77777777" w:rsidR="00EE0AE1" w:rsidRDefault="00EE0AE1"/>
    <w:p w14:paraId="01F3DA55" w14:textId="77777777" w:rsidR="00EE0AE1" w:rsidRDefault="00EE0AE1"/>
    <w:sectPr w:rsidR="00EE0A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4EDC" w14:textId="77777777" w:rsidR="00D16767" w:rsidRDefault="00D16767" w:rsidP="003A5B28">
      <w:r>
        <w:separator/>
      </w:r>
    </w:p>
  </w:endnote>
  <w:endnote w:type="continuationSeparator" w:id="0">
    <w:p w14:paraId="257B9207" w14:textId="77777777" w:rsidR="00D16767" w:rsidRDefault="00D16767" w:rsidP="003A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971F" w14:textId="77777777" w:rsidR="00D16767" w:rsidRDefault="00D16767" w:rsidP="003A5B28">
      <w:r>
        <w:separator/>
      </w:r>
    </w:p>
  </w:footnote>
  <w:footnote w:type="continuationSeparator" w:id="0">
    <w:p w14:paraId="5277A740" w14:textId="77777777" w:rsidR="00D16767" w:rsidRDefault="00D16767" w:rsidP="003A5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19A07DF"/>
    <w:rsid w:val="003A5B28"/>
    <w:rsid w:val="00425572"/>
    <w:rsid w:val="004E40C0"/>
    <w:rsid w:val="009119C1"/>
    <w:rsid w:val="009C5F04"/>
    <w:rsid w:val="00AE211A"/>
    <w:rsid w:val="00D16767"/>
    <w:rsid w:val="00DE79F5"/>
    <w:rsid w:val="00EE0AE1"/>
    <w:rsid w:val="519A07DF"/>
    <w:rsid w:val="73030400"/>
    <w:rsid w:val="7BAE0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48001"/>
  <w15:docId w15:val="{10635BFD-8846-410D-BC5D-A6236DA0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4"/>
    <w:qFormat/>
    <w:pPr>
      <w:pBdr>
        <w:bottom w:val="single" w:sz="6" w:space="1" w:color="auto"/>
      </w:pBdr>
      <w:tabs>
        <w:tab w:val="center" w:pos="4153"/>
        <w:tab w:val="right" w:pos="8306"/>
      </w:tabs>
      <w:snapToGrid w:val="0"/>
      <w:jc w:val="center"/>
    </w:pPr>
    <w:rPr>
      <w:rFonts w:ascii="宋体" w:hAnsi="Courier New"/>
      <w:kern w:val="0"/>
      <w:sz w:val="18"/>
      <w:szCs w:val="20"/>
    </w:rPr>
  </w:style>
  <w:style w:type="paragraph" w:styleId="a4">
    <w:name w:val="Plain Text"/>
    <w:basedOn w:val="a"/>
    <w:qFormat/>
    <w:rPr>
      <w:rFonts w:ascii="宋体" w:hAnsi="Courier New"/>
      <w:kern w:val="0"/>
      <w:sz w:val="20"/>
      <w:szCs w:val="20"/>
    </w:rPr>
  </w:style>
  <w:style w:type="paragraph" w:styleId="a5">
    <w:name w:val="Body Text"/>
    <w:basedOn w:val="a"/>
    <w:qFormat/>
    <w:pPr>
      <w:spacing w:after="120"/>
    </w:p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3A5B28"/>
    <w:pPr>
      <w:tabs>
        <w:tab w:val="center" w:pos="4153"/>
        <w:tab w:val="right" w:pos="8306"/>
      </w:tabs>
      <w:snapToGrid w:val="0"/>
      <w:jc w:val="left"/>
    </w:pPr>
    <w:rPr>
      <w:sz w:val="18"/>
      <w:szCs w:val="18"/>
    </w:rPr>
  </w:style>
  <w:style w:type="character" w:customStyle="1" w:styleId="a8">
    <w:name w:val="页脚 字符"/>
    <w:basedOn w:val="a1"/>
    <w:link w:val="a7"/>
    <w:rsid w:val="003A5B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dc:creator>
  <cp:lastModifiedBy>琳 郭</cp:lastModifiedBy>
  <cp:revision>5</cp:revision>
  <dcterms:created xsi:type="dcterms:W3CDTF">2025-11-13T02:35:00Z</dcterms:created>
  <dcterms:modified xsi:type="dcterms:W3CDTF">2025-11-14T00:32:00Z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12B12936F2EF44F29557CF21DE337BEE_13</vt:lpwstr>
  </property>
  <property fmtid="{D5CDD505-2E9C-101B-9397-08002B2CF9AE}" pid="4" name="KSOTemplateDocerSaveRecord">
    <vt:lpwstr>eyJoZGlkIjoiNzhhMjhjMDk3ZjY4MThiMTk1Nzg4NDA0Y2YyYzM1MmUiLCJ1c2VySWQiOiI2OTM4NjYyMzMifQ==</vt:lpwstr>
  </property>
</Properties>
</file>