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54A3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附件1</w:t>
      </w:r>
    </w:p>
    <w:p w14:paraId="6018F5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采购需求</w:t>
      </w:r>
    </w:p>
    <w:tbl>
      <w:tblPr>
        <w:tblStyle w:val="8"/>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652"/>
        <w:gridCol w:w="7125"/>
      </w:tblGrid>
      <w:tr w14:paraId="074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5" w:type="dxa"/>
            <w:gridSpan w:val="3"/>
            <w:vAlign w:val="center"/>
          </w:tcPr>
          <w:p w14:paraId="1CB8072F">
            <w:pPr>
              <w:pStyle w:val="5"/>
              <w:numPr>
                <w:numId w:val="0"/>
              </w:numPr>
              <w:ind w:leftChars="0" w:right="33" w:rightChars="0"/>
              <w:rPr>
                <w:rFonts w:hint="eastAsia" w:eastAsia="宋体" w:cs="Times New Roman"/>
                <w:b/>
                <w:bCs w:val="0"/>
                <w:color w:val="auto"/>
                <w:szCs w:val="21"/>
                <w:highlight w:val="none"/>
              </w:rPr>
            </w:pPr>
            <w:r>
              <w:rPr>
                <w:rFonts w:hint="eastAsia"/>
                <w:b/>
                <w:bCs/>
                <w:color w:val="auto"/>
                <w:szCs w:val="21"/>
                <w:highlight w:val="none"/>
                <w:lang w:eastAsia="zh-CN"/>
              </w:rPr>
              <w:t>一</w:t>
            </w:r>
            <w:r>
              <w:rPr>
                <w:rFonts w:hint="eastAsia"/>
                <w:b/>
                <w:bCs/>
                <w:color w:val="auto"/>
                <w:szCs w:val="21"/>
                <w:highlight w:val="none"/>
              </w:rPr>
              <w:t>、</w:t>
            </w:r>
            <w:r>
              <w:rPr>
                <w:rFonts w:hint="eastAsia" w:eastAsia="宋体" w:cs="Times New Roman"/>
                <w:b/>
                <w:bCs w:val="0"/>
                <w:color w:val="auto"/>
                <w:szCs w:val="21"/>
                <w:highlight w:val="none"/>
              </w:rPr>
              <w:t>项目概况</w:t>
            </w:r>
          </w:p>
          <w:p w14:paraId="14D679B2">
            <w:pPr>
              <w:pStyle w:val="5"/>
              <w:numPr>
                <w:ilvl w:val="0"/>
                <w:numId w:val="0"/>
              </w:numPr>
              <w:ind w:leftChars="0" w:right="33" w:rightChars="0" w:firstLine="480" w:firstLineChars="200"/>
              <w:rPr>
                <w:rFonts w:hint="eastAsia"/>
                <w:b/>
                <w:bCs/>
                <w:color w:val="auto"/>
                <w:szCs w:val="21"/>
                <w:highlight w:val="none"/>
              </w:rPr>
            </w:pPr>
            <w:r>
              <w:rPr>
                <w:rFonts w:hint="eastAsia" w:ascii="宋体" w:hAnsi="宋体" w:eastAsia="宋体" w:cs="宋体"/>
                <w:b w:val="0"/>
                <w:bCs w:val="0"/>
                <w:color w:val="auto"/>
                <w:szCs w:val="21"/>
                <w:highlight w:val="none"/>
                <w:lang w:val="en-US" w:eastAsia="zh-CN"/>
              </w:rPr>
              <w:t>为了满足北部湾海洋生物多样性监测的需求，采集浮游植物、浮游动物以及鱼卵和仔稚鱼等样本，并对通过浮游生物网的水体积进行测量。需要购置7台垂直拖网数字生物网口流量计和3台水平拖网数字生物网口流量计。</w:t>
            </w:r>
          </w:p>
        </w:tc>
      </w:tr>
      <w:tr w14:paraId="6FEC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5" w:type="dxa"/>
            <w:gridSpan w:val="3"/>
            <w:vAlign w:val="center"/>
          </w:tcPr>
          <w:p w14:paraId="4AA3DE9F">
            <w:pPr>
              <w:spacing w:line="360" w:lineRule="auto"/>
              <w:rPr>
                <w:color w:val="auto"/>
                <w:szCs w:val="21"/>
                <w:highlight w:val="none"/>
              </w:rPr>
            </w:pPr>
            <w:r>
              <w:rPr>
                <w:rFonts w:hint="eastAsia"/>
                <w:b/>
                <w:bCs/>
                <w:color w:val="auto"/>
                <w:szCs w:val="21"/>
                <w:highlight w:val="none"/>
                <w:lang w:eastAsia="zh-CN"/>
              </w:rPr>
              <w:t>二</w:t>
            </w:r>
            <w:r>
              <w:rPr>
                <w:rFonts w:hint="eastAsia"/>
                <w:b/>
                <w:bCs/>
                <w:color w:val="auto"/>
                <w:szCs w:val="21"/>
                <w:highlight w:val="none"/>
              </w:rPr>
              <w:t>、项目要求</w:t>
            </w:r>
          </w:p>
        </w:tc>
      </w:tr>
      <w:tr w14:paraId="5020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Align w:val="center"/>
          </w:tcPr>
          <w:p w14:paraId="03091369">
            <w:pPr>
              <w:spacing w:line="360" w:lineRule="auto"/>
              <w:jc w:val="center"/>
              <w:rPr>
                <w:color w:val="auto"/>
                <w:szCs w:val="21"/>
                <w:highlight w:val="none"/>
              </w:rPr>
            </w:pPr>
            <w:r>
              <w:rPr>
                <w:rFonts w:hint="eastAsia"/>
                <w:b/>
                <w:color w:val="auto"/>
                <w:szCs w:val="21"/>
                <w:highlight w:val="none"/>
              </w:rPr>
              <w:t>名称</w:t>
            </w:r>
          </w:p>
        </w:tc>
        <w:tc>
          <w:tcPr>
            <w:tcW w:w="652" w:type="dxa"/>
            <w:vAlign w:val="center"/>
          </w:tcPr>
          <w:p w14:paraId="5ABFD238">
            <w:pPr>
              <w:spacing w:line="360" w:lineRule="auto"/>
              <w:jc w:val="center"/>
              <w:rPr>
                <w:color w:val="auto"/>
                <w:szCs w:val="21"/>
                <w:highlight w:val="none"/>
              </w:rPr>
            </w:pPr>
            <w:r>
              <w:rPr>
                <w:rFonts w:hint="eastAsia"/>
                <w:b/>
                <w:color w:val="auto"/>
                <w:szCs w:val="21"/>
                <w:highlight w:val="none"/>
              </w:rPr>
              <w:t>数量</w:t>
            </w:r>
          </w:p>
        </w:tc>
        <w:tc>
          <w:tcPr>
            <w:tcW w:w="7125" w:type="dxa"/>
            <w:vAlign w:val="center"/>
          </w:tcPr>
          <w:p w14:paraId="503789EE">
            <w:pPr>
              <w:spacing w:line="360" w:lineRule="auto"/>
              <w:jc w:val="center"/>
              <w:rPr>
                <w:rFonts w:hint="eastAsia" w:eastAsia="宋体"/>
                <w:color w:val="auto"/>
                <w:szCs w:val="21"/>
                <w:highlight w:val="none"/>
                <w:lang w:eastAsia="zh-CN"/>
              </w:rPr>
            </w:pPr>
            <w:r>
              <w:rPr>
                <w:rFonts w:hint="eastAsia"/>
                <w:b/>
                <w:bCs/>
                <w:color w:val="auto"/>
                <w:szCs w:val="21"/>
                <w:highlight w:val="none"/>
                <w:lang w:val="en-US"/>
              </w:rPr>
              <w:t>需求</w:t>
            </w:r>
            <w:r>
              <w:rPr>
                <w:rFonts w:hint="eastAsia"/>
                <w:b/>
                <w:bCs/>
                <w:color w:val="auto"/>
                <w:szCs w:val="21"/>
                <w:highlight w:val="none"/>
                <w:lang w:val="en-US" w:eastAsia="zh-CN"/>
              </w:rPr>
              <w:t>内容</w:t>
            </w:r>
          </w:p>
        </w:tc>
      </w:tr>
      <w:tr w14:paraId="719A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178" w:type="dxa"/>
            <w:vAlign w:val="center"/>
          </w:tcPr>
          <w:p w14:paraId="309F985E">
            <w:pPr>
              <w:pStyle w:val="4"/>
              <w:ind w:left="0" w:leftChars="0" w:firstLine="0" w:firstLineChars="0"/>
              <w:jc w:val="left"/>
              <w:rPr>
                <w:rFonts w:hint="eastAsia" w:eastAsia="宋体"/>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2025年购置10台数字生物网口流量计项目</w:t>
            </w:r>
          </w:p>
        </w:tc>
        <w:tc>
          <w:tcPr>
            <w:tcW w:w="652" w:type="dxa"/>
            <w:vAlign w:val="center"/>
          </w:tcPr>
          <w:p w14:paraId="606DE03E">
            <w:pPr>
              <w:spacing w:line="360" w:lineRule="auto"/>
              <w:jc w:val="center"/>
              <w:rPr>
                <w:rFonts w:hint="eastAsia"/>
                <w:color w:val="auto"/>
                <w:highlight w:val="none"/>
                <w:lang w:val="en-US" w:eastAsia="zh-CN"/>
              </w:rPr>
            </w:pPr>
            <w:r>
              <w:rPr>
                <w:rFonts w:hint="eastAsia"/>
                <w:color w:val="auto"/>
                <w:highlight w:val="none"/>
                <w:lang w:val="en-US" w:eastAsia="zh-CN"/>
              </w:rPr>
              <w:t>10</w:t>
            </w:r>
          </w:p>
          <w:p w14:paraId="6F30EE22">
            <w:pPr>
              <w:spacing w:line="360" w:lineRule="auto"/>
              <w:jc w:val="center"/>
              <w:rPr>
                <w:rFonts w:hint="default" w:eastAsia="宋体"/>
                <w:color w:val="auto"/>
                <w:highlight w:val="none"/>
                <w:lang w:val="en-US" w:eastAsia="zh-CN"/>
              </w:rPr>
            </w:pPr>
            <w:r>
              <w:rPr>
                <w:rFonts w:hint="eastAsia"/>
                <w:color w:val="auto"/>
                <w:highlight w:val="none"/>
                <w:lang w:val="en-US" w:eastAsia="zh-CN"/>
              </w:rPr>
              <w:t>台</w:t>
            </w:r>
          </w:p>
        </w:tc>
        <w:tc>
          <w:tcPr>
            <w:tcW w:w="7125" w:type="dxa"/>
            <w:vAlign w:val="top"/>
          </w:tcPr>
          <w:p w14:paraId="02ABF79A">
            <w:pPr>
              <w:pStyle w:val="5"/>
              <w:numPr>
                <w:numId w:val="0"/>
              </w:numPr>
              <w:ind w:leftChars="0" w:right="33" w:rightChars="0"/>
              <w:rPr>
                <w:rFonts w:hint="eastAsia" w:eastAsia="宋体" w:cs="Times New Roman"/>
                <w:b/>
                <w:bCs w:val="0"/>
                <w:color w:val="auto"/>
                <w:szCs w:val="21"/>
                <w:highlight w:val="none"/>
                <w:lang w:val="en-US" w:eastAsia="zh-CN"/>
              </w:rPr>
            </w:pPr>
            <w:r>
              <w:rPr>
                <w:rFonts w:hint="eastAsia" w:cs="Times New Roman"/>
                <w:b/>
                <w:bCs w:val="0"/>
                <w:color w:val="auto"/>
                <w:szCs w:val="21"/>
                <w:highlight w:val="none"/>
                <w:lang w:val="en-US" w:eastAsia="zh-CN"/>
              </w:rPr>
              <w:t>（1）</w:t>
            </w:r>
            <w:r>
              <w:rPr>
                <w:rFonts w:hint="eastAsia" w:eastAsia="宋体" w:cs="Times New Roman"/>
                <w:b/>
                <w:bCs w:val="0"/>
                <w:color w:val="auto"/>
                <w:szCs w:val="21"/>
                <w:highlight w:val="none"/>
                <w:lang w:val="en-US" w:eastAsia="zh-CN"/>
              </w:rPr>
              <w:t>采购标的汇总表</w:t>
            </w:r>
          </w:p>
          <w:tbl>
            <w:tblPr>
              <w:tblStyle w:val="8"/>
              <w:tblpPr w:leftFromText="180" w:rightFromText="180" w:vertAnchor="text" w:horzAnchor="page" w:tblpXSpec="center" w:tblpY="2"/>
              <w:tblOverlap w:val="never"/>
              <w:tblW w:w="6577" w:type="dxa"/>
              <w:jc w:val="center"/>
              <w:tblLayout w:type="fixed"/>
              <w:tblCellMar>
                <w:top w:w="0" w:type="dxa"/>
                <w:left w:w="108" w:type="dxa"/>
                <w:bottom w:w="0" w:type="dxa"/>
                <w:right w:w="108" w:type="dxa"/>
              </w:tblCellMar>
            </w:tblPr>
            <w:tblGrid>
              <w:gridCol w:w="718"/>
              <w:gridCol w:w="866"/>
              <w:gridCol w:w="826"/>
              <w:gridCol w:w="790"/>
              <w:gridCol w:w="900"/>
              <w:gridCol w:w="2477"/>
            </w:tblGrid>
            <w:tr w14:paraId="01E8755F">
              <w:trPr>
                <w:trHeight w:val="1742"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A1F2D">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CA22F">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产品名称</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BF6CB">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844C5">
                  <w:pPr>
                    <w:widowControl/>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单价（RMB)元</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28964">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含税运价格（RMB)元</w:t>
                  </w:r>
                </w:p>
              </w:tc>
              <w:tc>
                <w:tcPr>
                  <w:tcW w:w="1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95390">
                  <w:pPr>
                    <w:widowControl/>
                    <w:jc w:val="center"/>
                    <w:textAlignment w:val="center"/>
                    <w:rPr>
                      <w:rFonts w:hint="eastAsia" w:ascii="宋体" w:hAnsi="宋体" w:eastAsia="宋体" w:cs="宋体"/>
                      <w:b/>
                      <w:bCs/>
                      <w:kern w:val="0"/>
                      <w:sz w:val="21"/>
                      <w:szCs w:val="21"/>
                      <w:lang w:bidi="ar"/>
                    </w:rPr>
                  </w:pPr>
                  <w:r>
                    <w:rPr>
                      <w:rFonts w:hint="eastAsia" w:cs="宋体" w:asciiTheme="minorEastAsia" w:hAnsiTheme="minorEastAsia"/>
                      <w:b/>
                      <w:bCs/>
                      <w:spacing w:val="10"/>
                      <w:kern w:val="0"/>
                      <w:sz w:val="21"/>
                      <w:szCs w:val="21"/>
                    </w:rPr>
                    <w:t>性能指标</w:t>
                  </w:r>
                </w:p>
              </w:tc>
            </w:tr>
            <w:tr w14:paraId="6B67537E">
              <w:trPr>
                <w:trHeight w:val="1453"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52D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4317">
                  <w:pPr>
                    <w:widowControl/>
                    <w:jc w:val="center"/>
                    <w:textAlignment w:val="center"/>
                    <w:rPr>
                      <w:rFonts w:hint="eastAsia" w:ascii="宋体" w:hAnsi="宋体" w:eastAsia="宋体" w:cs="宋体"/>
                      <w:sz w:val="20"/>
                      <w:szCs w:val="20"/>
                    </w:rPr>
                  </w:pPr>
                  <w:r>
                    <w:rPr>
                      <w:rFonts w:hint="eastAsia" w:eastAsia="宋体" w:cs="Times New Roman"/>
                      <w:b w:val="0"/>
                      <w:bCs/>
                      <w:color w:val="auto"/>
                      <w:sz w:val="21"/>
                      <w:szCs w:val="18"/>
                      <w:highlight w:val="none"/>
                      <w:vertAlign w:val="baseline"/>
                      <w:lang w:val="en-US" w:eastAsia="zh-CN"/>
                    </w:rPr>
                    <w:t>垂直拖网数字生物网口流量计</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2A6F">
                  <w:pPr>
                    <w:widowControl/>
                    <w:jc w:val="center"/>
                    <w:textAlignment w:val="center"/>
                    <w:rPr>
                      <w:rFonts w:hint="eastAsia" w:ascii="宋体" w:hAnsi="宋体" w:eastAsia="宋体" w:cs="宋体"/>
                      <w:sz w:val="20"/>
                      <w:szCs w:val="20"/>
                      <w:lang w:eastAsia="zh-CN"/>
                    </w:rPr>
                  </w:pPr>
                  <w:r>
                    <w:rPr>
                      <w:rStyle w:val="13"/>
                      <w:rFonts w:hint="eastAsia" w:eastAsia="宋体"/>
                      <w:color w:val="auto"/>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5B7B">
                  <w:pPr>
                    <w:widowControl/>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E17E">
                  <w:pPr>
                    <w:widowControl/>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52500</w:t>
                  </w:r>
                </w:p>
              </w:tc>
              <w:tc>
                <w:tcPr>
                  <w:tcW w:w="1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31C4">
                  <w:pPr>
                    <w:widowControl/>
                    <w:jc w:val="center"/>
                    <w:textAlignment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w:t>
                  </w:r>
                  <w:r>
                    <w:rPr>
                      <w:rFonts w:hint="eastAsia" w:ascii="Times New Roman" w:hAnsi="Times New Roman" w:cs="Times New Roman"/>
                      <w:sz w:val="20"/>
                      <w:szCs w:val="20"/>
                      <w:lang w:val="en-US" w:eastAsia="zh-CN"/>
                    </w:rPr>
                    <w:t>1</w:t>
                  </w:r>
                  <w:r>
                    <w:rPr>
                      <w:rFonts w:hint="eastAsia" w:ascii="Times New Roman" w:hAnsi="Times New Roman" w:eastAsia="宋体" w:cs="Times New Roman"/>
                      <w:sz w:val="20"/>
                      <w:szCs w:val="20"/>
                    </w:rPr>
                    <w:t>）便捷的单点连接或双点连接</w:t>
                  </w:r>
                </w:p>
                <w:p w14:paraId="3D5D5B87">
                  <w:pPr>
                    <w:widowControl/>
                    <w:jc w:val="center"/>
                    <w:textAlignment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w:t>
                  </w:r>
                  <w:r>
                    <w:rPr>
                      <w:rFonts w:hint="eastAsia" w:ascii="Times New Roman" w:hAnsi="Times New Roman" w:cs="Times New Roman"/>
                      <w:sz w:val="20"/>
                      <w:szCs w:val="20"/>
                      <w:lang w:val="en-US" w:eastAsia="zh-CN"/>
                    </w:rPr>
                    <w:t>2</w:t>
                  </w:r>
                  <w:r>
                    <w:rPr>
                      <w:rFonts w:hint="eastAsia" w:ascii="Times New Roman" w:hAnsi="Times New Roman" w:eastAsia="宋体" w:cs="Times New Roman"/>
                      <w:sz w:val="20"/>
                      <w:szCs w:val="20"/>
                    </w:rPr>
                    <w:t>）垂直拖网使用</w:t>
                  </w:r>
                </w:p>
                <w:p w14:paraId="3F836852">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hint="eastAsia" w:ascii="Times New Roman" w:hAnsi="Times New Roman" w:cs="Times New Roman"/>
                      <w:sz w:val="20"/>
                      <w:szCs w:val="20"/>
                      <w:lang w:val="en-US" w:eastAsia="zh-CN"/>
                    </w:rPr>
                    <w:t>3</w:t>
                  </w:r>
                  <w:r>
                    <w:rPr>
                      <w:rFonts w:hint="eastAsia" w:ascii="Times New Roman" w:hAnsi="Times New Roman" w:eastAsia="宋体" w:cs="Times New Roman"/>
                      <w:sz w:val="20"/>
                      <w:szCs w:val="20"/>
                    </w:rPr>
                    <w:t>）带逆行自动停止功能</w:t>
                  </w:r>
                </w:p>
              </w:tc>
            </w:tr>
            <w:tr w14:paraId="3674B11A">
              <w:trPr>
                <w:trHeight w:val="1463"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85A3">
                  <w:pPr>
                    <w:jc w:val="center"/>
                    <w:rPr>
                      <w:rFonts w:hint="eastAsia" w:ascii="宋体" w:hAnsi="宋体" w:eastAsia="宋体" w:cs="宋体"/>
                      <w:sz w:val="20"/>
                      <w:szCs w:val="20"/>
                    </w:rPr>
                  </w:pPr>
                  <w:r>
                    <w:rPr>
                      <w:rFonts w:hint="eastAsia" w:ascii="宋体" w:hAnsi="宋体" w:eastAsia="宋体" w:cs="宋体"/>
                      <w:sz w:val="20"/>
                      <w:szCs w:val="20"/>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1694">
                  <w:pPr>
                    <w:jc w:val="center"/>
                    <w:rPr>
                      <w:rFonts w:hint="eastAsia" w:ascii="宋体" w:hAnsi="宋体" w:eastAsia="宋体" w:cs="宋体"/>
                      <w:sz w:val="20"/>
                      <w:szCs w:val="20"/>
                    </w:rPr>
                  </w:pPr>
                  <w:r>
                    <w:rPr>
                      <w:rFonts w:hint="eastAsia" w:eastAsia="宋体" w:cs="Times New Roman"/>
                      <w:b w:val="0"/>
                      <w:bCs/>
                      <w:color w:val="auto"/>
                      <w:sz w:val="21"/>
                      <w:szCs w:val="18"/>
                      <w:highlight w:val="none"/>
                      <w:vertAlign w:val="baseline"/>
                      <w:lang w:val="en-US" w:eastAsia="zh-CN"/>
                    </w:rPr>
                    <w:t>水平拖网数字生物网口流量计</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7851">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CA0D">
                  <w:pPr>
                    <w:widowControl/>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AC71">
                  <w:pPr>
                    <w:widowControl/>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22500</w:t>
                  </w:r>
                  <w:bookmarkStart w:id="0" w:name="_GoBack"/>
                  <w:bookmarkEnd w:id="0"/>
                </w:p>
              </w:tc>
              <w:tc>
                <w:tcPr>
                  <w:tcW w:w="1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574C">
                  <w:pPr>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w:t>
                  </w:r>
                  <w:r>
                    <w:rPr>
                      <w:rFonts w:hint="eastAsia" w:ascii="Times New Roman" w:hAnsi="Times New Roman" w:cs="Times New Roman"/>
                      <w:sz w:val="20"/>
                      <w:szCs w:val="20"/>
                      <w:lang w:val="en-US" w:eastAsia="zh-CN"/>
                    </w:rPr>
                    <w:t>1</w:t>
                  </w:r>
                  <w:r>
                    <w:rPr>
                      <w:rFonts w:hint="eastAsia" w:ascii="Times New Roman" w:hAnsi="Times New Roman" w:eastAsia="宋体" w:cs="Times New Roman"/>
                      <w:sz w:val="20"/>
                      <w:szCs w:val="20"/>
                    </w:rPr>
                    <w:t>）便捷的单点连接或双点连接</w:t>
                  </w:r>
                </w:p>
                <w:p w14:paraId="420A8590">
                  <w:pPr>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w:t>
                  </w:r>
                  <w:r>
                    <w:rPr>
                      <w:rFonts w:hint="eastAsia" w:ascii="Times New Roman" w:hAnsi="Times New Roman" w:cs="Times New Roman"/>
                      <w:sz w:val="20"/>
                      <w:szCs w:val="20"/>
                      <w:lang w:val="en-US" w:eastAsia="zh-CN"/>
                    </w:rPr>
                    <w:t>2</w:t>
                  </w:r>
                  <w:r>
                    <w:rPr>
                      <w:rFonts w:hint="eastAsia" w:ascii="Times New Roman" w:hAnsi="Times New Roman" w:eastAsia="宋体" w:cs="Times New Roman"/>
                      <w:sz w:val="20"/>
                      <w:szCs w:val="20"/>
                    </w:rPr>
                    <w:t>）水平拖网使用</w:t>
                  </w:r>
                </w:p>
                <w:p w14:paraId="2047D2F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hint="eastAsia" w:ascii="Times New Roman" w:hAnsi="Times New Roman" w:cs="Times New Roman"/>
                      <w:sz w:val="20"/>
                      <w:szCs w:val="20"/>
                      <w:lang w:val="en-US" w:eastAsia="zh-CN"/>
                    </w:rPr>
                    <w:t>3</w:t>
                  </w:r>
                  <w:r>
                    <w:rPr>
                      <w:rFonts w:hint="eastAsia" w:ascii="Times New Roman" w:hAnsi="Times New Roman" w:eastAsia="宋体" w:cs="Times New Roman"/>
                      <w:sz w:val="20"/>
                      <w:szCs w:val="20"/>
                    </w:rPr>
                    <w:t>）带逆行自动停止功能</w:t>
                  </w:r>
                </w:p>
              </w:tc>
            </w:tr>
          </w:tbl>
          <w:p w14:paraId="32B1A380">
            <w:pPr>
              <w:pStyle w:val="5"/>
              <w:numPr>
                <w:numId w:val="0"/>
              </w:numPr>
              <w:ind w:leftChars="0" w:right="33" w:rightChars="0"/>
              <w:rPr>
                <w:rFonts w:hint="eastAsia" w:eastAsia="宋体" w:cs="Times New Roman"/>
                <w:b/>
                <w:bCs w:val="0"/>
                <w:color w:val="auto"/>
                <w:szCs w:val="21"/>
                <w:highlight w:val="none"/>
              </w:rPr>
            </w:pPr>
            <w:r>
              <w:rPr>
                <w:rFonts w:hint="eastAsia" w:cs="Times New Roman"/>
                <w:b/>
                <w:bCs w:val="0"/>
                <w:color w:val="auto"/>
                <w:szCs w:val="21"/>
                <w:highlight w:val="none"/>
                <w:lang w:val="en-US" w:eastAsia="zh-CN"/>
              </w:rPr>
              <w:t>（2）</w:t>
            </w:r>
            <w:r>
              <w:rPr>
                <w:rFonts w:hint="eastAsia" w:eastAsia="宋体" w:cs="Times New Roman"/>
                <w:b/>
                <w:bCs w:val="0"/>
                <w:color w:val="auto"/>
                <w:szCs w:val="21"/>
                <w:highlight w:val="none"/>
                <w:lang w:val="en-US" w:eastAsia="zh-CN"/>
              </w:rPr>
              <w:t>技术要求</w:t>
            </w:r>
          </w:p>
          <w:p w14:paraId="5048899A">
            <w:pPr>
              <w:pStyle w:val="5"/>
              <w:numPr>
                <w:ilvl w:val="0"/>
                <w:numId w:val="0"/>
              </w:numPr>
              <w:ind w:leftChars="0" w:right="33" w:rightChars="0"/>
              <w:rPr>
                <w:rFonts w:hint="eastAsia" w:eastAsia="宋体" w:cs="Times New Roman"/>
                <w:b/>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垂直拖网数字生物网口流量计：</w:t>
            </w:r>
          </w:p>
          <w:p w14:paraId="5298853A">
            <w:pPr>
              <w:pStyle w:val="5"/>
              <w:ind w:left="0" w:firstLine="480" w:firstLineChars="200"/>
              <w:rPr>
                <w:rFonts w:hint="eastAsia" w:ascii="宋体" w:hAnsi="宋体" w:eastAsia="宋体" w:cs="宋体"/>
                <w:b w:val="0"/>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1</w:t>
            </w:r>
            <w:r>
              <w:rPr>
                <w:rFonts w:hint="eastAsia" w:ascii="宋体" w:hAnsi="宋体" w:eastAsia="宋体" w:cs="宋体"/>
                <w:b w:val="0"/>
                <w:bCs w:val="0"/>
                <w:color w:val="auto"/>
                <w:sz w:val="24"/>
                <w:szCs w:val="21"/>
                <w:highlight w:val="none"/>
                <w:lang w:eastAsia="zh-CN"/>
              </w:rPr>
              <w:t>）便捷的单点连接或双点连接</w:t>
            </w:r>
          </w:p>
          <w:p w14:paraId="737511B7">
            <w:pPr>
              <w:pStyle w:val="5"/>
              <w:ind w:left="0" w:firstLine="480" w:firstLineChars="200"/>
              <w:rPr>
                <w:rFonts w:hint="eastAsia" w:ascii="宋体" w:hAnsi="宋体" w:eastAsia="宋体" w:cs="宋体"/>
                <w:b w:val="0"/>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2</w:t>
            </w:r>
            <w:r>
              <w:rPr>
                <w:rFonts w:hint="eastAsia" w:ascii="宋体" w:hAnsi="宋体" w:eastAsia="宋体" w:cs="宋体"/>
                <w:b w:val="0"/>
                <w:bCs w:val="0"/>
                <w:color w:val="auto"/>
                <w:sz w:val="24"/>
                <w:szCs w:val="21"/>
                <w:highlight w:val="none"/>
                <w:lang w:eastAsia="zh-CN"/>
              </w:rPr>
              <w:t>）垂直拖网使用</w:t>
            </w:r>
          </w:p>
          <w:p w14:paraId="3CDBF27E">
            <w:pPr>
              <w:pStyle w:val="5"/>
              <w:ind w:left="0" w:firstLine="480" w:firstLineChars="200"/>
              <w:rPr>
                <w:rFonts w:hint="eastAsia" w:ascii="宋体" w:hAnsi="宋体" w:eastAsia="宋体" w:cs="宋体"/>
                <w:b w:val="0"/>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3</w:t>
            </w:r>
            <w:r>
              <w:rPr>
                <w:rFonts w:hint="eastAsia" w:ascii="宋体" w:hAnsi="宋体" w:eastAsia="宋体" w:cs="宋体"/>
                <w:b w:val="0"/>
                <w:bCs w:val="0"/>
                <w:color w:val="auto"/>
                <w:sz w:val="24"/>
                <w:szCs w:val="21"/>
                <w:highlight w:val="none"/>
                <w:lang w:eastAsia="zh-CN"/>
              </w:rPr>
              <w:t>）带逆行自动停止功能</w:t>
            </w:r>
          </w:p>
          <w:p w14:paraId="71228739">
            <w:pPr>
              <w:pStyle w:val="5"/>
              <w:numPr>
                <w:ilvl w:val="0"/>
                <w:numId w:val="0"/>
              </w:numPr>
              <w:ind w:leftChars="0" w:right="33" w:rightChars="0"/>
              <w:rPr>
                <w:rFonts w:hint="eastAsia" w:eastAsia="宋体" w:cs="Times New Roman"/>
                <w:b/>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水平拖网数字生物网口流量计：</w:t>
            </w:r>
          </w:p>
          <w:p w14:paraId="78FE9C52">
            <w:pPr>
              <w:pStyle w:val="5"/>
              <w:numPr>
                <w:ilvl w:val="0"/>
                <w:numId w:val="0"/>
              </w:numPr>
              <w:ind w:leftChars="200" w:right="33" w:rightChars="0"/>
              <w:rPr>
                <w:rFonts w:hint="eastAsia" w:ascii="宋体" w:hAnsi="宋体" w:eastAsia="宋体" w:cs="宋体"/>
                <w:b w:val="0"/>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1</w:t>
            </w:r>
            <w:r>
              <w:rPr>
                <w:rFonts w:hint="eastAsia" w:ascii="宋体" w:hAnsi="宋体" w:eastAsia="宋体" w:cs="宋体"/>
                <w:b w:val="0"/>
                <w:bCs w:val="0"/>
                <w:color w:val="auto"/>
                <w:sz w:val="24"/>
                <w:szCs w:val="21"/>
                <w:highlight w:val="none"/>
                <w:lang w:eastAsia="zh-CN"/>
              </w:rPr>
              <w:t>）便捷的单点连接或双点连接</w:t>
            </w:r>
          </w:p>
          <w:p w14:paraId="1DCFAF5E">
            <w:pPr>
              <w:pStyle w:val="5"/>
              <w:numPr>
                <w:ilvl w:val="0"/>
                <w:numId w:val="0"/>
              </w:numPr>
              <w:ind w:leftChars="200" w:right="33" w:rightChars="0"/>
              <w:rPr>
                <w:rFonts w:hint="eastAsia" w:ascii="宋体" w:hAnsi="宋体" w:eastAsia="宋体" w:cs="宋体"/>
                <w:b w:val="0"/>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2</w:t>
            </w:r>
            <w:r>
              <w:rPr>
                <w:rFonts w:hint="eastAsia" w:ascii="宋体" w:hAnsi="宋体" w:eastAsia="宋体" w:cs="宋体"/>
                <w:b w:val="0"/>
                <w:bCs w:val="0"/>
                <w:color w:val="auto"/>
                <w:sz w:val="24"/>
                <w:szCs w:val="21"/>
                <w:highlight w:val="none"/>
                <w:lang w:eastAsia="zh-CN"/>
              </w:rPr>
              <w:t>）水平拖网使用</w:t>
            </w:r>
          </w:p>
          <w:p w14:paraId="4ACF51BA">
            <w:pPr>
              <w:pStyle w:val="5"/>
              <w:ind w:left="0" w:firstLine="480" w:firstLineChars="200"/>
              <w:rPr>
                <w:rFonts w:hint="eastAsia" w:ascii="宋体" w:hAnsi="宋体" w:eastAsia="宋体" w:cs="宋体"/>
                <w:b w:val="0"/>
                <w:bCs w:val="0"/>
                <w:color w:val="auto"/>
                <w:sz w:val="24"/>
                <w:szCs w:val="21"/>
                <w:highlight w:val="none"/>
                <w:lang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3</w:t>
            </w:r>
            <w:r>
              <w:rPr>
                <w:rFonts w:hint="eastAsia" w:ascii="宋体" w:hAnsi="宋体" w:eastAsia="宋体" w:cs="宋体"/>
                <w:b w:val="0"/>
                <w:bCs w:val="0"/>
                <w:color w:val="auto"/>
                <w:sz w:val="24"/>
                <w:szCs w:val="21"/>
                <w:highlight w:val="none"/>
                <w:lang w:eastAsia="zh-CN"/>
              </w:rPr>
              <w:t>）带逆行自动停止功能</w:t>
            </w:r>
          </w:p>
        </w:tc>
      </w:tr>
      <w:tr w14:paraId="3059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5" w:type="dxa"/>
            <w:gridSpan w:val="3"/>
            <w:vAlign w:val="center"/>
          </w:tcPr>
          <w:p w14:paraId="4EC83F71">
            <w:pPr>
              <w:spacing w:line="360" w:lineRule="auto"/>
              <w:rPr>
                <w:b/>
                <w:color w:val="auto"/>
                <w:szCs w:val="21"/>
                <w:highlight w:val="none"/>
              </w:rPr>
            </w:pPr>
            <w:r>
              <w:rPr>
                <w:rFonts w:hint="eastAsia"/>
                <w:b/>
                <w:bCs/>
                <w:color w:val="auto"/>
                <w:szCs w:val="21"/>
                <w:highlight w:val="none"/>
              </w:rPr>
              <w:t>二、商务要求</w:t>
            </w:r>
          </w:p>
        </w:tc>
      </w:tr>
      <w:tr w14:paraId="5FE4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5" w:type="dxa"/>
            <w:gridSpan w:val="3"/>
            <w:vAlign w:val="center"/>
          </w:tcPr>
          <w:p w14:paraId="5CEE9D2E">
            <w:pPr>
              <w:pStyle w:val="5"/>
              <w:ind w:left="0" w:firstLine="482" w:firstLineChars="200"/>
              <w:rPr>
                <w:rFonts w:hint="eastAsia" w:eastAsia="宋体"/>
                <w:b/>
                <w:color w:val="auto"/>
                <w:szCs w:val="21"/>
                <w:highlight w:val="none"/>
                <w:lang w:eastAsia="zh-CN"/>
              </w:rPr>
            </w:pPr>
            <w:r>
              <w:rPr>
                <w:rFonts w:hint="eastAsia"/>
                <w:b/>
                <w:color w:val="auto"/>
                <w:szCs w:val="21"/>
                <w:highlight w:val="none"/>
              </w:rPr>
              <w:t>1、</w:t>
            </w:r>
            <w:r>
              <w:rPr>
                <w:rFonts w:hint="eastAsia"/>
                <w:b/>
                <w:color w:val="auto"/>
                <w:szCs w:val="21"/>
                <w:highlight w:val="none"/>
                <w:lang w:eastAsia="zh-CN"/>
              </w:rPr>
              <w:t>质保期（保修期）</w:t>
            </w:r>
          </w:p>
          <w:p w14:paraId="2B7ECABD">
            <w:pPr>
              <w:pStyle w:val="5"/>
              <w:ind w:firstLine="480" w:firstLineChars="200"/>
              <w:rPr>
                <w:rFonts w:hint="default"/>
                <w:color w:val="auto"/>
                <w:szCs w:val="21"/>
                <w:highlight w:val="none"/>
                <w:lang w:val="en-US" w:eastAsia="zh-CN"/>
              </w:rPr>
            </w:pPr>
            <w:r>
              <w:rPr>
                <w:rFonts w:hint="eastAsia"/>
                <w:color w:val="auto"/>
                <w:szCs w:val="21"/>
                <w:highlight w:val="none"/>
                <w:lang w:eastAsia="zh-CN"/>
              </w:rPr>
              <w:t>自交货</w:t>
            </w:r>
            <w:r>
              <w:rPr>
                <w:rFonts w:hint="eastAsia" w:ascii="宋体" w:hAnsi="宋体" w:eastAsia="宋体" w:cs="宋体"/>
                <w:b w:val="0"/>
                <w:color w:val="auto"/>
                <w:szCs w:val="21"/>
                <w:highlight w:val="none"/>
                <w:lang w:val="en-US" w:eastAsia="zh-CN"/>
              </w:rPr>
              <w:t>、</w:t>
            </w:r>
            <w:r>
              <w:rPr>
                <w:rFonts w:hint="eastAsia"/>
                <w:color w:val="auto"/>
                <w:szCs w:val="21"/>
                <w:highlight w:val="none"/>
                <w:lang w:eastAsia="zh-CN"/>
              </w:rPr>
              <w:t>安装调试完毕，产品验收合格之日起质保期</w:t>
            </w:r>
            <w:r>
              <w:rPr>
                <w:rFonts w:hint="eastAsia"/>
                <w:color w:val="auto"/>
                <w:szCs w:val="21"/>
                <w:highlight w:val="none"/>
                <w:u w:val="single"/>
                <w:lang w:val="en-US" w:eastAsia="zh-CN"/>
              </w:rPr>
              <w:t>1</w:t>
            </w:r>
            <w:r>
              <w:rPr>
                <w:rFonts w:hint="eastAsia"/>
                <w:color w:val="auto"/>
                <w:szCs w:val="21"/>
                <w:highlight w:val="none"/>
                <w:lang w:val="en-US" w:eastAsia="zh-CN"/>
              </w:rPr>
              <w:t>年，在规定的质保期内，凡产品质量事故和质量缺陷由成交供应商无偿维护。</w:t>
            </w:r>
          </w:p>
          <w:p w14:paraId="3C17763D">
            <w:pPr>
              <w:pStyle w:val="5"/>
              <w:ind w:left="0" w:firstLine="482" w:firstLineChars="200"/>
              <w:rPr>
                <w:rFonts w:hint="default" w:eastAsia="宋体"/>
                <w:b/>
                <w:color w:val="auto"/>
                <w:szCs w:val="21"/>
                <w:highlight w:val="none"/>
                <w:lang w:val="en-US" w:eastAsia="zh-CN"/>
              </w:rPr>
            </w:pPr>
            <w:r>
              <w:rPr>
                <w:rFonts w:hint="eastAsia"/>
                <w:b/>
                <w:color w:val="auto"/>
                <w:szCs w:val="21"/>
                <w:highlight w:val="none"/>
              </w:rPr>
              <w:t>2、</w:t>
            </w:r>
            <w:r>
              <w:rPr>
                <w:rFonts w:hint="eastAsia"/>
                <w:b/>
                <w:color w:val="auto"/>
                <w:szCs w:val="21"/>
                <w:highlight w:val="none"/>
                <w:lang w:eastAsia="zh-CN"/>
              </w:rPr>
              <w:t>交货期及交货地点</w:t>
            </w:r>
          </w:p>
          <w:p w14:paraId="0376B33D">
            <w:pPr>
              <w:pStyle w:val="5"/>
              <w:rPr>
                <w:rFonts w:hint="eastAsia" w:ascii="宋体" w:hAnsi="宋体" w:eastAsia="宋体" w:cs="宋体"/>
                <w:b w:val="0"/>
                <w:bCs w:val="0"/>
                <w:color w:val="auto"/>
                <w:sz w:val="24"/>
                <w:szCs w:val="21"/>
                <w:highlight w:val="none"/>
                <w:lang w:val="en-US"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1</w:t>
            </w:r>
            <w:r>
              <w:rPr>
                <w:rFonts w:hint="eastAsia" w:ascii="宋体" w:hAnsi="宋体" w:eastAsia="宋体" w:cs="宋体"/>
                <w:b w:val="0"/>
                <w:bCs w:val="0"/>
                <w:color w:val="auto"/>
                <w:sz w:val="24"/>
                <w:szCs w:val="21"/>
                <w:highlight w:val="none"/>
                <w:lang w:eastAsia="zh-CN"/>
              </w:rPr>
              <w:t>）交货期为：自合同签订生效之日起，</w:t>
            </w:r>
            <w:r>
              <w:rPr>
                <w:rFonts w:hint="eastAsia" w:ascii="宋体" w:hAnsi="宋体" w:eastAsia="宋体" w:cs="宋体"/>
                <w:b w:val="0"/>
                <w:bCs w:val="0"/>
                <w:color w:val="auto"/>
                <w:sz w:val="24"/>
                <w:szCs w:val="21"/>
                <w:highlight w:val="none"/>
                <w:u w:val="single"/>
                <w:lang w:val="en-US" w:eastAsia="zh-CN"/>
              </w:rPr>
              <w:t>30</w:t>
            </w:r>
            <w:r>
              <w:rPr>
                <w:rFonts w:hint="eastAsia" w:ascii="宋体" w:hAnsi="宋体" w:eastAsia="宋体" w:cs="宋体"/>
                <w:b w:val="0"/>
                <w:bCs w:val="0"/>
                <w:color w:val="auto"/>
                <w:sz w:val="24"/>
                <w:szCs w:val="21"/>
                <w:highlight w:val="none"/>
                <w:lang w:val="en-US" w:eastAsia="zh-CN"/>
              </w:rPr>
              <w:t>个工作日内交货，并验收合格。</w:t>
            </w:r>
          </w:p>
          <w:p w14:paraId="03D95CD0">
            <w:pPr>
              <w:pStyle w:val="5"/>
              <w:rPr>
                <w:rFonts w:hint="default" w:ascii="宋体" w:hAnsi="宋体" w:eastAsia="宋体" w:cs="宋体"/>
                <w:b w:val="0"/>
                <w:bCs w:val="0"/>
                <w:color w:val="auto"/>
                <w:sz w:val="24"/>
                <w:szCs w:val="21"/>
                <w:highlight w:val="none"/>
                <w:lang w:val="en-US" w:eastAsia="zh-CN"/>
              </w:rPr>
            </w:pPr>
            <w:r>
              <w:rPr>
                <w:rFonts w:hint="eastAsia" w:ascii="宋体" w:hAnsi="宋体" w:eastAsia="宋体" w:cs="宋体"/>
                <w:b w:val="0"/>
                <w:bCs w:val="0"/>
                <w:color w:val="auto"/>
                <w:sz w:val="24"/>
                <w:szCs w:val="21"/>
                <w:highlight w:val="none"/>
                <w:lang w:val="en-US" w:eastAsia="zh-CN"/>
              </w:rPr>
              <w:t>（2）交货地点：采购人指定地点。</w:t>
            </w:r>
          </w:p>
          <w:p w14:paraId="3EED5E1F">
            <w:pPr>
              <w:pStyle w:val="5"/>
              <w:ind w:left="0" w:firstLine="482" w:firstLineChars="200"/>
              <w:rPr>
                <w:rFonts w:hint="eastAsia" w:ascii="Calibri" w:hAnsi="Calibri" w:eastAsia="宋体" w:cs="Times New Roman"/>
                <w:b/>
                <w:color w:val="auto"/>
                <w:szCs w:val="21"/>
                <w:highlight w:val="none"/>
                <w:lang w:val="en-US" w:eastAsia="zh-CN"/>
              </w:rPr>
            </w:pPr>
            <w:r>
              <w:rPr>
                <w:rFonts w:hint="eastAsia" w:eastAsia="宋体" w:cs="Times New Roman"/>
                <w:b/>
                <w:color w:val="auto"/>
                <w:szCs w:val="21"/>
                <w:highlight w:val="none"/>
                <w:lang w:val="en-US" w:eastAsia="zh-CN"/>
              </w:rPr>
              <w:t>3</w:t>
            </w:r>
            <w:r>
              <w:rPr>
                <w:rFonts w:hint="eastAsia"/>
                <w:b/>
                <w:color w:val="auto"/>
                <w:szCs w:val="21"/>
                <w:highlight w:val="none"/>
              </w:rPr>
              <w:t>、</w:t>
            </w:r>
            <w:r>
              <w:rPr>
                <w:rFonts w:hint="eastAsia" w:cs="Times New Roman"/>
                <w:b/>
                <w:color w:val="auto"/>
                <w:szCs w:val="21"/>
                <w:highlight w:val="none"/>
                <w:lang w:val="en-US" w:eastAsia="zh-CN"/>
              </w:rPr>
              <w:t>售后服务及其他要求</w:t>
            </w:r>
          </w:p>
          <w:p w14:paraId="241B6A37">
            <w:pPr>
              <w:pStyle w:val="5"/>
              <w:ind w:left="0" w:firstLine="48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1</w:t>
            </w: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color w:val="auto"/>
                <w:szCs w:val="21"/>
                <w:highlight w:val="none"/>
                <w:lang w:val="en-US" w:eastAsia="zh-CN"/>
              </w:rPr>
              <w:t>负责送货上门并安装调试，负</w:t>
            </w:r>
            <w:r>
              <w:rPr>
                <w:rFonts w:hint="eastAsia" w:ascii="宋体" w:hAnsi="宋体" w:cs="宋体"/>
                <w:b w:val="0"/>
                <w:color w:val="auto"/>
                <w:szCs w:val="21"/>
                <w:highlight w:val="none"/>
                <w:lang w:val="en-US" w:eastAsia="zh-CN"/>
              </w:rPr>
              <w:t>责</w:t>
            </w:r>
            <w:r>
              <w:rPr>
                <w:rFonts w:hint="eastAsia" w:ascii="宋体" w:hAnsi="宋体" w:eastAsia="宋体" w:cs="宋体"/>
                <w:b w:val="0"/>
                <w:color w:val="auto"/>
                <w:szCs w:val="21"/>
                <w:highlight w:val="none"/>
                <w:lang w:val="en-US" w:eastAsia="zh-CN"/>
              </w:rPr>
              <w:t>现场培训2~3名相关人员至掌握货物的操作及日常维护，所需成本及费用包含在竞标报价中。</w:t>
            </w:r>
          </w:p>
          <w:p w14:paraId="1CF20580">
            <w:pPr>
              <w:pStyle w:val="5"/>
              <w:ind w:left="0" w:firstLine="48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lang w:val="en-US" w:eastAsia="zh-CN"/>
              </w:rPr>
              <w:t>2</w:t>
            </w:r>
            <w:r>
              <w:rPr>
                <w:rFonts w:hint="eastAsia" w:ascii="宋体" w:hAnsi="宋体" w:eastAsia="宋体" w:cs="宋体"/>
                <w:b w:val="0"/>
                <w:bCs w:val="0"/>
                <w:color w:val="auto"/>
                <w:sz w:val="24"/>
                <w:szCs w:val="21"/>
                <w:highlight w:val="none"/>
                <w:lang w:eastAsia="zh-CN"/>
              </w:rPr>
              <w:t>）</w:t>
            </w:r>
            <w:r>
              <w:rPr>
                <w:rFonts w:hint="eastAsia" w:ascii="宋体" w:hAnsi="宋体" w:eastAsia="宋体" w:cs="宋体"/>
                <w:b w:val="0"/>
                <w:color w:val="auto"/>
                <w:szCs w:val="21"/>
                <w:highlight w:val="none"/>
                <w:lang w:val="en-US" w:eastAsia="zh-CN"/>
              </w:rPr>
              <w:t>成交供应商负责处理解决货物出现的质量及安全问题并承担一切费用，质保期内所有非故意性损坏以及正常使用范围内造成的损坏成交供应商均须负责更换或维修，因人为因素出现的故障不在保修范围内的，成交供应商也应积极帮助采购人修理并</w:t>
            </w:r>
            <w:r>
              <w:rPr>
                <w:rFonts w:hint="eastAsia" w:ascii="宋体" w:hAnsi="宋体" w:cs="宋体"/>
                <w:b w:val="0"/>
                <w:color w:val="auto"/>
                <w:szCs w:val="21"/>
                <w:highlight w:val="none"/>
                <w:lang w:val="en-US" w:eastAsia="zh-CN"/>
              </w:rPr>
              <w:t>提</w:t>
            </w:r>
            <w:r>
              <w:rPr>
                <w:rFonts w:hint="eastAsia" w:ascii="宋体" w:hAnsi="宋体" w:eastAsia="宋体" w:cs="宋体"/>
                <w:b w:val="0"/>
                <w:color w:val="auto"/>
                <w:szCs w:val="21"/>
                <w:highlight w:val="none"/>
                <w:lang w:val="en-US" w:eastAsia="zh-CN"/>
              </w:rPr>
              <w:t>供优惠价格的配件和服务。</w:t>
            </w:r>
          </w:p>
          <w:p w14:paraId="7739DB73">
            <w:pPr>
              <w:pStyle w:val="5"/>
              <w:ind w:left="0" w:firstLine="480" w:firstLineChars="200"/>
              <w:rPr>
                <w:rFonts w:hint="eastAsia" w:ascii="宋体" w:hAnsi="宋体" w:cs="宋体"/>
                <w:b w:val="0"/>
                <w:color w:val="auto"/>
                <w:szCs w:val="21"/>
                <w:highlight w:val="none"/>
                <w:lang w:val="en-US" w:eastAsia="zh-CN"/>
              </w:rPr>
            </w:pPr>
            <w:r>
              <w:rPr>
                <w:rFonts w:hint="eastAsia" w:ascii="宋体" w:hAnsi="宋体" w:cs="宋体"/>
                <w:b w:val="0"/>
                <w:color w:val="auto"/>
                <w:szCs w:val="21"/>
                <w:highlight w:val="none"/>
                <w:lang w:val="en-US" w:eastAsia="zh-CN"/>
              </w:rPr>
              <w:t>（3）因包装或运输不当引起的货物外观或内部的损坏，供货商应负责全部更换:若发现错发和漏发的，供货商应负责更换和补发。</w:t>
            </w:r>
          </w:p>
          <w:p w14:paraId="7FB90B54">
            <w:pPr>
              <w:pStyle w:val="5"/>
              <w:ind w:left="0" w:firstLine="480" w:firstLineChars="200"/>
              <w:rPr>
                <w:rFonts w:hint="eastAsia" w:ascii="宋体" w:hAnsi="宋体" w:eastAsia="宋体" w:cs="宋体"/>
                <w:b w:val="0"/>
                <w:color w:val="auto"/>
                <w:szCs w:val="21"/>
                <w:highlight w:val="none"/>
                <w:lang w:val="en-US" w:eastAsia="zh-CN"/>
              </w:rPr>
            </w:pPr>
            <w:r>
              <w:rPr>
                <w:rFonts w:hint="eastAsia" w:ascii="宋体" w:hAnsi="宋体" w:cs="宋体"/>
                <w:b w:val="0"/>
                <w:color w:val="auto"/>
                <w:szCs w:val="21"/>
                <w:highlight w:val="none"/>
                <w:lang w:val="en-US" w:eastAsia="zh-CN"/>
              </w:rPr>
              <w:t>（4）必须提供完善的技术支持和售后服务，技术支持和售后服务必须与采购人原有技术支持和售后服务兼容和匹配。在项目实施过程及售后服务期内，需承诺指定专人负责与采购人保持长期的联系与服务。</w:t>
            </w:r>
          </w:p>
          <w:p w14:paraId="057EDE76">
            <w:pPr>
              <w:pStyle w:val="5"/>
              <w:ind w:left="0" w:firstLine="482" w:firstLineChars="200"/>
              <w:rPr>
                <w:rFonts w:hint="eastAsia" w:ascii="Calibri" w:hAnsi="Calibri" w:eastAsia="宋体" w:cs="Times New Roman"/>
                <w:b/>
                <w:color w:val="auto"/>
                <w:szCs w:val="21"/>
                <w:highlight w:val="none"/>
                <w:lang w:val="en-US" w:eastAsia="zh-CN"/>
              </w:rPr>
            </w:pPr>
            <w:r>
              <w:rPr>
                <w:rFonts w:hint="eastAsia" w:eastAsia="宋体" w:cs="Times New Roman"/>
                <w:b/>
                <w:color w:val="auto"/>
                <w:szCs w:val="21"/>
                <w:highlight w:val="none"/>
                <w:lang w:val="en-US" w:eastAsia="zh-CN"/>
              </w:rPr>
              <w:t>4、</w:t>
            </w:r>
            <w:r>
              <w:rPr>
                <w:rFonts w:hint="eastAsia" w:cs="Times New Roman"/>
                <w:b/>
                <w:color w:val="auto"/>
                <w:szCs w:val="21"/>
                <w:highlight w:val="none"/>
                <w:lang w:val="en-US" w:eastAsia="zh-CN"/>
              </w:rPr>
              <w:t>验收</w:t>
            </w:r>
          </w:p>
          <w:p w14:paraId="141D4167">
            <w:pPr>
              <w:pStyle w:val="5"/>
              <w:ind w:left="0" w:firstLine="48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检查其外包装是否完好无损，并对设备数量进行核对，检查是否与合同一致，所有的文档材料是否齐全。如发现设备短缺、损坏或其他与合同约定不符的情况，成交供应商必须按采购人的要求及时补齐、更换或采取其它补救措施，以确保仪器设备的正常安装调试。</w:t>
            </w:r>
          </w:p>
          <w:p w14:paraId="7B56E079">
            <w:pPr>
              <w:pStyle w:val="5"/>
              <w:ind w:left="0" w:firstLine="482" w:firstLineChars="200"/>
              <w:rPr>
                <w:b/>
                <w:color w:val="auto"/>
                <w:szCs w:val="21"/>
                <w:highlight w:val="none"/>
              </w:rPr>
            </w:pPr>
            <w:r>
              <w:rPr>
                <w:rFonts w:hint="eastAsia"/>
                <w:b/>
                <w:color w:val="auto"/>
                <w:szCs w:val="21"/>
                <w:highlight w:val="none"/>
                <w:lang w:val="en-US" w:eastAsia="zh-CN"/>
              </w:rPr>
              <w:t>5</w:t>
            </w:r>
            <w:r>
              <w:rPr>
                <w:rFonts w:hint="eastAsia"/>
                <w:b/>
                <w:color w:val="auto"/>
                <w:szCs w:val="21"/>
                <w:highlight w:val="none"/>
              </w:rPr>
              <w:t>、合同签订时间</w:t>
            </w:r>
          </w:p>
          <w:p w14:paraId="1F2C92C0">
            <w:pPr>
              <w:pStyle w:val="5"/>
              <w:rPr>
                <w:color w:val="auto"/>
                <w:szCs w:val="21"/>
                <w:highlight w:val="none"/>
              </w:rPr>
            </w:pPr>
            <w:r>
              <w:rPr>
                <w:rFonts w:hint="eastAsia"/>
                <w:color w:val="auto"/>
                <w:szCs w:val="21"/>
                <w:highlight w:val="none"/>
              </w:rPr>
              <w:t>自</w:t>
            </w:r>
            <w:r>
              <w:rPr>
                <w:rFonts w:hint="eastAsia"/>
                <w:color w:val="auto"/>
                <w:szCs w:val="21"/>
                <w:highlight w:val="none"/>
                <w:lang w:val="en-US" w:eastAsia="zh-CN"/>
              </w:rPr>
              <w:t>项目</w:t>
            </w:r>
            <w:r>
              <w:rPr>
                <w:rFonts w:hint="eastAsia"/>
                <w:color w:val="auto"/>
                <w:szCs w:val="21"/>
                <w:highlight w:val="none"/>
              </w:rPr>
              <w:t>成交</w:t>
            </w:r>
            <w:r>
              <w:rPr>
                <w:rFonts w:hint="eastAsia"/>
                <w:color w:val="auto"/>
                <w:szCs w:val="21"/>
                <w:highlight w:val="none"/>
                <w:lang w:val="en-US" w:eastAsia="zh-CN"/>
              </w:rPr>
              <w:t>公告</w:t>
            </w:r>
            <w:r>
              <w:rPr>
                <w:rFonts w:hint="eastAsia"/>
                <w:color w:val="auto"/>
                <w:szCs w:val="21"/>
                <w:highlight w:val="none"/>
              </w:rPr>
              <w:t>发出之日起</w:t>
            </w:r>
            <w:r>
              <w:rPr>
                <w:color w:val="auto"/>
                <w:szCs w:val="21"/>
                <w:highlight w:val="none"/>
              </w:rPr>
              <w:t>5</w:t>
            </w:r>
            <w:r>
              <w:rPr>
                <w:rFonts w:hint="eastAsia"/>
                <w:color w:val="auto"/>
                <w:szCs w:val="21"/>
                <w:highlight w:val="none"/>
                <w:lang w:val="en-US" w:eastAsia="zh-CN"/>
              </w:rPr>
              <w:t>个工作</w:t>
            </w:r>
            <w:r>
              <w:rPr>
                <w:rFonts w:hint="eastAsia"/>
                <w:color w:val="auto"/>
                <w:szCs w:val="21"/>
                <w:highlight w:val="none"/>
              </w:rPr>
              <w:t>日内。</w:t>
            </w:r>
          </w:p>
          <w:p w14:paraId="60496A2F">
            <w:pPr>
              <w:pStyle w:val="5"/>
              <w:ind w:left="0" w:firstLine="482" w:firstLineChars="200"/>
              <w:rPr>
                <w:b/>
                <w:color w:val="auto"/>
                <w:szCs w:val="21"/>
                <w:highlight w:val="none"/>
              </w:rPr>
            </w:pPr>
            <w:r>
              <w:rPr>
                <w:rFonts w:hint="eastAsia"/>
                <w:b/>
                <w:color w:val="auto"/>
                <w:szCs w:val="21"/>
                <w:highlight w:val="none"/>
                <w:lang w:val="en-US" w:eastAsia="zh-CN"/>
              </w:rPr>
              <w:t>6</w:t>
            </w:r>
            <w:r>
              <w:rPr>
                <w:rFonts w:hint="eastAsia"/>
                <w:b/>
                <w:color w:val="auto"/>
                <w:szCs w:val="21"/>
                <w:highlight w:val="none"/>
              </w:rPr>
              <w:t>、付款条件</w:t>
            </w:r>
          </w:p>
          <w:p w14:paraId="60BE0FEE">
            <w:pPr>
              <w:pStyle w:val="5"/>
              <w:spacing w:line="240" w:lineRule="auto"/>
              <w:ind w:left="0" w:firstLine="480" w:firstLineChars="200"/>
              <w:rPr>
                <w:rFonts w:hint="eastAsia"/>
                <w:color w:val="auto"/>
                <w:szCs w:val="21"/>
                <w:highlight w:val="none"/>
                <w:lang w:val="en-US" w:eastAsia="zh-CN"/>
              </w:rPr>
            </w:pPr>
            <w:r>
              <w:rPr>
                <w:rFonts w:hint="eastAsia"/>
                <w:color w:val="auto"/>
                <w:szCs w:val="21"/>
                <w:highlight w:val="none"/>
                <w:lang w:val="en-US" w:eastAsia="zh-CN"/>
              </w:rPr>
              <w:t>甲乙双方同意按以下方式支付合同合计金额：</w:t>
            </w:r>
          </w:p>
          <w:p w14:paraId="515A79EC">
            <w:pPr>
              <w:pStyle w:val="5"/>
              <w:spacing w:line="240" w:lineRule="auto"/>
              <w:ind w:left="0" w:firstLine="480" w:firstLineChars="200"/>
              <w:rPr>
                <w:rFonts w:hint="eastAsia"/>
                <w:color w:val="auto"/>
                <w:szCs w:val="21"/>
                <w:highlight w:val="none"/>
                <w:lang w:val="en-US" w:eastAsia="zh-CN"/>
              </w:rPr>
            </w:pPr>
            <w:r>
              <w:rPr>
                <w:rFonts w:hint="eastAsia"/>
                <w:color w:val="auto"/>
                <w:szCs w:val="21"/>
                <w:highlight w:val="none"/>
                <w:lang w:val="en-US" w:eastAsia="zh-CN"/>
              </w:rPr>
              <w:t>签订合同后，乙方开具首付款发票给甲方，甲方收到该发票后向乙方支付该首付款，即货款总额的50%，即元（大写：人民币），乙方收到首付款后安排仪器设备的准备工作；仪器设备准备完成后乙方安排出货，经甲方收货验收合格并收到尾款发票后6个工作</w:t>
            </w:r>
            <w:r>
              <w:rPr>
                <w:rFonts w:hint="eastAsia"/>
                <w:color w:val="auto"/>
                <w:szCs w:val="21"/>
                <w:highlight w:val="none"/>
              </w:rPr>
              <w:t>日内</w:t>
            </w:r>
            <w:r>
              <w:rPr>
                <w:rFonts w:hint="eastAsia"/>
                <w:color w:val="auto"/>
                <w:szCs w:val="21"/>
                <w:highlight w:val="none"/>
                <w:lang w:val="en-US" w:eastAsia="zh-CN"/>
              </w:rPr>
              <w:t>，一次性完成尾款，即  元（大写：人民币）支付。</w:t>
            </w:r>
          </w:p>
          <w:p w14:paraId="6389DD5A">
            <w:pPr>
              <w:pStyle w:val="5"/>
              <w:spacing w:line="240" w:lineRule="auto"/>
              <w:ind w:left="0" w:firstLine="480" w:firstLineChars="200"/>
              <w:rPr>
                <w:rFonts w:hint="eastAsia"/>
                <w:color w:val="auto"/>
                <w:szCs w:val="21"/>
                <w:highlight w:val="none"/>
                <w:lang w:val="en-US" w:eastAsia="zh-CN"/>
              </w:rPr>
            </w:pPr>
          </w:p>
        </w:tc>
      </w:tr>
    </w:tbl>
    <w:p w14:paraId="01D1E892"/>
    <w:p w14:paraId="6F3C39E5">
      <w:pPr>
        <w:pStyle w:val="6"/>
      </w:pPr>
    </w:p>
    <w:p w14:paraId="5AD92D66">
      <w:pPr>
        <w:pStyle w:val="6"/>
      </w:pPr>
    </w:p>
    <w:p w14:paraId="58901B82">
      <w:pPr>
        <w:pStyle w:val="6"/>
      </w:pPr>
    </w:p>
    <w:p w14:paraId="01381CA5">
      <w:pPr>
        <w:pStyle w:val="6"/>
      </w:pPr>
    </w:p>
    <w:p w14:paraId="1476BC16">
      <w:pPr>
        <w:pStyle w:val="6"/>
      </w:pPr>
    </w:p>
    <w:p w14:paraId="48F49701">
      <w:pPr>
        <w:pStyle w:val="6"/>
      </w:pPr>
    </w:p>
    <w:p w14:paraId="4928AA2E">
      <w:pPr>
        <w:pStyle w:val="6"/>
      </w:pPr>
    </w:p>
    <w:p w14:paraId="5D00013B">
      <w:pPr>
        <w:rPr>
          <w:rFonts w:hint="default" w:eastAsia="宋体"/>
          <w:b/>
          <w:bCs/>
          <w:color w:val="FF0000"/>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ZDgyNmJkNGQ5ZDVmZDE2ZmRhZDc4MjNiMzc1YWUifQ=="/>
  </w:docVars>
  <w:rsids>
    <w:rsidRoot w:val="00000000"/>
    <w:rsid w:val="014455D1"/>
    <w:rsid w:val="02B335F1"/>
    <w:rsid w:val="037F6FA4"/>
    <w:rsid w:val="03E81064"/>
    <w:rsid w:val="0524098C"/>
    <w:rsid w:val="07242AED"/>
    <w:rsid w:val="0A203F38"/>
    <w:rsid w:val="0C9664C9"/>
    <w:rsid w:val="0DFC52F9"/>
    <w:rsid w:val="101935CF"/>
    <w:rsid w:val="12C01999"/>
    <w:rsid w:val="15E4D019"/>
    <w:rsid w:val="163E7AAE"/>
    <w:rsid w:val="16DA250D"/>
    <w:rsid w:val="17B3472B"/>
    <w:rsid w:val="180840F1"/>
    <w:rsid w:val="1B4A048C"/>
    <w:rsid w:val="1B8E0F0F"/>
    <w:rsid w:val="1C4A27CC"/>
    <w:rsid w:val="20BF75F1"/>
    <w:rsid w:val="215A366E"/>
    <w:rsid w:val="22F14F5A"/>
    <w:rsid w:val="23431735"/>
    <w:rsid w:val="240908A7"/>
    <w:rsid w:val="258D07BB"/>
    <w:rsid w:val="2B2A31B0"/>
    <w:rsid w:val="2B971F7F"/>
    <w:rsid w:val="2B9B6160"/>
    <w:rsid w:val="2BD55811"/>
    <w:rsid w:val="2FEFC4C4"/>
    <w:rsid w:val="30185CCC"/>
    <w:rsid w:val="3082334D"/>
    <w:rsid w:val="309222F2"/>
    <w:rsid w:val="355B631F"/>
    <w:rsid w:val="3CC414DC"/>
    <w:rsid w:val="3CF516CE"/>
    <w:rsid w:val="3CFBF827"/>
    <w:rsid w:val="3ECD1116"/>
    <w:rsid w:val="3F7FECD6"/>
    <w:rsid w:val="3FC712DA"/>
    <w:rsid w:val="40F47DB1"/>
    <w:rsid w:val="410B0BCC"/>
    <w:rsid w:val="41B35C23"/>
    <w:rsid w:val="43065CF9"/>
    <w:rsid w:val="449E1410"/>
    <w:rsid w:val="4840301F"/>
    <w:rsid w:val="48A0301E"/>
    <w:rsid w:val="4B075EE2"/>
    <w:rsid w:val="4B3F5DAE"/>
    <w:rsid w:val="4C89074C"/>
    <w:rsid w:val="4CE041EC"/>
    <w:rsid w:val="4DF9115A"/>
    <w:rsid w:val="4E6A5981"/>
    <w:rsid w:val="4E72508E"/>
    <w:rsid w:val="4E792150"/>
    <w:rsid w:val="4ED645C0"/>
    <w:rsid w:val="4FC335F6"/>
    <w:rsid w:val="514452C1"/>
    <w:rsid w:val="52ED0DC1"/>
    <w:rsid w:val="542B5FF1"/>
    <w:rsid w:val="563828F8"/>
    <w:rsid w:val="565C0132"/>
    <w:rsid w:val="59BC017A"/>
    <w:rsid w:val="5A647D73"/>
    <w:rsid w:val="5A814BBC"/>
    <w:rsid w:val="5F4C6301"/>
    <w:rsid w:val="63F835B5"/>
    <w:rsid w:val="649F75A3"/>
    <w:rsid w:val="65820F91"/>
    <w:rsid w:val="68153BCE"/>
    <w:rsid w:val="6ABC7EDA"/>
    <w:rsid w:val="6ED764A0"/>
    <w:rsid w:val="6F9A2791"/>
    <w:rsid w:val="6FFF91D2"/>
    <w:rsid w:val="729D7188"/>
    <w:rsid w:val="73AF08FC"/>
    <w:rsid w:val="74732B9C"/>
    <w:rsid w:val="74F5FC3C"/>
    <w:rsid w:val="77416642"/>
    <w:rsid w:val="775A55CA"/>
    <w:rsid w:val="77CE052D"/>
    <w:rsid w:val="79565361"/>
    <w:rsid w:val="7A1B21FC"/>
    <w:rsid w:val="7B3BBD9A"/>
    <w:rsid w:val="7B9C57E1"/>
    <w:rsid w:val="7DEBBF55"/>
    <w:rsid w:val="7EC8757E"/>
    <w:rsid w:val="7F4A4CBC"/>
    <w:rsid w:val="AFFFEF9C"/>
    <w:rsid w:val="B7C9D5CD"/>
    <w:rsid w:val="BCCD40ED"/>
    <w:rsid w:val="FBF7B330"/>
    <w:rsid w:val="FDDF3CFB"/>
    <w:rsid w:val="FEA762B1"/>
    <w:rsid w:val="FF562E9C"/>
    <w:rsid w:val="FF77F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Normal Indent"/>
    <w:basedOn w:val="1"/>
    <w:qFormat/>
    <w:uiPriority w:val="0"/>
    <w:pPr>
      <w:ind w:firstLine="420" w:firstLineChars="200"/>
    </w:pPr>
  </w:style>
  <w:style w:type="paragraph" w:styleId="5">
    <w:name w:val="Block Text"/>
    <w:basedOn w:val="1"/>
    <w:qFormat/>
    <w:uiPriority w:val="0"/>
    <w:pPr>
      <w:widowControl w:val="0"/>
      <w:adjustRightInd w:val="0"/>
      <w:ind w:left="420" w:right="33"/>
      <w:jc w:val="left"/>
      <w:textAlignment w:val="baseline"/>
    </w:pPr>
    <w:rPr>
      <w:rFonts w:ascii="Calibri" w:hAnsi="Calibri" w:eastAsia="宋体" w:cs="Times New Roman"/>
      <w:kern w:val="0"/>
      <w:sz w:val="24"/>
      <w:szCs w:val="20"/>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21"/>
    <w:basedOn w:val="10"/>
    <w:qFormat/>
    <w:uiPriority w:val="0"/>
    <w:rPr>
      <w:rFonts w:hint="eastAsia" w:ascii="微软雅黑" w:hAnsi="微软雅黑" w:eastAsia="微软雅黑" w:cs="微软雅黑"/>
      <w:color w:val="000000"/>
      <w:sz w:val="18"/>
      <w:szCs w:val="18"/>
      <w:u w:val="none"/>
    </w:rPr>
  </w:style>
  <w:style w:type="character" w:customStyle="1" w:styleId="13">
    <w:name w:val="font11"/>
    <w:basedOn w:val="10"/>
    <w:qFormat/>
    <w:uiPriority w:val="0"/>
    <w:rPr>
      <w:rFonts w:hint="eastAsia" w:ascii="宋体" w:hAnsi="宋体" w:eastAsia="宋体" w:cs="宋体"/>
      <w:color w:val="000000"/>
      <w:sz w:val="18"/>
      <w:szCs w:val="18"/>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1090</Characters>
  <Lines>0</Lines>
  <Paragraphs>0</Paragraphs>
  <TotalTime>34</TotalTime>
  <ScaleCrop>false</ScaleCrop>
  <LinksUpToDate>false</LinksUpToDate>
  <CharactersWithSpaces>1095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2022-05-23T00:23:00Z</dcterms:created>
  <dc:creator>hyj</dc:creator>
  <cp:lastModifiedBy>大米</cp:lastModifiedBy>
  <dcterms:modified xsi:type="dcterms:W3CDTF">2025-11-11T10:03:35Z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27E37F852D43B0C5E1590D692CB32746_43</vt:lpwstr>
  </property>
  <property fmtid="{D5CDD505-2E9C-101B-9397-08002B2CF9AE}" pid="4" name="KSOTemplateDocerSaveRecord">
    <vt:lpwstr>eyJoZGlkIjoiZGE2Mjg2YTZkZTMyMTYwY2M1OTQ5YzJlN2MyYmRjOGEiLCJ1c2VySWQiOiIxMjM3Njg0MTQ1In0=</vt:lpwstr>
  </property>
</Properties>
</file>