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7846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件2</w:t>
      </w:r>
    </w:p>
    <w:p w14:paraId="6FD944E1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highlight w:val="none"/>
        </w:rPr>
        <w:t>比选评审标准</w:t>
      </w:r>
    </w:p>
    <w:p w14:paraId="6F185904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tbl>
      <w:tblPr>
        <w:tblStyle w:val="4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832"/>
      </w:tblGrid>
      <w:tr w14:paraId="6083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542" w:type="dxa"/>
            <w:noWrap w:val="0"/>
            <w:vAlign w:val="center"/>
          </w:tcPr>
          <w:p w14:paraId="277B491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评分项及满分</w:t>
            </w:r>
          </w:p>
        </w:tc>
        <w:tc>
          <w:tcPr>
            <w:tcW w:w="6832" w:type="dxa"/>
            <w:noWrap w:val="0"/>
            <w:vAlign w:val="center"/>
          </w:tcPr>
          <w:p w14:paraId="348BD3A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评分标准</w:t>
            </w:r>
          </w:p>
        </w:tc>
      </w:tr>
      <w:tr w14:paraId="083F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20CD69A0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一、价格分（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A5695BF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价格分（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</w:t>
            </w:r>
          </w:p>
          <w:p w14:paraId="22844D02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价格分计算公式：某供应商价格分 = 供应商最低评审报价（金额）/某供应商评审报价（金额）×</w:t>
            </w:r>
            <w:r>
              <w:rPr>
                <w:rFonts w:hint="eastAsia" w:ascii="Times New Roman" w:hAnsi="Times New Roman" w:eastAsia="仿宋" w:cs="宋体"/>
                <w:b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分。</w:t>
            </w:r>
          </w:p>
        </w:tc>
      </w:tr>
      <w:tr w14:paraId="573C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7A09E002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二、服务方案分</w:t>
            </w:r>
          </w:p>
          <w:p w14:paraId="69AE0C9B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23BB3BF7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（一）项目理解分（满分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</w:t>
            </w:r>
          </w:p>
          <w:p w14:paraId="06DE79A3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分）：项目理解内容具体详尽、切合本项目特点实际，分析到位，对项目的组织实施具有指导性的。</w:t>
            </w:r>
          </w:p>
          <w:p w14:paraId="63BB8AB7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分）：项目理解内容无针对性的。</w:t>
            </w:r>
          </w:p>
          <w:p w14:paraId="71C7E678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6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pacing w:val="-6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bCs/>
                <w:spacing w:val="-6"/>
                <w:sz w:val="24"/>
              </w:rPr>
              <w:t>分）：未提供相关内容材料或者存在明显偏差不符实际的。</w:t>
            </w:r>
          </w:p>
          <w:p w14:paraId="05FBBEE4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（二）服务计划分（满分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</w:t>
            </w:r>
          </w:p>
          <w:p w14:paraId="4B07C099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分）：服务计划内容具体详尽、切合项目特点实际，计划有亮点，对项目的组织实施具有指导性的。</w:t>
            </w:r>
          </w:p>
          <w:p w14:paraId="5DBC5562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分）：服务计划内容无针对性的。</w:t>
            </w:r>
          </w:p>
          <w:p w14:paraId="7B8462F3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分）：未提供相关内容材料或者存在明显偏差不符实际的。</w:t>
            </w:r>
          </w:p>
          <w:p w14:paraId="7A146BC4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（三）组织与实施分（满分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 w14:paraId="2844A792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分）：项目</w:t>
            </w:r>
            <w:r>
              <w:rPr>
                <w:rFonts w:hint="eastAsia" w:ascii="Times New Roman" w:hAnsi="Times New Roman" w:eastAsia="仿宋" w:cs="宋体"/>
                <w:sz w:val="24"/>
              </w:rPr>
              <w:t>组织与实施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内容具体详尽、切合项目特点实际，组织合理，对项目的组织实施具有指导性的。</w:t>
            </w:r>
          </w:p>
          <w:p w14:paraId="633AA3C9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分）：招标组织与实施内容无针对性的。</w:t>
            </w:r>
          </w:p>
          <w:p w14:paraId="463BEF12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分）：未提供相关内容材料或者存在明显偏差不符实际的。</w:t>
            </w:r>
          </w:p>
          <w:p w14:paraId="72186394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（四）质量控制分（满分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 w14:paraId="433A8F95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分）：质量控制措施具体详尽、切合项目特点实际，具有相应质量保障措施，对项目的组织实施具有指导性的。</w:t>
            </w:r>
          </w:p>
          <w:p w14:paraId="2BC7A816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分）：质量控制措施无针对性的。</w:t>
            </w:r>
          </w:p>
          <w:p w14:paraId="386C8B55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分）：未提供相关内容材料或者存在明显偏差不符实际的。</w:t>
            </w:r>
          </w:p>
          <w:p w14:paraId="5AE15BF4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（五）应急处置措施分（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满分9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 w14:paraId="2C99997E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分）：应急处置措施内容具体详尽、切合项目特点实际，分析合理应对有序，对项目的组织实施具有指导性的。</w:t>
            </w:r>
          </w:p>
          <w:p w14:paraId="05B7CB00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分）：应急处置措施内容无针对性也无明显错漏偏差的。</w:t>
            </w:r>
          </w:p>
          <w:p w14:paraId="4DF9AA81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分）：未提供相关内容材料或者存在明显偏差不符实际的。</w:t>
            </w:r>
          </w:p>
        </w:tc>
      </w:tr>
      <w:tr w14:paraId="09D5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2542" w:type="dxa"/>
            <w:noWrap w:val="0"/>
            <w:vAlign w:val="center"/>
          </w:tcPr>
          <w:p w14:paraId="53C3246F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三、项目团队分</w:t>
            </w:r>
          </w:p>
          <w:p w14:paraId="6986E21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25D331F0">
            <w:pPr>
              <w:numPr>
                <w:ilvl w:val="0"/>
                <w:numId w:val="0"/>
              </w:num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（一）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项目负责人资历分（满分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</w:t>
            </w:r>
          </w:p>
          <w:p w14:paraId="0EA74F14">
            <w:pPr>
              <w:tabs>
                <w:tab w:val="left" w:pos="312"/>
              </w:tabs>
              <w:overflowPunct w:val="0"/>
              <w:spacing w:line="360" w:lineRule="exact"/>
              <w:ind w:firstLine="480" w:firstLineChars="200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1．拟投入本项目的项目负责人具备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地质与岩土专业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中级职称的得 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分，具备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地质与岩土专业</w:t>
            </w:r>
            <w:r>
              <w:rPr>
                <w:rFonts w:hint="eastAsia" w:ascii="Times New Roman" w:hAnsi="Times New Roman" w:eastAsia="仿宋" w:cs="宋体"/>
                <w:sz w:val="24"/>
              </w:rPr>
              <w:t>副高级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仿宋" w:cs="宋体"/>
                <w:sz w:val="24"/>
              </w:rPr>
              <w:t>职称的得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分。（满分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 w14:paraId="58BA7277">
            <w:pPr>
              <w:tabs>
                <w:tab w:val="left" w:pos="312"/>
              </w:tabs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2．拟投入本项目的项目负责人具有</w:t>
            </w:r>
            <w:r>
              <w:rPr>
                <w:rFonts w:hint="eastAsia" w:ascii="Times New Roman" w:hAnsi="Times New Roman" w:eastAsia="仿宋" w:cs="宋体"/>
                <w:kern w:val="2"/>
                <w:sz w:val="24"/>
                <w:szCs w:val="24"/>
                <w:lang w:val="en-US" w:eastAsia="zh-CN" w:bidi="ar-SA"/>
              </w:rPr>
              <w:t>地质工程、岩土工程、勘查技术与工程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相关专业本科</w:t>
            </w:r>
            <w:r>
              <w:rPr>
                <w:rFonts w:hint="eastAsia" w:ascii="Times New Roman" w:hAnsi="Times New Roman" w:eastAsia="仿宋" w:cs="宋体"/>
                <w:bCs w:val="0"/>
                <w:kern w:val="2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Times New Roman" w:hAnsi="Times New Roman" w:eastAsia="仿宋" w:cs="宋体"/>
                <w:sz w:val="24"/>
              </w:rPr>
              <w:t>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宋体"/>
                <w:sz w:val="24"/>
              </w:rPr>
              <w:t>分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，具备</w:t>
            </w:r>
            <w:r>
              <w:rPr>
                <w:rFonts w:hint="eastAsia" w:ascii="Times New Roman" w:hAnsi="Times New Roman" w:eastAsia="仿宋" w:cs="宋体"/>
                <w:kern w:val="2"/>
                <w:sz w:val="24"/>
                <w:szCs w:val="24"/>
                <w:lang w:val="en-US" w:eastAsia="zh-CN" w:bidi="ar-SA"/>
              </w:rPr>
              <w:t>地质工程、岩土工程、勘查技术与工程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仿宋" w:cs="宋体"/>
                <w:bCs w:val="0"/>
                <w:kern w:val="2"/>
                <w:sz w:val="24"/>
                <w:szCs w:val="24"/>
                <w:lang w:val="en-US" w:eastAsia="zh-CN"/>
              </w:rPr>
              <w:t>硕士研究生</w:t>
            </w:r>
            <w:r>
              <w:rPr>
                <w:rFonts w:hint="eastAsia" w:ascii="Times New Roman" w:hAnsi="Times New Roman" w:eastAsia="仿宋" w:cs="宋体"/>
                <w:sz w:val="24"/>
              </w:rPr>
              <w:t>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分。（满分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 w14:paraId="1AFFCAD7">
            <w:pPr>
              <w:tabs>
                <w:tab w:val="left" w:pos="312"/>
              </w:tabs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宋体"/>
                <w:sz w:val="24"/>
              </w:rPr>
              <w:t>拟投入本项目的项目负责人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具备土木工程师证或者岩土工程师证等相关证书的</w:t>
            </w:r>
            <w:r>
              <w:rPr>
                <w:rFonts w:hint="eastAsia" w:ascii="Times New Roman" w:hAnsi="Times New Roman" w:eastAsia="仿宋" w:cs="宋体"/>
                <w:sz w:val="24"/>
              </w:rPr>
              <w:t>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sz w:val="24"/>
              </w:rPr>
              <w:t>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 w14:paraId="6896BDEA">
            <w:pPr>
              <w:numPr>
                <w:ilvl w:val="-1"/>
                <w:numId w:val="0"/>
              </w:numPr>
              <w:tabs>
                <w:tab w:val="left" w:pos="312"/>
              </w:tabs>
              <w:overflowPunct w:val="0"/>
              <w:spacing w:line="360" w:lineRule="exact"/>
              <w:rPr>
                <w:rFonts w:hint="eastAsia" w:ascii="Times New Roman" w:hAnsi="Times New Roman" w:eastAsia="仿宋" w:cs="宋体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（二）</w:t>
            </w:r>
            <w:r>
              <w:rPr>
                <w:rFonts w:hint="eastAsia" w:ascii="Times New Roman" w:hAnsi="Times New Roman" w:eastAsia="仿宋" w:cs="宋体"/>
                <w:bCs w:val="0"/>
                <w:sz w:val="24"/>
              </w:rPr>
              <w:t>团队成员分（满分</w:t>
            </w:r>
            <w:r>
              <w:rPr>
                <w:rFonts w:hint="eastAsia" w:ascii="Times New Roman" w:hAnsi="Times New Roman" w:eastAsia="仿宋" w:cs="宋体"/>
                <w:bCs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bCs w:val="0"/>
                <w:sz w:val="24"/>
              </w:rPr>
              <w:t>分）</w:t>
            </w:r>
          </w:p>
          <w:p w14:paraId="728E5BD1">
            <w:pPr>
              <w:tabs>
                <w:tab w:val="left" w:pos="312"/>
              </w:tabs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 w:eastAsia="仿宋" w:cs="宋体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具有</w:t>
            </w:r>
            <w:r>
              <w:rPr>
                <w:rFonts w:hint="eastAsia" w:ascii="Times New Roman" w:hAnsi="Times New Roman" w:eastAsia="仿宋" w:cs="宋体"/>
                <w:kern w:val="2"/>
                <w:sz w:val="24"/>
                <w:szCs w:val="24"/>
                <w:lang w:val="en-US" w:eastAsia="zh-CN" w:bidi="ar-SA"/>
              </w:rPr>
              <w:t>地质工程、岩土工程、勘查技术与工程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仿宋" w:cs="宋体"/>
                <w:sz w:val="24"/>
              </w:rPr>
              <w:t>职称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" w:cs="宋体"/>
                <w:sz w:val="24"/>
              </w:rPr>
              <w:t>的，每有一项得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宋体"/>
                <w:sz w:val="24"/>
              </w:rPr>
              <w:t>分。（满分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 w14:paraId="05D3E799"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 w:val="0"/>
                <w:sz w:val="24"/>
              </w:rPr>
              <w:t>备注：需提供团队成员名单、证书复印件等材料佐证，不提供的不计分。</w:t>
            </w:r>
          </w:p>
        </w:tc>
      </w:tr>
      <w:tr w14:paraId="778C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2542" w:type="dxa"/>
            <w:noWrap w:val="0"/>
            <w:vAlign w:val="center"/>
          </w:tcPr>
          <w:p w14:paraId="43690C9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四、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设备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1E49D724">
            <w:pPr>
              <w:overflowPunct w:val="0"/>
              <w:spacing w:line="360" w:lineRule="exact"/>
              <w:rPr>
                <w:rFonts w:hint="eastAsia" w:ascii="Times New Roman" w:hAnsi="Times New Roman" w:eastAsia="仿宋" w:cs="黑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黑体"/>
                <w:b/>
                <w:bCs w:val="0"/>
                <w:sz w:val="24"/>
                <w:lang w:val="en-US" w:eastAsia="zh-CN"/>
              </w:rPr>
              <w:t>供应商设备（满分10分）</w:t>
            </w:r>
          </w:p>
          <w:p w14:paraId="4D6CA5BB">
            <w:pPr>
              <w:overflowPunct w:val="0"/>
              <w:spacing w:line="360" w:lineRule="exact"/>
              <w:ind w:firstLine="482" w:firstLineChars="200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黑体"/>
                <w:b/>
                <w:bCs w:val="0"/>
                <w:sz w:val="24"/>
                <w:lang w:val="en-US" w:eastAsia="zh-CN"/>
              </w:rPr>
              <w:t>1.供应商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自有采购履带式钻探设备的，</w:t>
            </w:r>
            <w:r>
              <w:rPr>
                <w:rFonts w:hint="eastAsia" w:ascii="Times New Roman" w:hAnsi="Times New Roman" w:eastAsia="仿宋"/>
                <w:sz w:val="24"/>
              </w:rPr>
              <w:t>每有一项得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</w:rPr>
              <w:t>分，满分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4"/>
              </w:rPr>
              <w:t>分。</w:t>
            </w:r>
          </w:p>
          <w:p w14:paraId="0DD88782">
            <w:pPr>
              <w:pStyle w:val="2"/>
              <w:ind w:firstLine="482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" w:cs="黑体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黑体"/>
                <w:b/>
                <w:bCs w:val="0"/>
                <w:sz w:val="24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拥有大地测量仪器、绘图测量仪器、地质地震专用地下管道探测仪器的，</w:t>
            </w:r>
            <w:r>
              <w:rPr>
                <w:rFonts w:hint="eastAsia" w:ascii="Times New Roman" w:hAnsi="Times New Roman" w:eastAsia="仿宋"/>
                <w:sz w:val="24"/>
              </w:rPr>
              <w:t>每有一项得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</w:rPr>
              <w:t>分，满分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</w:rPr>
              <w:t>分。</w:t>
            </w:r>
          </w:p>
          <w:p w14:paraId="1687BE85">
            <w:p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备注：须提供相关证明材料复印件</w:t>
            </w:r>
            <w:r>
              <w:rPr>
                <w:rFonts w:hint="eastAsia" w:ascii="Times New Roman" w:hAnsi="Times New Roman" w:eastAsia="仿宋" w:cstheme="minorBidi"/>
                <w:sz w:val="24"/>
                <w:szCs w:val="24"/>
              </w:rPr>
              <w:t>（属于供应商自有，租用不予计算）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，即提供包括但不限于</w:t>
            </w:r>
            <w:r>
              <w:rPr>
                <w:rFonts w:hint="eastAsia" w:ascii="Times New Roman" w:hAnsi="Times New Roman" w:eastAsia="仿宋" w:cstheme="minorBidi"/>
                <w:sz w:val="24"/>
                <w:szCs w:val="24"/>
              </w:rPr>
              <w:t>仪器设备列表、设备的彩色照片、采购发票（发票抬头为投标人名字）复印件等</w:t>
            </w:r>
            <w:r>
              <w:rPr>
                <w:rFonts w:hint="eastAsia" w:ascii="Times New Roman" w:hAnsi="Times New Roman" w:eastAsia="仿宋"/>
                <w:sz w:val="24"/>
              </w:rPr>
              <w:t>，未提供证明材料的不予认可。</w:t>
            </w:r>
          </w:p>
        </w:tc>
      </w:tr>
      <w:tr w14:paraId="04BB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034FF8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五、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信誉</w:t>
            </w:r>
            <w:r>
              <w:rPr>
                <w:rFonts w:hint="eastAsia" w:ascii="Times New Roman" w:hAnsi="Times New Roman" w:eastAsia="仿宋" w:cs="宋体"/>
                <w:sz w:val="24"/>
              </w:rPr>
              <w:t>业绩分（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473F2FD7"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自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"/>
                <w:sz w:val="24"/>
              </w:rPr>
              <w:t>年1月以来承接过与本项目类似业绩的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（建井、钻探类）</w:t>
            </w:r>
            <w:r>
              <w:rPr>
                <w:rFonts w:hint="eastAsia" w:ascii="Times New Roman" w:hAnsi="Times New Roman" w:eastAsia="仿宋"/>
                <w:sz w:val="24"/>
              </w:rPr>
              <w:t>，每有一项得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分，满分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4"/>
              </w:rPr>
              <w:t>分。</w:t>
            </w:r>
          </w:p>
          <w:p w14:paraId="7CC8A488">
            <w:pPr>
              <w:overflowPunct w:val="0"/>
              <w:spacing w:line="360" w:lineRule="exact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备注：须提供项目清单（清单应包含委托人名称、项目名称、合同时间、合同金额等信息）及合同关键页复印件（封面、标的、盖章页等），否则不计分。</w:t>
            </w:r>
          </w:p>
        </w:tc>
      </w:tr>
    </w:tbl>
    <w:p w14:paraId="38D9BAB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A318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8BCD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8BCD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FD"/>
    <w:rsid w:val="00E80EFD"/>
    <w:rsid w:val="2FDA2B8D"/>
    <w:rsid w:val="611A085E"/>
    <w:rsid w:val="72C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2</Pages>
  <Words>1314</Words>
  <Characters>1327</Characters>
  <Lines>0</Lines>
  <Paragraphs>0</Paragraphs>
  <TotalTime>0</TotalTime>
  <ScaleCrop>false</ScaleCrop>
  <LinksUpToDate>false</LinksUpToDate>
  <CharactersWithSpaces>1330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2025-11-24T07:31:00Z</dcterms:created>
  <dc:creator>箐箐</dc:creator>
  <cp:lastModifiedBy>箐箐</cp:lastModifiedBy>
  <dcterms:modified xsi:type="dcterms:W3CDTF">2025-11-24T07:38:58Z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541F91C096204E0481DAB00A119FD09F_13</vt:lpwstr>
  </property>
  <property fmtid="{D5CDD505-2E9C-101B-9397-08002B2CF9AE}" pid="4" name="KSOTemplateDocerSaveRecord">
    <vt:lpwstr>eyJoZGlkIjoiZWFhNTYyMmNmZWJmNTIyOWQ2YWQ2ODRjOTkyNzY5NjUiLCJ1c2VySWQiOiI0MjY4OTcxMjgifQ==</vt:lpwstr>
  </property>
</Properties>
</file>