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027D1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广西壮族自治区防城港生态环境监测中心</w:t>
      </w:r>
    </w:p>
    <w:p w14:paraId="277E98F0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水质自动监测站维修项目采购需求</w:t>
      </w:r>
    </w:p>
    <w:p w14:paraId="7161F82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F424B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一、项目名称</w:t>
      </w:r>
    </w:p>
    <w:p w14:paraId="37AB889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水质自动监测站维修项目</w:t>
      </w:r>
    </w:p>
    <w:p w14:paraId="5F5FE2E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项目背景</w:t>
      </w:r>
    </w:p>
    <w:p w14:paraId="0D63FB3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根据水站运维工作需要，水站部分设备仪器故障，需采购配套配件维修。</w:t>
      </w:r>
    </w:p>
    <w:p w14:paraId="0BA939F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项目预算</w:t>
      </w:r>
    </w:p>
    <w:p w14:paraId="79FDE5D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人民币壹拾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伍万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元整（¥</w:t>
      </w: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150,000.00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</w:t>
      </w:r>
    </w:p>
    <w:p w14:paraId="560C4D0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四、项目需求</w:t>
      </w:r>
    </w:p>
    <w:p w14:paraId="3577AA8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（一）服务内容</w:t>
      </w:r>
    </w:p>
    <w:p w14:paraId="4FE5B6E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本项目主要为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防城港市</w:t>
      </w:r>
      <w:r>
        <w:rPr>
          <w:rFonts w:hint="eastAsia" w:ascii="仿宋" w:hAnsi="仿宋" w:eastAsia="仿宋" w:cs="仿宋"/>
          <w:sz w:val="32"/>
          <w:szCs w:val="32"/>
        </w:rPr>
        <w:t>辖区内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水质自动监测站</w:t>
      </w:r>
      <w:r>
        <w:rPr>
          <w:rFonts w:hint="eastAsia" w:ascii="仿宋" w:hAnsi="仿宋" w:eastAsia="仿宋" w:cs="仿宋"/>
          <w:sz w:val="32"/>
          <w:szCs w:val="32"/>
        </w:rPr>
        <w:t>仪器设备提供故障诊断、维修服务，并提供符合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水质自动站</w:t>
      </w:r>
      <w:r>
        <w:rPr>
          <w:rFonts w:hint="eastAsia" w:ascii="仿宋" w:hAnsi="仿宋" w:eastAsia="仿宋" w:cs="仿宋"/>
          <w:sz w:val="32"/>
          <w:szCs w:val="32"/>
        </w:rPr>
        <w:t>仪器运行要求及质量保障的设备配件等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确现有设备完全兼容，满足设备运行需求。配件清单详见附表1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 w14:paraId="3B16003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（二）服务要求</w:t>
      </w:r>
    </w:p>
    <w:p w14:paraId="4151EBA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1.项目服务时间及服务地点</w:t>
      </w:r>
      <w:bookmarkStart w:id="1" w:name="_GoBack"/>
      <w:bookmarkEnd w:id="1"/>
    </w:p>
    <w:p w14:paraId="12B66844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cs="仿宋"/>
          <w:color w:val="auto"/>
          <w:sz w:val="32"/>
          <w:szCs w:val="32"/>
          <w:lang w:val="en-US" w:eastAsia="zh-CN"/>
        </w:rPr>
        <w:t>服务时间：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年</w:t>
      </w:r>
      <w:r>
        <w:rPr>
          <w:rFonts w:hint="eastAsia" w:ascii="仿宋" w:hAnsi="仿宋" w:cs="仿宋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月</w:t>
      </w:r>
      <w:r>
        <w:rPr>
          <w:rFonts w:hint="eastAsia" w:ascii="仿宋" w:hAnsi="仿宋" w:cs="仿宋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cs="仿宋"/>
          <w:color w:val="auto"/>
          <w:sz w:val="32"/>
          <w:szCs w:val="32"/>
          <w:highlight w:val="none"/>
          <w:lang w:val="en-US" w:eastAsia="zh-CN"/>
        </w:rPr>
        <w:t>以合同约定时间为准</w:t>
      </w:r>
      <w:r>
        <w:rPr>
          <w:rFonts w:hint="eastAsia" w:ascii="仿宋" w:hAnsi="仿宋" w:cs="仿宋"/>
          <w:color w:val="auto"/>
          <w:sz w:val="32"/>
          <w:szCs w:val="32"/>
          <w:highlight w:val="none"/>
          <w:lang w:eastAsia="zh-CN"/>
        </w:rPr>
        <w:t>）</w:t>
      </w:r>
    </w:p>
    <w:p w14:paraId="0873050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服务地点：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防城港市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（采购方指定地点）。</w:t>
      </w:r>
    </w:p>
    <w:p w14:paraId="3646EF6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五、其它服务</w:t>
      </w:r>
      <w:r>
        <w:rPr>
          <w:rFonts w:hint="eastAsia" w:ascii="黑体" w:hAnsi="黑体" w:eastAsia="黑体" w:cs="黑体"/>
          <w:sz w:val="32"/>
          <w:szCs w:val="32"/>
        </w:rPr>
        <w:t>要求</w:t>
      </w:r>
    </w:p>
    <w:p w14:paraId="65A2A3C5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（一）质量要求</w:t>
      </w:r>
    </w:p>
    <w:p w14:paraId="7C914A3B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标人提供的物品必须原装、全新的、具出厂合格证，且与采购人的仪器能配套使用（不接受贴牌的组装物品），其序列号、包装箱号与出厂批号一致并可追索查阅、满足国家及行业强制性标准及规范，并符合采购人提出的有关质量标准的产品，符合国家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 HYPERLINK "https://www.mee.gov.cn/ywgz/fgbz/bz/bzwb/jcffbz/201801/W020180108522970896822.pdf" 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地表水自动监测技术规范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》（试行）（HJ 915-2017）无质量缺陷或功能故障。</w:t>
      </w:r>
    </w:p>
    <w:p w14:paraId="10CE6A7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(二）供货要求</w:t>
      </w:r>
    </w:p>
    <w:p w14:paraId="289E5711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成交供应商须在合同签订后10日内完成所有配件的供货、运输至采购人指定地点（含卸货），并提供配件清单、产品合格证，否则按违约处理。</w:t>
      </w:r>
    </w:p>
    <w:p w14:paraId="1EE610DD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（三）技术支持</w:t>
      </w:r>
    </w:p>
    <w:p w14:paraId="05F7660E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供货时须派专业技术人员到场安装调试，协助采购人对配件进行型号核对、外观检查；若后续需要，须提供免费技术指导（含远程或现场指导）。</w:t>
      </w:r>
    </w:p>
    <w:p w14:paraId="7C94FCA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（四）证明文件要求</w:t>
      </w:r>
    </w:p>
    <w:p w14:paraId="1722D976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中标人交货时须随附货物清单，且必须提交如下资料：货物出厂产品合格证、说明书等。</w:t>
      </w:r>
    </w:p>
    <w:p w14:paraId="69E1EFD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本项目不接受联合体。</w:t>
      </w:r>
    </w:p>
    <w:p w14:paraId="01262DAC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600" w:lineRule="exact"/>
        <w:ind w:firstLine="608" w:firstLineChars="200"/>
        <w:textAlignment w:val="auto"/>
        <w:rPr>
          <w:rFonts w:hint="eastAsia" w:ascii="黑体" w:hAnsi="黑体" w:eastAsia="黑体" w:cs="Times New Roman"/>
          <w:bCs/>
          <w:spacing w:val="-8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bCs/>
          <w:spacing w:val="-8"/>
          <w:kern w:val="2"/>
          <w:sz w:val="32"/>
          <w:szCs w:val="32"/>
          <w:lang w:val="en-US" w:eastAsia="zh-CN" w:bidi="ar-SA"/>
        </w:rPr>
        <w:t>六、供应商的资格条件</w:t>
      </w:r>
    </w:p>
    <w:p w14:paraId="55426667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1.满足《中华人民共和国政府采购法》第二十二条规定；</w:t>
      </w:r>
    </w:p>
    <w:p w14:paraId="026D2F82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2.落实政府采购政策需满足的资格要求：国内注册（指按国家有关规定要求注册的）依法能提供本次采购服务的供应商；</w:t>
      </w:r>
    </w:p>
    <w:p w14:paraId="0672F118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3.本项目的特定资格要求：无；</w:t>
      </w:r>
    </w:p>
    <w:p w14:paraId="285B38FA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4.单位负责人为同一人或者存在直接控股、管理关系的不同供应商，不得参加同一合同项下的采购活动；</w:t>
      </w:r>
    </w:p>
    <w:p w14:paraId="36AD09D3"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708" w:footer="70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linePitch="360" w:charSpace="0"/>
        </w:sect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对在“信用中国”网站(www.creditchina.gov.cn)、中国政府采购网(www.ccgp.gov.cn)被列入失信被执行人、重大税收违法案件当事人名单、政府采购严重违法失信行为记录名单及其他不符合《中华人民共和国政府采购法》第二十二条规定条件的供应商，不得参与采购活动。</w:t>
      </w:r>
    </w:p>
    <w:p w14:paraId="174DE907">
      <w:pPr>
        <w:snapToGrid w:val="0"/>
        <w:spacing w:line="560" w:lineRule="exact"/>
        <w:jc w:val="center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附表1-配件采购清单</w:t>
      </w:r>
    </w:p>
    <w:tbl>
      <w:tblPr>
        <w:tblStyle w:val="14"/>
        <w:tblW w:w="87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3942"/>
        <w:gridCol w:w="1633"/>
        <w:gridCol w:w="1128"/>
        <w:gridCol w:w="1125"/>
      </w:tblGrid>
      <w:tr w14:paraId="1278F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tblHeader/>
          <w:jc w:val="center"/>
        </w:trPr>
        <w:tc>
          <w:tcPr>
            <w:tcW w:w="965" w:type="dxa"/>
            <w:vAlign w:val="center"/>
          </w:tcPr>
          <w:p w14:paraId="4C716396">
            <w:pPr>
              <w:pStyle w:val="23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942" w:type="dxa"/>
            <w:vAlign w:val="center"/>
          </w:tcPr>
          <w:p w14:paraId="2DC37945">
            <w:pPr>
              <w:pStyle w:val="23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配件名称</w:t>
            </w:r>
          </w:p>
        </w:tc>
        <w:tc>
          <w:tcPr>
            <w:tcW w:w="1633" w:type="dxa"/>
            <w:vAlign w:val="center"/>
          </w:tcPr>
          <w:p w14:paraId="3D3EB1B4">
            <w:pPr>
              <w:pStyle w:val="23"/>
              <w:jc w:val="center"/>
              <w:rPr>
                <w:rFonts w:hint="default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品牌</w:t>
            </w:r>
          </w:p>
        </w:tc>
        <w:tc>
          <w:tcPr>
            <w:tcW w:w="1128" w:type="dxa"/>
            <w:vAlign w:val="center"/>
          </w:tcPr>
          <w:p w14:paraId="2714CC80">
            <w:pPr>
              <w:pStyle w:val="23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125" w:type="dxa"/>
            <w:vAlign w:val="center"/>
          </w:tcPr>
          <w:p w14:paraId="2CA68336">
            <w:pPr>
              <w:pStyle w:val="23"/>
              <w:jc w:val="center"/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数量</w:t>
            </w:r>
          </w:p>
        </w:tc>
      </w:tr>
      <w:tr w14:paraId="3C04C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51F1B94F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bookmarkStart w:id="0" w:name="OLE_LINK1" w:colFirst="6" w:colLast="6"/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942" w:type="dxa"/>
            <w:vAlign w:val="center"/>
          </w:tcPr>
          <w:p w14:paraId="411146B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总氮消解池</w:t>
            </w:r>
          </w:p>
        </w:tc>
        <w:tc>
          <w:tcPr>
            <w:tcW w:w="1633" w:type="dxa"/>
            <w:vAlign w:val="center"/>
          </w:tcPr>
          <w:p w14:paraId="453BD3AF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力合科技</w:t>
            </w:r>
          </w:p>
        </w:tc>
        <w:tc>
          <w:tcPr>
            <w:tcW w:w="1128" w:type="dxa"/>
            <w:vAlign w:val="center"/>
          </w:tcPr>
          <w:p w14:paraId="084315F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7CAF6D3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47001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67F702C9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942" w:type="dxa"/>
            <w:vAlign w:val="center"/>
          </w:tcPr>
          <w:p w14:paraId="61B8818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八联体</w:t>
            </w:r>
          </w:p>
        </w:tc>
        <w:tc>
          <w:tcPr>
            <w:tcW w:w="1633" w:type="dxa"/>
            <w:vAlign w:val="center"/>
          </w:tcPr>
          <w:p w14:paraId="74B5A60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力合科技</w:t>
            </w:r>
          </w:p>
        </w:tc>
        <w:tc>
          <w:tcPr>
            <w:tcW w:w="1128" w:type="dxa"/>
            <w:vAlign w:val="center"/>
          </w:tcPr>
          <w:p w14:paraId="0E561C3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7B15832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1BC7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6C7235D7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942" w:type="dxa"/>
            <w:vAlign w:val="center"/>
          </w:tcPr>
          <w:p w14:paraId="34FC06C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十联体</w:t>
            </w:r>
          </w:p>
        </w:tc>
        <w:tc>
          <w:tcPr>
            <w:tcW w:w="1633" w:type="dxa"/>
            <w:vAlign w:val="center"/>
          </w:tcPr>
          <w:p w14:paraId="2A25890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力合科技</w:t>
            </w:r>
          </w:p>
        </w:tc>
        <w:tc>
          <w:tcPr>
            <w:tcW w:w="1128" w:type="dxa"/>
            <w:vAlign w:val="center"/>
          </w:tcPr>
          <w:p w14:paraId="3BBFBCB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217AE66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2A547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1D3A8ED4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942" w:type="dxa"/>
            <w:vAlign w:val="center"/>
          </w:tcPr>
          <w:p w14:paraId="4EBEF73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二通阀（高压阀配底座）</w:t>
            </w:r>
          </w:p>
        </w:tc>
        <w:tc>
          <w:tcPr>
            <w:tcW w:w="1633" w:type="dxa"/>
            <w:vAlign w:val="center"/>
          </w:tcPr>
          <w:p w14:paraId="5F4194E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力合科技</w:t>
            </w:r>
          </w:p>
        </w:tc>
        <w:tc>
          <w:tcPr>
            <w:tcW w:w="1128" w:type="dxa"/>
            <w:vAlign w:val="center"/>
          </w:tcPr>
          <w:p w14:paraId="1730E75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496BB9C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2843E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1F654A13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942" w:type="dxa"/>
            <w:vAlign w:val="center"/>
          </w:tcPr>
          <w:p w14:paraId="00EB0B0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三通阀</w:t>
            </w:r>
          </w:p>
        </w:tc>
        <w:tc>
          <w:tcPr>
            <w:tcW w:w="1633" w:type="dxa"/>
            <w:vAlign w:val="center"/>
          </w:tcPr>
          <w:p w14:paraId="3AB2904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力合科技</w:t>
            </w:r>
          </w:p>
        </w:tc>
        <w:tc>
          <w:tcPr>
            <w:tcW w:w="1128" w:type="dxa"/>
            <w:vAlign w:val="center"/>
          </w:tcPr>
          <w:p w14:paraId="58D0B9B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597B7A1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4119D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661CA5AE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942" w:type="dxa"/>
            <w:vAlign w:val="center"/>
          </w:tcPr>
          <w:p w14:paraId="23E75F4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二通阀</w:t>
            </w:r>
          </w:p>
        </w:tc>
        <w:tc>
          <w:tcPr>
            <w:tcW w:w="1633" w:type="dxa"/>
            <w:vAlign w:val="center"/>
          </w:tcPr>
          <w:p w14:paraId="5B1BA8B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力合科技</w:t>
            </w:r>
          </w:p>
        </w:tc>
        <w:tc>
          <w:tcPr>
            <w:tcW w:w="1128" w:type="dxa"/>
            <w:vAlign w:val="center"/>
          </w:tcPr>
          <w:p w14:paraId="605AAAA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228E2B5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7011A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0B050978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942" w:type="dxa"/>
            <w:vAlign w:val="center"/>
          </w:tcPr>
          <w:p w14:paraId="08EB38B6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二合一防雷器</w:t>
            </w:r>
          </w:p>
        </w:tc>
        <w:tc>
          <w:tcPr>
            <w:tcW w:w="1633" w:type="dxa"/>
            <w:vAlign w:val="center"/>
          </w:tcPr>
          <w:p w14:paraId="53467FC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力合科技</w:t>
            </w:r>
          </w:p>
        </w:tc>
        <w:tc>
          <w:tcPr>
            <w:tcW w:w="1128" w:type="dxa"/>
            <w:vAlign w:val="center"/>
          </w:tcPr>
          <w:p w14:paraId="43B280C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61F5FC4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0D4CF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731E077E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942" w:type="dxa"/>
            <w:vAlign w:val="center"/>
          </w:tcPr>
          <w:p w14:paraId="29D1D70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pH电极</w:t>
            </w:r>
          </w:p>
        </w:tc>
        <w:tc>
          <w:tcPr>
            <w:tcW w:w="1633" w:type="dxa"/>
            <w:vAlign w:val="center"/>
          </w:tcPr>
          <w:p w14:paraId="52E475A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力合科技</w:t>
            </w:r>
          </w:p>
        </w:tc>
        <w:tc>
          <w:tcPr>
            <w:tcW w:w="1128" w:type="dxa"/>
            <w:vAlign w:val="center"/>
          </w:tcPr>
          <w:p w14:paraId="3ACA528E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根</w:t>
            </w:r>
          </w:p>
        </w:tc>
        <w:tc>
          <w:tcPr>
            <w:tcW w:w="1125" w:type="dxa"/>
            <w:vAlign w:val="center"/>
          </w:tcPr>
          <w:p w14:paraId="3A277AB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18F98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5845E7B0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942" w:type="dxa"/>
            <w:vAlign w:val="center"/>
          </w:tcPr>
          <w:p w14:paraId="6811BED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柱塞泵（新）</w:t>
            </w:r>
          </w:p>
        </w:tc>
        <w:tc>
          <w:tcPr>
            <w:tcW w:w="1633" w:type="dxa"/>
            <w:vAlign w:val="center"/>
          </w:tcPr>
          <w:p w14:paraId="1FFF10A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力合科技</w:t>
            </w:r>
          </w:p>
        </w:tc>
        <w:tc>
          <w:tcPr>
            <w:tcW w:w="1128" w:type="dxa"/>
            <w:vAlign w:val="center"/>
          </w:tcPr>
          <w:p w14:paraId="1138361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2FF330D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6F037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459301B3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942" w:type="dxa"/>
            <w:vAlign w:val="center"/>
          </w:tcPr>
          <w:p w14:paraId="348E48F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柱塞泵极限</w:t>
            </w:r>
          </w:p>
        </w:tc>
        <w:tc>
          <w:tcPr>
            <w:tcW w:w="1633" w:type="dxa"/>
            <w:vAlign w:val="center"/>
          </w:tcPr>
          <w:p w14:paraId="03BAE0B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力合科技</w:t>
            </w:r>
          </w:p>
        </w:tc>
        <w:tc>
          <w:tcPr>
            <w:tcW w:w="1128" w:type="dxa"/>
            <w:vAlign w:val="center"/>
          </w:tcPr>
          <w:p w14:paraId="4D3C30F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5CAF542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5DBA4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137FD67F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942" w:type="dxa"/>
            <w:vAlign w:val="center"/>
          </w:tcPr>
          <w:p w14:paraId="1AA35CE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光敏</w:t>
            </w:r>
          </w:p>
        </w:tc>
        <w:tc>
          <w:tcPr>
            <w:tcW w:w="1633" w:type="dxa"/>
            <w:vAlign w:val="center"/>
          </w:tcPr>
          <w:p w14:paraId="46AEB7F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力合科技</w:t>
            </w:r>
          </w:p>
        </w:tc>
        <w:tc>
          <w:tcPr>
            <w:tcW w:w="1128" w:type="dxa"/>
            <w:vAlign w:val="center"/>
          </w:tcPr>
          <w:p w14:paraId="10ABB47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块</w:t>
            </w:r>
          </w:p>
        </w:tc>
        <w:tc>
          <w:tcPr>
            <w:tcW w:w="1125" w:type="dxa"/>
            <w:vAlign w:val="center"/>
          </w:tcPr>
          <w:p w14:paraId="74EFF69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1D632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12DCCF15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942" w:type="dxa"/>
            <w:vAlign w:val="center"/>
          </w:tcPr>
          <w:p w14:paraId="0E3B7FE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总氮光源灯</w:t>
            </w:r>
          </w:p>
        </w:tc>
        <w:tc>
          <w:tcPr>
            <w:tcW w:w="1633" w:type="dxa"/>
            <w:vAlign w:val="center"/>
          </w:tcPr>
          <w:p w14:paraId="3F7EC87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力合科技</w:t>
            </w:r>
          </w:p>
        </w:tc>
        <w:tc>
          <w:tcPr>
            <w:tcW w:w="1128" w:type="dxa"/>
            <w:vAlign w:val="center"/>
          </w:tcPr>
          <w:p w14:paraId="186BEAE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2A44CF0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4F90C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229881E0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942" w:type="dxa"/>
            <w:vAlign w:val="center"/>
          </w:tcPr>
          <w:p w14:paraId="1A43363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总磷光源灯</w:t>
            </w:r>
          </w:p>
        </w:tc>
        <w:tc>
          <w:tcPr>
            <w:tcW w:w="1633" w:type="dxa"/>
            <w:vAlign w:val="center"/>
          </w:tcPr>
          <w:p w14:paraId="14DA711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力合科技</w:t>
            </w:r>
          </w:p>
        </w:tc>
        <w:tc>
          <w:tcPr>
            <w:tcW w:w="1128" w:type="dxa"/>
            <w:vAlign w:val="center"/>
          </w:tcPr>
          <w:p w14:paraId="2106BEE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2D41CF8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70123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309C4F24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942" w:type="dxa"/>
            <w:vAlign w:val="center"/>
          </w:tcPr>
          <w:p w14:paraId="2180AA8E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氨氮光源灯</w:t>
            </w:r>
          </w:p>
        </w:tc>
        <w:tc>
          <w:tcPr>
            <w:tcW w:w="1633" w:type="dxa"/>
            <w:vAlign w:val="center"/>
          </w:tcPr>
          <w:p w14:paraId="60A1862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力合科技</w:t>
            </w:r>
          </w:p>
        </w:tc>
        <w:tc>
          <w:tcPr>
            <w:tcW w:w="1128" w:type="dxa"/>
            <w:vAlign w:val="center"/>
          </w:tcPr>
          <w:p w14:paraId="15A64EA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1697652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6AF30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30B1D3A7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942" w:type="dxa"/>
            <w:vAlign w:val="center"/>
          </w:tcPr>
          <w:p w14:paraId="54F13AB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高锰酸盐指数光源灯</w:t>
            </w:r>
          </w:p>
        </w:tc>
        <w:tc>
          <w:tcPr>
            <w:tcW w:w="1633" w:type="dxa"/>
            <w:vAlign w:val="center"/>
          </w:tcPr>
          <w:p w14:paraId="16E837A0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力合科技</w:t>
            </w:r>
          </w:p>
        </w:tc>
        <w:tc>
          <w:tcPr>
            <w:tcW w:w="1128" w:type="dxa"/>
            <w:vAlign w:val="center"/>
          </w:tcPr>
          <w:p w14:paraId="65679CA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1BC5104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0D1A3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3A1F07FE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942" w:type="dxa"/>
            <w:vAlign w:val="center"/>
          </w:tcPr>
          <w:p w14:paraId="57CFB07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氨氮消解池</w:t>
            </w:r>
          </w:p>
        </w:tc>
        <w:tc>
          <w:tcPr>
            <w:tcW w:w="1633" w:type="dxa"/>
            <w:vAlign w:val="center"/>
          </w:tcPr>
          <w:p w14:paraId="79FB7D7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力合科技</w:t>
            </w:r>
          </w:p>
        </w:tc>
        <w:tc>
          <w:tcPr>
            <w:tcW w:w="1128" w:type="dxa"/>
            <w:vAlign w:val="center"/>
          </w:tcPr>
          <w:p w14:paraId="6D6A4FC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40EE76F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698DF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390E0A79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942" w:type="dxa"/>
            <w:vAlign w:val="center"/>
          </w:tcPr>
          <w:p w14:paraId="312A4F3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电磁阀</w:t>
            </w:r>
          </w:p>
        </w:tc>
        <w:tc>
          <w:tcPr>
            <w:tcW w:w="1633" w:type="dxa"/>
            <w:vAlign w:val="center"/>
          </w:tcPr>
          <w:p w14:paraId="545167B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力合科技</w:t>
            </w:r>
          </w:p>
        </w:tc>
        <w:tc>
          <w:tcPr>
            <w:tcW w:w="1128" w:type="dxa"/>
            <w:vAlign w:val="center"/>
          </w:tcPr>
          <w:p w14:paraId="382B90E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7B5CD50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38F8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0AB4F6AD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942" w:type="dxa"/>
            <w:vAlign w:val="center"/>
          </w:tcPr>
          <w:p w14:paraId="48A3352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高锰酸盐指数监测池</w:t>
            </w:r>
          </w:p>
        </w:tc>
        <w:tc>
          <w:tcPr>
            <w:tcW w:w="1633" w:type="dxa"/>
            <w:vAlign w:val="center"/>
          </w:tcPr>
          <w:p w14:paraId="26FE55E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力合科技</w:t>
            </w:r>
          </w:p>
        </w:tc>
        <w:tc>
          <w:tcPr>
            <w:tcW w:w="1128" w:type="dxa"/>
            <w:vAlign w:val="center"/>
          </w:tcPr>
          <w:p w14:paraId="2E4732B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55EFA18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09D14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6408E77F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942" w:type="dxa"/>
            <w:vAlign w:val="center"/>
          </w:tcPr>
          <w:p w14:paraId="2B06220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联动模块</w:t>
            </w:r>
          </w:p>
        </w:tc>
        <w:tc>
          <w:tcPr>
            <w:tcW w:w="1633" w:type="dxa"/>
            <w:vAlign w:val="center"/>
          </w:tcPr>
          <w:p w14:paraId="68316CF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力合科技</w:t>
            </w:r>
          </w:p>
        </w:tc>
        <w:tc>
          <w:tcPr>
            <w:tcW w:w="1128" w:type="dxa"/>
            <w:vAlign w:val="center"/>
          </w:tcPr>
          <w:p w14:paraId="00D78AC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块</w:t>
            </w:r>
          </w:p>
        </w:tc>
        <w:tc>
          <w:tcPr>
            <w:tcW w:w="1125" w:type="dxa"/>
            <w:vAlign w:val="center"/>
          </w:tcPr>
          <w:p w14:paraId="6544800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0782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24D60A35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942" w:type="dxa"/>
            <w:vAlign w:val="center"/>
          </w:tcPr>
          <w:p w14:paraId="5377049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比色模块</w:t>
            </w:r>
          </w:p>
        </w:tc>
        <w:tc>
          <w:tcPr>
            <w:tcW w:w="1633" w:type="dxa"/>
            <w:vAlign w:val="center"/>
          </w:tcPr>
          <w:p w14:paraId="70ED792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力合科技</w:t>
            </w:r>
          </w:p>
        </w:tc>
        <w:tc>
          <w:tcPr>
            <w:tcW w:w="1128" w:type="dxa"/>
            <w:vAlign w:val="center"/>
          </w:tcPr>
          <w:p w14:paraId="01C81A7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块</w:t>
            </w:r>
          </w:p>
        </w:tc>
        <w:tc>
          <w:tcPr>
            <w:tcW w:w="1125" w:type="dxa"/>
            <w:vAlign w:val="center"/>
          </w:tcPr>
          <w:p w14:paraId="58FEA48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601B9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1EC09FD7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3942" w:type="dxa"/>
            <w:vAlign w:val="center"/>
          </w:tcPr>
          <w:p w14:paraId="7CB8B69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开关电源盒</w:t>
            </w:r>
          </w:p>
        </w:tc>
        <w:tc>
          <w:tcPr>
            <w:tcW w:w="1633" w:type="dxa"/>
            <w:vAlign w:val="center"/>
          </w:tcPr>
          <w:p w14:paraId="057BE83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力合科技</w:t>
            </w:r>
          </w:p>
        </w:tc>
        <w:tc>
          <w:tcPr>
            <w:tcW w:w="1128" w:type="dxa"/>
            <w:vAlign w:val="center"/>
          </w:tcPr>
          <w:p w14:paraId="0E5B3C6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69F5C86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48297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438B6FF8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3942" w:type="dxa"/>
            <w:vAlign w:val="center"/>
          </w:tcPr>
          <w:p w14:paraId="315F293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高锰酸盐指数0PPR电极</w:t>
            </w:r>
          </w:p>
        </w:tc>
        <w:tc>
          <w:tcPr>
            <w:tcW w:w="1633" w:type="dxa"/>
            <w:vAlign w:val="center"/>
          </w:tcPr>
          <w:p w14:paraId="60E1C2E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力合科技</w:t>
            </w:r>
          </w:p>
        </w:tc>
        <w:tc>
          <w:tcPr>
            <w:tcW w:w="1128" w:type="dxa"/>
            <w:vAlign w:val="center"/>
          </w:tcPr>
          <w:p w14:paraId="4FBA383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根</w:t>
            </w:r>
          </w:p>
        </w:tc>
        <w:tc>
          <w:tcPr>
            <w:tcW w:w="1125" w:type="dxa"/>
            <w:vAlign w:val="center"/>
          </w:tcPr>
          <w:p w14:paraId="34CC20F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2D4CE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3041B374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3942" w:type="dxa"/>
            <w:vAlign w:val="center"/>
          </w:tcPr>
          <w:p w14:paraId="052C260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A8主板</w:t>
            </w:r>
          </w:p>
        </w:tc>
        <w:tc>
          <w:tcPr>
            <w:tcW w:w="1633" w:type="dxa"/>
            <w:vAlign w:val="center"/>
          </w:tcPr>
          <w:p w14:paraId="13BFABE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力合科技</w:t>
            </w:r>
          </w:p>
        </w:tc>
        <w:tc>
          <w:tcPr>
            <w:tcW w:w="1128" w:type="dxa"/>
            <w:vAlign w:val="center"/>
          </w:tcPr>
          <w:p w14:paraId="6247DEC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块</w:t>
            </w:r>
          </w:p>
        </w:tc>
        <w:tc>
          <w:tcPr>
            <w:tcW w:w="1125" w:type="dxa"/>
            <w:vAlign w:val="center"/>
          </w:tcPr>
          <w:p w14:paraId="12E374E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0AA1A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4D7C104C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3942" w:type="dxa"/>
            <w:vAlign w:val="center"/>
          </w:tcPr>
          <w:p w14:paraId="2AEACA3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A9主板</w:t>
            </w:r>
          </w:p>
        </w:tc>
        <w:tc>
          <w:tcPr>
            <w:tcW w:w="1633" w:type="dxa"/>
            <w:vAlign w:val="center"/>
          </w:tcPr>
          <w:p w14:paraId="51C9D2C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力合科技</w:t>
            </w:r>
          </w:p>
        </w:tc>
        <w:tc>
          <w:tcPr>
            <w:tcW w:w="1128" w:type="dxa"/>
            <w:vAlign w:val="center"/>
          </w:tcPr>
          <w:p w14:paraId="70A44A9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块</w:t>
            </w:r>
          </w:p>
        </w:tc>
        <w:tc>
          <w:tcPr>
            <w:tcW w:w="1125" w:type="dxa"/>
            <w:vAlign w:val="center"/>
          </w:tcPr>
          <w:p w14:paraId="0EDA837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3586C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19E25DF7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3942" w:type="dxa"/>
            <w:vAlign w:val="center"/>
          </w:tcPr>
          <w:p w14:paraId="56F0ACD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总氮消解池</w:t>
            </w:r>
          </w:p>
        </w:tc>
        <w:tc>
          <w:tcPr>
            <w:tcW w:w="1633" w:type="dxa"/>
            <w:vAlign w:val="center"/>
          </w:tcPr>
          <w:p w14:paraId="1009D6A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碧兴科技</w:t>
            </w:r>
          </w:p>
        </w:tc>
        <w:tc>
          <w:tcPr>
            <w:tcW w:w="1128" w:type="dxa"/>
            <w:vAlign w:val="center"/>
          </w:tcPr>
          <w:p w14:paraId="1EE5637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74B8664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22BA7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3AA9F54C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3942" w:type="dxa"/>
            <w:vAlign w:val="center"/>
          </w:tcPr>
          <w:p w14:paraId="4966446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E310主控制板PCBA</w:t>
            </w:r>
          </w:p>
        </w:tc>
        <w:tc>
          <w:tcPr>
            <w:tcW w:w="1633" w:type="dxa"/>
            <w:vAlign w:val="center"/>
          </w:tcPr>
          <w:p w14:paraId="0D4432A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碧兴科技</w:t>
            </w:r>
          </w:p>
        </w:tc>
        <w:tc>
          <w:tcPr>
            <w:tcW w:w="1128" w:type="dxa"/>
            <w:vAlign w:val="center"/>
          </w:tcPr>
          <w:p w14:paraId="3A2F509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6698359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0EA4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7FB82D19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3942" w:type="dxa"/>
            <w:vAlign w:val="center"/>
          </w:tcPr>
          <w:p w14:paraId="2CB4CF4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E310部件驱动板PCBA</w:t>
            </w:r>
          </w:p>
        </w:tc>
        <w:tc>
          <w:tcPr>
            <w:tcW w:w="1633" w:type="dxa"/>
            <w:vAlign w:val="center"/>
          </w:tcPr>
          <w:p w14:paraId="4CB4E1F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碧兴科技</w:t>
            </w:r>
          </w:p>
        </w:tc>
        <w:tc>
          <w:tcPr>
            <w:tcW w:w="1128" w:type="dxa"/>
            <w:vAlign w:val="center"/>
          </w:tcPr>
          <w:p w14:paraId="291499E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53393B7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51208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61BFA23F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3942" w:type="dxa"/>
            <w:vAlign w:val="center"/>
          </w:tcPr>
          <w:p w14:paraId="50DF59A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总氮反应池模块</w:t>
            </w:r>
          </w:p>
        </w:tc>
        <w:tc>
          <w:tcPr>
            <w:tcW w:w="1633" w:type="dxa"/>
            <w:vAlign w:val="center"/>
          </w:tcPr>
          <w:p w14:paraId="497393B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碧兴科技</w:t>
            </w:r>
          </w:p>
        </w:tc>
        <w:tc>
          <w:tcPr>
            <w:tcW w:w="1128" w:type="dxa"/>
            <w:vAlign w:val="center"/>
          </w:tcPr>
          <w:p w14:paraId="7E9DD8E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4FC62AC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45B1E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57C6CFE6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3942" w:type="dxa"/>
            <w:vAlign w:val="center"/>
          </w:tcPr>
          <w:p w14:paraId="4D524B3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高锰酸盐指数ORP电极</w:t>
            </w:r>
          </w:p>
        </w:tc>
        <w:tc>
          <w:tcPr>
            <w:tcW w:w="1633" w:type="dxa"/>
            <w:vAlign w:val="center"/>
          </w:tcPr>
          <w:p w14:paraId="0239537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碧兴科技</w:t>
            </w:r>
          </w:p>
        </w:tc>
        <w:tc>
          <w:tcPr>
            <w:tcW w:w="1128" w:type="dxa"/>
            <w:vAlign w:val="center"/>
          </w:tcPr>
          <w:p w14:paraId="541D6B7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017C705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0BD4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6FC76935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3942" w:type="dxa"/>
            <w:vAlign w:val="center"/>
          </w:tcPr>
          <w:p w14:paraId="4C6B7D1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氨气敏电极</w:t>
            </w:r>
          </w:p>
        </w:tc>
        <w:tc>
          <w:tcPr>
            <w:tcW w:w="1633" w:type="dxa"/>
            <w:vAlign w:val="center"/>
          </w:tcPr>
          <w:p w14:paraId="7D34774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碧兴科技</w:t>
            </w:r>
          </w:p>
        </w:tc>
        <w:tc>
          <w:tcPr>
            <w:tcW w:w="1128" w:type="dxa"/>
            <w:vAlign w:val="center"/>
          </w:tcPr>
          <w:p w14:paraId="5AEBA88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6CCE4D2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6BEE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651F2162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3942" w:type="dxa"/>
            <w:vAlign w:val="center"/>
          </w:tcPr>
          <w:p w14:paraId="313DF93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开关电源</w:t>
            </w:r>
          </w:p>
        </w:tc>
        <w:tc>
          <w:tcPr>
            <w:tcW w:w="1633" w:type="dxa"/>
            <w:vAlign w:val="center"/>
          </w:tcPr>
          <w:p w14:paraId="7E0FC4E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碧兴科技</w:t>
            </w:r>
          </w:p>
        </w:tc>
        <w:tc>
          <w:tcPr>
            <w:tcW w:w="1128" w:type="dxa"/>
            <w:vAlign w:val="center"/>
          </w:tcPr>
          <w:p w14:paraId="360A0C3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014AA2E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03E4C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34A17623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3942" w:type="dxa"/>
            <w:vAlign w:val="center"/>
          </w:tcPr>
          <w:p w14:paraId="1594F63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蠕动泵头</w:t>
            </w:r>
          </w:p>
        </w:tc>
        <w:tc>
          <w:tcPr>
            <w:tcW w:w="1633" w:type="dxa"/>
            <w:vAlign w:val="center"/>
          </w:tcPr>
          <w:p w14:paraId="292B412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碧兴科技</w:t>
            </w:r>
          </w:p>
        </w:tc>
        <w:tc>
          <w:tcPr>
            <w:tcW w:w="1128" w:type="dxa"/>
            <w:vAlign w:val="center"/>
          </w:tcPr>
          <w:p w14:paraId="6041B47E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7ED7510C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085D0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3DFA273D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3942" w:type="dxa"/>
            <w:vAlign w:val="center"/>
          </w:tcPr>
          <w:p w14:paraId="43D8B0E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12位13通阀</w:t>
            </w:r>
          </w:p>
        </w:tc>
        <w:tc>
          <w:tcPr>
            <w:tcW w:w="1633" w:type="dxa"/>
            <w:vAlign w:val="center"/>
          </w:tcPr>
          <w:p w14:paraId="252CFA9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碧兴科技</w:t>
            </w:r>
          </w:p>
        </w:tc>
        <w:tc>
          <w:tcPr>
            <w:tcW w:w="1128" w:type="dxa"/>
            <w:vAlign w:val="center"/>
          </w:tcPr>
          <w:p w14:paraId="641307A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4E24990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4BB7A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07F4D4AF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3942" w:type="dxa"/>
            <w:vAlign w:val="center"/>
          </w:tcPr>
          <w:p w14:paraId="4279BD7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SV-01多通道切换阀</w:t>
            </w:r>
          </w:p>
        </w:tc>
        <w:tc>
          <w:tcPr>
            <w:tcW w:w="1633" w:type="dxa"/>
            <w:vAlign w:val="center"/>
          </w:tcPr>
          <w:p w14:paraId="3413D99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碧兴科技</w:t>
            </w:r>
          </w:p>
        </w:tc>
        <w:tc>
          <w:tcPr>
            <w:tcW w:w="1128" w:type="dxa"/>
            <w:vAlign w:val="center"/>
          </w:tcPr>
          <w:p w14:paraId="41A28595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1FEAEBAB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79D3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5562825E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3942" w:type="dxa"/>
            <w:vAlign w:val="center"/>
          </w:tcPr>
          <w:p w14:paraId="27E80ED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电动球阀</w:t>
            </w:r>
          </w:p>
        </w:tc>
        <w:tc>
          <w:tcPr>
            <w:tcW w:w="1633" w:type="dxa"/>
            <w:vAlign w:val="center"/>
          </w:tcPr>
          <w:p w14:paraId="59C9F171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碧兴科技</w:t>
            </w:r>
          </w:p>
        </w:tc>
        <w:tc>
          <w:tcPr>
            <w:tcW w:w="1128" w:type="dxa"/>
            <w:vAlign w:val="center"/>
          </w:tcPr>
          <w:p w14:paraId="7F052C6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138732E2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7DCDC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965" w:type="dxa"/>
            <w:vAlign w:val="center"/>
          </w:tcPr>
          <w:p w14:paraId="5BFFD7F0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3942" w:type="dxa"/>
            <w:vAlign w:val="center"/>
          </w:tcPr>
          <w:p w14:paraId="2415FCC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步注射泵</w:t>
            </w:r>
          </w:p>
        </w:tc>
        <w:tc>
          <w:tcPr>
            <w:tcW w:w="1633" w:type="dxa"/>
            <w:vAlign w:val="center"/>
          </w:tcPr>
          <w:p w14:paraId="179945F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碧兴科技</w:t>
            </w:r>
          </w:p>
        </w:tc>
        <w:tc>
          <w:tcPr>
            <w:tcW w:w="1128" w:type="dxa"/>
            <w:vAlign w:val="center"/>
          </w:tcPr>
          <w:p w14:paraId="27808A2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17E0CC8D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08A6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965" w:type="dxa"/>
            <w:vAlign w:val="center"/>
          </w:tcPr>
          <w:p w14:paraId="624A5CC3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3942" w:type="dxa"/>
            <w:vAlign w:val="center"/>
          </w:tcPr>
          <w:p w14:paraId="33845A7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注射泵配套2.5mL注射器 （常温）</w:t>
            </w:r>
          </w:p>
        </w:tc>
        <w:tc>
          <w:tcPr>
            <w:tcW w:w="1633" w:type="dxa"/>
            <w:vAlign w:val="center"/>
          </w:tcPr>
          <w:p w14:paraId="5F0696D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碧兴科技</w:t>
            </w:r>
          </w:p>
        </w:tc>
        <w:tc>
          <w:tcPr>
            <w:tcW w:w="1128" w:type="dxa"/>
            <w:vAlign w:val="center"/>
          </w:tcPr>
          <w:p w14:paraId="1CD6A5E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根</w:t>
            </w:r>
          </w:p>
        </w:tc>
        <w:tc>
          <w:tcPr>
            <w:tcW w:w="1125" w:type="dxa"/>
            <w:vAlign w:val="center"/>
          </w:tcPr>
          <w:p w14:paraId="27BF263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2069F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965" w:type="dxa"/>
            <w:vAlign w:val="center"/>
          </w:tcPr>
          <w:p w14:paraId="5C83C05A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3942" w:type="dxa"/>
            <w:vAlign w:val="center"/>
          </w:tcPr>
          <w:p w14:paraId="62359C0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注射泵配套2.5mL注射器 （低温）</w:t>
            </w:r>
          </w:p>
        </w:tc>
        <w:tc>
          <w:tcPr>
            <w:tcW w:w="1633" w:type="dxa"/>
            <w:vAlign w:val="center"/>
          </w:tcPr>
          <w:p w14:paraId="681058E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碧兴科技</w:t>
            </w:r>
          </w:p>
        </w:tc>
        <w:tc>
          <w:tcPr>
            <w:tcW w:w="1128" w:type="dxa"/>
            <w:vAlign w:val="center"/>
          </w:tcPr>
          <w:p w14:paraId="0C8BBC70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根</w:t>
            </w:r>
          </w:p>
        </w:tc>
        <w:tc>
          <w:tcPr>
            <w:tcW w:w="1125" w:type="dxa"/>
            <w:vAlign w:val="center"/>
          </w:tcPr>
          <w:p w14:paraId="67ABCF3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3C5D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965" w:type="dxa"/>
            <w:vAlign w:val="center"/>
          </w:tcPr>
          <w:p w14:paraId="0D4411B1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3942" w:type="dxa"/>
            <w:vAlign w:val="center"/>
          </w:tcPr>
          <w:p w14:paraId="1684AB59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O型圈φ8X1</w:t>
            </w:r>
          </w:p>
        </w:tc>
        <w:tc>
          <w:tcPr>
            <w:tcW w:w="1633" w:type="dxa"/>
            <w:vAlign w:val="center"/>
          </w:tcPr>
          <w:p w14:paraId="68125A1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碧兴科技</w:t>
            </w:r>
          </w:p>
        </w:tc>
        <w:tc>
          <w:tcPr>
            <w:tcW w:w="1128" w:type="dxa"/>
            <w:vAlign w:val="center"/>
          </w:tcPr>
          <w:p w14:paraId="34A9099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4B2D2F21">
            <w:pPr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3C5C1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965" w:type="dxa"/>
            <w:vAlign w:val="center"/>
          </w:tcPr>
          <w:p w14:paraId="187A557F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3942" w:type="dxa"/>
            <w:vAlign w:val="center"/>
          </w:tcPr>
          <w:p w14:paraId="4A5BBED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O型圈_内 10X6X2</w:t>
            </w:r>
          </w:p>
        </w:tc>
        <w:tc>
          <w:tcPr>
            <w:tcW w:w="1633" w:type="dxa"/>
            <w:vAlign w:val="center"/>
          </w:tcPr>
          <w:p w14:paraId="7EAA8D4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碧兴科技</w:t>
            </w:r>
          </w:p>
        </w:tc>
        <w:tc>
          <w:tcPr>
            <w:tcW w:w="1128" w:type="dxa"/>
            <w:vAlign w:val="center"/>
          </w:tcPr>
          <w:p w14:paraId="2748EECF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63CCE3F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595CA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65" w:type="dxa"/>
            <w:vAlign w:val="center"/>
          </w:tcPr>
          <w:p w14:paraId="0A9B2293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3942" w:type="dxa"/>
            <w:vAlign w:val="center"/>
          </w:tcPr>
          <w:p w14:paraId="3997478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蠕动泵管</w:t>
            </w:r>
          </w:p>
        </w:tc>
        <w:tc>
          <w:tcPr>
            <w:tcW w:w="1633" w:type="dxa"/>
            <w:vAlign w:val="center"/>
          </w:tcPr>
          <w:p w14:paraId="6A949CC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  <w:tc>
          <w:tcPr>
            <w:tcW w:w="1128" w:type="dxa"/>
            <w:vAlign w:val="center"/>
          </w:tcPr>
          <w:p w14:paraId="3535C8A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根</w:t>
            </w:r>
          </w:p>
        </w:tc>
        <w:tc>
          <w:tcPr>
            <w:tcW w:w="1125" w:type="dxa"/>
            <w:vAlign w:val="center"/>
          </w:tcPr>
          <w:p w14:paraId="386C263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 w14:paraId="1E7EE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65" w:type="dxa"/>
            <w:vAlign w:val="center"/>
          </w:tcPr>
          <w:p w14:paraId="11CECFE0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3942" w:type="dxa"/>
            <w:vAlign w:val="center"/>
          </w:tcPr>
          <w:p w14:paraId="705DFE34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蠕动泵硅胶管16#</w:t>
            </w:r>
          </w:p>
        </w:tc>
        <w:tc>
          <w:tcPr>
            <w:tcW w:w="1633" w:type="dxa"/>
            <w:vAlign w:val="center"/>
          </w:tcPr>
          <w:p w14:paraId="42D32E9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碧兴科技</w:t>
            </w:r>
          </w:p>
        </w:tc>
        <w:tc>
          <w:tcPr>
            <w:tcW w:w="1128" w:type="dxa"/>
            <w:vAlign w:val="center"/>
          </w:tcPr>
          <w:p w14:paraId="368554C9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根</w:t>
            </w:r>
          </w:p>
        </w:tc>
        <w:tc>
          <w:tcPr>
            <w:tcW w:w="1125" w:type="dxa"/>
            <w:vAlign w:val="center"/>
          </w:tcPr>
          <w:p w14:paraId="2154A453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 w14:paraId="5459F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65" w:type="dxa"/>
            <w:vAlign w:val="center"/>
          </w:tcPr>
          <w:p w14:paraId="60C48E03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3942" w:type="dxa"/>
            <w:vAlign w:val="center"/>
          </w:tcPr>
          <w:p w14:paraId="0E1249C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硬管接头</w:t>
            </w:r>
          </w:p>
        </w:tc>
        <w:tc>
          <w:tcPr>
            <w:tcW w:w="1633" w:type="dxa"/>
            <w:vAlign w:val="center"/>
          </w:tcPr>
          <w:p w14:paraId="77B390B6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碧兴科技</w:t>
            </w:r>
          </w:p>
        </w:tc>
        <w:tc>
          <w:tcPr>
            <w:tcW w:w="1128" w:type="dxa"/>
            <w:vAlign w:val="center"/>
          </w:tcPr>
          <w:p w14:paraId="2269228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2E78808A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</w:tr>
      <w:tr w14:paraId="1145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965" w:type="dxa"/>
            <w:vAlign w:val="center"/>
          </w:tcPr>
          <w:p w14:paraId="47A3896A">
            <w:pPr>
              <w:pStyle w:val="23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3942" w:type="dxa"/>
            <w:vAlign w:val="center"/>
          </w:tcPr>
          <w:p w14:paraId="037DD217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抽水泵</w:t>
            </w:r>
          </w:p>
        </w:tc>
        <w:tc>
          <w:tcPr>
            <w:tcW w:w="1633" w:type="dxa"/>
            <w:vAlign w:val="center"/>
          </w:tcPr>
          <w:p w14:paraId="3007447C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碧兴科技</w:t>
            </w:r>
          </w:p>
        </w:tc>
        <w:tc>
          <w:tcPr>
            <w:tcW w:w="1128" w:type="dxa"/>
            <w:vAlign w:val="center"/>
          </w:tcPr>
          <w:p w14:paraId="5AD8612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125" w:type="dxa"/>
            <w:vAlign w:val="center"/>
          </w:tcPr>
          <w:p w14:paraId="44040F38">
            <w:pPr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bookmarkEnd w:id="0"/>
    </w:tbl>
    <w:p w14:paraId="5E9F41C0">
      <w:pPr>
        <w:pStyle w:val="23"/>
        <w:rPr>
          <w:sz w:val="32"/>
          <w:szCs w:val="32"/>
        </w:rPr>
      </w:pPr>
    </w:p>
    <w:sectPr>
      <w:pgSz w:w="11906" w:h="16838"/>
      <w:pgMar w:top="2098" w:right="1134" w:bottom="1984" w:left="1587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′...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DCB903E"/>
    <w:multiLevelType w:val="multilevel"/>
    <w:tmpl w:val="EDCB903E"/>
    <w:lvl w:ilvl="0" w:tentative="0">
      <w:start w:val="1"/>
      <w:numFmt w:val="chineseCounting"/>
      <w:pStyle w:val="3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1">
    <w:nsid w:val="138FE650"/>
    <w:multiLevelType w:val="singleLevel"/>
    <w:tmpl w:val="138FE650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087A13"/>
    <w:multiLevelType w:val="singleLevel"/>
    <w:tmpl w:val="73087A13"/>
    <w:lvl w:ilvl="0" w:tentative="0">
      <w:start w:val="1"/>
      <w:numFmt w:val="decimal"/>
      <w:pStyle w:val="26"/>
      <w:lvlText w:val="表%1."/>
      <w:lvlJc w:val="left"/>
      <w:pPr>
        <w:tabs>
          <w:tab w:val="left" w:pos="420"/>
        </w:tabs>
        <w:ind w:left="5675" w:leftChars="0" w:hanging="425" w:firstLineChars="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7B1346A"/>
    <w:rsid w:val="0DD52541"/>
    <w:rsid w:val="12CA23BE"/>
    <w:rsid w:val="143D057B"/>
    <w:rsid w:val="1FD47FE6"/>
    <w:rsid w:val="20AF45AF"/>
    <w:rsid w:val="226A668C"/>
    <w:rsid w:val="22B57A2C"/>
    <w:rsid w:val="2A8311B6"/>
    <w:rsid w:val="2D2105E2"/>
    <w:rsid w:val="2F9B467C"/>
    <w:rsid w:val="2FD15807"/>
    <w:rsid w:val="308B46F0"/>
    <w:rsid w:val="3496583D"/>
    <w:rsid w:val="390D0780"/>
    <w:rsid w:val="3B711FBE"/>
    <w:rsid w:val="40AE23FF"/>
    <w:rsid w:val="41901B69"/>
    <w:rsid w:val="41B71360"/>
    <w:rsid w:val="47CF5544"/>
    <w:rsid w:val="495A63BB"/>
    <w:rsid w:val="4CF076EA"/>
    <w:rsid w:val="4D921AE7"/>
    <w:rsid w:val="4E272141"/>
    <w:rsid w:val="4E946A0E"/>
    <w:rsid w:val="50307E91"/>
    <w:rsid w:val="51F6736F"/>
    <w:rsid w:val="52E97019"/>
    <w:rsid w:val="58B959EF"/>
    <w:rsid w:val="59B166C6"/>
    <w:rsid w:val="631F00FB"/>
    <w:rsid w:val="659D2E95"/>
    <w:rsid w:val="6D927E7D"/>
    <w:rsid w:val="6E872DEF"/>
    <w:rsid w:val="74BD5CDC"/>
    <w:rsid w:val="7836317D"/>
    <w:rsid w:val="78772453"/>
    <w:rsid w:val="7DC0487A"/>
    <w:rsid w:val="7E7661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1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3">
    <w:name w:val="heading 1"/>
    <w:basedOn w:val="1"/>
    <w:next w:val="1"/>
    <w:link w:val="25"/>
    <w:qFormat/>
    <w:uiPriority w:val="0"/>
    <w:pPr>
      <w:numPr>
        <w:ilvl w:val="0"/>
        <w:numId w:val="1"/>
      </w:numPr>
      <w:spacing w:line="360" w:lineRule="auto"/>
      <w:ind w:left="0" w:firstLine="403"/>
      <w:jc w:val="left"/>
      <w:outlineLvl w:val="0"/>
    </w:pPr>
    <w:rPr>
      <w:rFonts w:ascii="Arial" w:hAnsi="Arial" w:eastAsia="等线" w:cs="Arial"/>
      <w:b/>
      <w:bCs/>
      <w:sz w:val="30"/>
      <w:szCs w:val="36"/>
    </w:rPr>
  </w:style>
  <w:style w:type="paragraph" w:styleId="4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5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6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7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8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9">
    <w:name w:val="footnote text"/>
    <w:link w:val="22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qFormat/>
    <w:uiPriority w:val="0"/>
    <w:pPr>
      <w:spacing w:before="480" w:after="480" w:line="360" w:lineRule="auto"/>
      <w:ind w:left="0"/>
      <w:jc w:val="center"/>
    </w:pPr>
    <w:rPr>
      <w:rFonts w:ascii="Arial" w:hAnsi="Arial" w:eastAsia="黑体" w:cs="Arial"/>
      <w:b/>
      <w:bCs/>
      <w:sz w:val="44"/>
      <w:szCs w:val="52"/>
    </w:rPr>
  </w:style>
  <w:style w:type="paragraph" w:styleId="12">
    <w:name w:val="Body Text First Indent"/>
    <w:basedOn w:val="2"/>
    <w:qFormat/>
    <w:uiPriority w:val="0"/>
    <w:pPr>
      <w:spacing w:line="360" w:lineRule="auto"/>
      <w:ind w:firstLine="640" w:firstLineChars="200"/>
    </w:pPr>
    <w:rPr>
      <w:rFonts w:eastAsia="仿宋" w:asciiTheme="minorAscii" w:hAnsiTheme="minorAscii"/>
      <w:sz w:val="28"/>
    </w:rPr>
  </w:style>
  <w:style w:type="table" w:styleId="14">
    <w:name w:val="Table Grid"/>
    <w:qFormat/>
    <w:uiPriority w:val="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yperlink"/>
    <w:unhideWhenUsed/>
    <w:qFormat/>
    <w:uiPriority w:val="99"/>
    <w:rPr>
      <w:color w:val="0563C1"/>
      <w:u w:val="single"/>
    </w:rPr>
  </w:style>
  <w:style w:type="character" w:styleId="18">
    <w:name w:val="footnote reference"/>
    <w:semiHidden/>
    <w:unhideWhenUsed/>
    <w:qFormat/>
    <w:uiPriority w:val="99"/>
    <w:rPr>
      <w:vertAlign w:val="superscript"/>
    </w:rPr>
  </w:style>
  <w:style w:type="paragraph" w:customStyle="1" w:styleId="19">
    <w:name w:val="Default"/>
    <w:next w:val="20"/>
    <w:qFormat/>
    <w:uiPriority w:val="99"/>
    <w:pPr>
      <w:widowControl w:val="0"/>
      <w:autoSpaceDE w:val="0"/>
      <w:autoSpaceDN w:val="0"/>
      <w:adjustRightInd w:val="0"/>
    </w:pPr>
    <w:rPr>
      <w:rFonts w:ascii="新宋体′...." w:hAnsi="Calibri" w:eastAsia="新宋体′...." w:cs="新宋体′...."/>
      <w:color w:val="000000"/>
      <w:sz w:val="24"/>
      <w:szCs w:val="24"/>
      <w:lang w:val="en-US" w:eastAsia="zh-CN" w:bidi="ar-SA"/>
    </w:rPr>
  </w:style>
  <w:style w:type="paragraph" w:customStyle="1" w:styleId="20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21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22">
    <w:name w:val="Footnote Text Char"/>
    <w:link w:val="9"/>
    <w:semiHidden/>
    <w:unhideWhenUsed/>
    <w:qFormat/>
    <w:uiPriority w:val="99"/>
    <w:rPr>
      <w:sz w:val="20"/>
      <w:szCs w:val="20"/>
    </w:rPr>
  </w:style>
  <w:style w:type="paragraph" w:customStyle="1" w:styleId="23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24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  <w:style w:type="character" w:customStyle="1" w:styleId="25">
    <w:name w:val="标题 1 Char"/>
    <w:link w:val="3"/>
    <w:qFormat/>
    <w:uiPriority w:val="0"/>
    <w:rPr>
      <w:rFonts w:ascii="Arial" w:hAnsi="Arial" w:eastAsia="等线" w:cs="Arial"/>
      <w:b/>
      <w:bCs/>
      <w:sz w:val="30"/>
      <w:szCs w:val="36"/>
    </w:rPr>
  </w:style>
  <w:style w:type="paragraph" w:customStyle="1" w:styleId="26">
    <w:name w:val="表头"/>
    <w:basedOn w:val="1"/>
    <w:next w:val="1"/>
    <w:qFormat/>
    <w:uiPriority w:val="0"/>
    <w:pPr>
      <w:numPr>
        <w:ilvl w:val="0"/>
        <w:numId w:val="2"/>
      </w:numPr>
      <w:spacing w:before="260" w:after="120" w:line="288" w:lineRule="auto"/>
      <w:jc w:val="center"/>
      <w:outlineLvl w:val="3"/>
    </w:pPr>
    <w:rPr>
      <w:rFonts w:ascii="Arial" w:hAnsi="Arial" w:eastAsia="仿宋" w:cs="Arial"/>
      <w:b/>
      <w:bCs/>
      <w:sz w:val="28"/>
      <w:szCs w:val="28"/>
    </w:rPr>
  </w:style>
  <w:style w:type="character" w:customStyle="1" w:styleId="27">
    <w:name w:val="font61"/>
    <w:basedOn w:val="1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8">
    <w:name w:val="font7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29">
    <w:name w:val="font91"/>
    <w:basedOn w:val="1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30">
    <w:name w:val="font8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51"/>
    <w:basedOn w:val="15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1363</Words>
  <Characters>1490</Characters>
  <TotalTime>0</TotalTime>
  <ScaleCrop>false</ScaleCrop>
  <LinksUpToDate>false</LinksUpToDate>
  <CharactersWithSpaces>1492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2025-11-05T08:17:00Z</dcterms:created>
  <dc:creator>Un-named</dc:creator>
  <cp:lastModifiedBy>樹楓</cp:lastModifiedBy>
  <dcterms:modified xsi:type="dcterms:W3CDTF">2025-12-01T09:56:55Z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eyJoZGlkIjoiZWQzMzEyZmZmN2ZiZGZlYzg5NjQyYjg0NDBjYjliMzEiLCJ1c2VySWQiOiI0NDEyNzIzNTUifQ==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8A82F64D7793464E8F5D59E029E8BBF6_13</vt:lpwstr>
  </property>
</Properties>
</file>