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jc w:val="center"/>
        <w:rPr>
          <w:rFonts w:ascii="Times New Roman" w:hAnsi="Times New Roman" w:eastAsia="方正小标宋_GBK"/>
          <w:sz w:val="32"/>
          <w:szCs w:val="32"/>
        </w:rPr>
      </w:pPr>
      <w:r>
        <w:rPr>
          <w:rFonts w:ascii="宋体" w:hAnsi="宋体" w:eastAsia="宋体" w:cs="宋体"/>
          <w:i w:val="0"/>
          <w:caps w:val="0"/>
          <w:color w:val="000000"/>
          <w:spacing w:val="0"/>
          <w:kern w:val="0"/>
          <w:sz w:val="48"/>
          <w:szCs w:val="48"/>
          <w:shd w:val="clear" w:fill="FFFFFF"/>
          <w:lang w:val="en-US" w:eastAsia="zh-CN" w:bidi="ar"/>
        </w:rPr>
        <w:t>广西壮族自治区玉林生态环境监测中心</w:t>
      </w:r>
      <w:r>
        <w:rPr>
          <w:rFonts w:hint="eastAsia" w:ascii="宋体" w:hAnsi="宋体" w:eastAsia="宋体" w:cs="宋体"/>
          <w:i w:val="0"/>
          <w:caps w:val="0"/>
          <w:color w:val="000000"/>
          <w:spacing w:val="0"/>
          <w:kern w:val="0"/>
          <w:sz w:val="48"/>
          <w:szCs w:val="48"/>
          <w:shd w:val="clear" w:fill="FFFFFF"/>
          <w:lang w:val="en-US" w:eastAsia="zh-CN" w:bidi="ar"/>
        </w:rPr>
        <w:t>X射线荧光光谱仪维修</w:t>
      </w:r>
      <w:r>
        <w:rPr>
          <w:rFonts w:hint="eastAsia" w:ascii="宋体" w:hAnsi="宋体" w:cs="宋体"/>
          <w:i w:val="0"/>
          <w:caps w:val="0"/>
          <w:color w:val="000000"/>
          <w:spacing w:val="0"/>
          <w:kern w:val="0"/>
          <w:sz w:val="48"/>
          <w:szCs w:val="48"/>
          <w:shd w:val="clear" w:fill="FFFFFF"/>
          <w:lang w:val="en-US" w:eastAsia="zh-CN" w:bidi="ar"/>
        </w:rPr>
        <w:t>评分标准</w:t>
      </w:r>
      <w:bookmarkStart w:id="2" w:name="_GoBack"/>
      <w:bookmarkEnd w:id="2"/>
    </w:p>
    <w:p>
      <w:pPr>
        <w:keepNext w:val="0"/>
        <w:keepLines w:val="0"/>
        <w:pageBreakBefore w:val="0"/>
        <w:widowControl w:val="0"/>
        <w:kinsoku/>
        <w:wordWrap/>
        <w:overflowPunct/>
        <w:topLinePunct w:val="0"/>
        <w:autoSpaceDE/>
        <w:autoSpaceDN/>
        <w:bidi w:val="0"/>
        <w:adjustRightInd/>
        <w:snapToGrid/>
        <w:spacing w:line="400" w:lineRule="exact"/>
        <w:ind w:firstLine="486" w:firstLineChars="202"/>
        <w:textAlignment w:val="auto"/>
        <w:rPr>
          <w:rFonts w:hint="eastAsia" w:ascii="仿宋" w:hAnsi="仿宋" w:eastAsia="仿宋" w:cs="仿宋"/>
          <w:b/>
          <w:sz w:val="24"/>
          <w:szCs w:val="24"/>
        </w:rPr>
      </w:pPr>
      <w:r>
        <w:rPr>
          <w:rFonts w:hint="eastAsia" w:ascii="仿宋" w:hAnsi="仿宋" w:eastAsia="仿宋" w:cs="仿宋"/>
          <w:b/>
          <w:sz w:val="24"/>
          <w:szCs w:val="24"/>
        </w:rPr>
        <w:t>一、评审原则</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(一）评审小组构成：本项目的评审小组由采购单位组建，成员包含技术、经济等方面专业人员，成员人数为三人以上（含三人）单数。其中，技术、经济等方面的专家不得少于成员总数的三分之二。</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(二）评审依据：本评审办法和供应商提交的响应文件。</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(三）评审方法：综合评分法。</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2"/>
        <w:textAlignment w:val="auto"/>
        <w:rPr>
          <w:rFonts w:hint="eastAsia" w:ascii="仿宋" w:hAnsi="仿宋" w:eastAsia="仿宋" w:cs="仿宋"/>
          <w:b/>
          <w:sz w:val="24"/>
          <w:szCs w:val="24"/>
        </w:rPr>
      </w:pPr>
      <w:r>
        <w:rPr>
          <w:rFonts w:hint="eastAsia" w:ascii="仿宋" w:hAnsi="仿宋" w:eastAsia="仿宋" w:cs="仿宋"/>
          <w:b/>
          <w:sz w:val="24"/>
          <w:szCs w:val="24"/>
        </w:rPr>
        <w:t>二、评审方法</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供应商提交的报价及资格材料经初核符合要求的进入详评，评审小组将按本评审办法和响应文件为评定依据，采用百分制综合评分法：</w:t>
      </w:r>
    </w:p>
    <w:p>
      <w:pPr>
        <w:spacing w:line="300" w:lineRule="auto"/>
        <w:rPr>
          <w:rFonts w:hint="eastAsia" w:ascii="仿宋" w:hAnsi="仿宋" w:eastAsia="仿宋" w:cs="仿宋"/>
          <w:b/>
          <w:sz w:val="24"/>
          <w:szCs w:val="24"/>
        </w:rPr>
      </w:pPr>
    </w:p>
    <w:p>
      <w:pPr>
        <w:spacing w:line="300" w:lineRule="auto"/>
        <w:rPr>
          <w:rFonts w:hint="eastAsia" w:ascii="仿宋" w:hAnsi="仿宋" w:eastAsia="仿宋" w:cs="仿宋"/>
          <w:spacing w:val="-6"/>
          <w:sz w:val="24"/>
          <w:szCs w:val="24"/>
        </w:rPr>
      </w:pPr>
      <w:r>
        <w:rPr>
          <w:rFonts w:hint="eastAsia" w:ascii="仿宋" w:hAnsi="仿宋" w:eastAsia="仿宋" w:cs="仿宋"/>
          <w:b/>
          <w:sz w:val="24"/>
          <w:szCs w:val="24"/>
        </w:rPr>
        <w:t>评分细则（按四舍五入取至百分位）：</w:t>
      </w:r>
    </w:p>
    <w:tbl>
      <w:tblPr>
        <w:tblStyle w:val="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98"/>
        <w:gridCol w:w="1200"/>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3" w:type="dxa"/>
            <w:gridSpan w:val="2"/>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sz w:val="24"/>
                <w:szCs w:val="24"/>
              </w:rPr>
            </w:pPr>
            <w:r>
              <w:rPr>
                <w:rFonts w:hint="eastAsia" w:ascii="仿宋" w:hAnsi="仿宋" w:eastAsia="仿宋" w:cs="仿宋"/>
                <w:b/>
                <w:sz w:val="24"/>
                <w:szCs w:val="24"/>
              </w:rPr>
              <w:t>序号</w:t>
            </w:r>
          </w:p>
        </w:tc>
        <w:tc>
          <w:tcPr>
            <w:tcW w:w="1200" w:type="dxa"/>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sz w:val="24"/>
                <w:szCs w:val="24"/>
              </w:rPr>
            </w:pPr>
            <w:r>
              <w:rPr>
                <w:rFonts w:hint="eastAsia" w:ascii="仿宋" w:hAnsi="仿宋" w:eastAsia="仿宋" w:cs="仿宋"/>
                <w:b/>
                <w:sz w:val="24"/>
                <w:szCs w:val="24"/>
              </w:rPr>
              <w:t>评分因素</w:t>
            </w:r>
          </w:p>
        </w:tc>
        <w:tc>
          <w:tcPr>
            <w:tcW w:w="6458" w:type="dxa"/>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sz w:val="24"/>
                <w:szCs w:val="24"/>
              </w:rPr>
            </w:pPr>
            <w:r>
              <w:rPr>
                <w:rFonts w:hint="eastAsia" w:ascii="仿宋" w:hAnsi="仿宋" w:eastAsia="仿宋" w:cs="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noWrap w:val="0"/>
            <w:vAlign w:val="center"/>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sz w:val="24"/>
                <w:szCs w:val="24"/>
              </w:rPr>
            </w:pPr>
            <w:bookmarkStart w:id="0" w:name="_Hlk101909890"/>
            <w:r>
              <w:rPr>
                <w:rFonts w:hint="eastAsia" w:ascii="仿宋" w:hAnsi="仿宋" w:eastAsia="仿宋" w:cs="仿宋"/>
                <w:b/>
                <w:sz w:val="24"/>
                <w:szCs w:val="24"/>
              </w:rPr>
              <w:t>1</w:t>
            </w:r>
          </w:p>
        </w:tc>
        <w:tc>
          <w:tcPr>
            <w:tcW w:w="998" w:type="dxa"/>
            <w:noWrap w:val="0"/>
            <w:vAlign w:val="center"/>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sz w:val="24"/>
                <w:szCs w:val="24"/>
              </w:rPr>
            </w:pPr>
            <w:r>
              <w:rPr>
                <w:rFonts w:hint="eastAsia" w:ascii="仿宋" w:hAnsi="仿宋" w:eastAsia="仿宋" w:cs="仿宋"/>
                <w:b/>
                <w:sz w:val="24"/>
                <w:szCs w:val="24"/>
              </w:rPr>
              <w:t>价格分（满分</w:t>
            </w:r>
            <w:r>
              <w:rPr>
                <w:rFonts w:hint="eastAsia" w:ascii="仿宋" w:hAnsi="仿宋" w:eastAsia="仿宋" w:cs="仿宋"/>
                <w:b/>
                <w:sz w:val="24"/>
                <w:szCs w:val="24"/>
                <w:lang w:val="en-US" w:eastAsia="zh-CN"/>
              </w:rPr>
              <w:t>20</w:t>
            </w:r>
            <w:r>
              <w:rPr>
                <w:rFonts w:hint="eastAsia" w:ascii="仿宋" w:hAnsi="仿宋" w:eastAsia="仿宋" w:cs="仿宋"/>
                <w:b/>
                <w:sz w:val="24"/>
                <w:szCs w:val="24"/>
              </w:rPr>
              <w:t>分）</w:t>
            </w:r>
          </w:p>
        </w:tc>
        <w:tc>
          <w:tcPr>
            <w:tcW w:w="1200" w:type="dxa"/>
            <w:noWrap w:val="0"/>
            <w:vAlign w:val="center"/>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投标报价</w:t>
            </w:r>
          </w:p>
        </w:tc>
        <w:tc>
          <w:tcPr>
            <w:tcW w:w="6458" w:type="dxa"/>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）最终中标人的中标金额等于投标报价。</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）满足招标文件要求且评标报价最低的评标报价为评标基准价，其价格分为满分。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）价格分计算公式：价格分=(评标基准价／评标报价)×</w:t>
            </w:r>
            <w:r>
              <w:rPr>
                <w:rFonts w:hint="eastAsia" w:ascii="仿宋" w:hAnsi="仿宋" w:eastAsia="仿宋" w:cs="仿宋"/>
                <w:sz w:val="24"/>
                <w:szCs w:val="24"/>
                <w:lang w:val="en-US" w:eastAsia="zh-CN"/>
              </w:rPr>
              <w:t>20</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noWrap w:val="0"/>
            <w:vAlign w:val="top"/>
          </w:tcPr>
          <w:p>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仿宋" w:hAnsi="仿宋" w:eastAsia="仿宋" w:cs="仿宋"/>
                <w:b/>
                <w:sz w:val="24"/>
                <w:szCs w:val="24"/>
              </w:rPr>
            </w:pPr>
            <w:bookmarkStart w:id="1" w:name="_Hlk105590230"/>
          </w:p>
        </w:tc>
        <w:tc>
          <w:tcPr>
            <w:tcW w:w="998" w:type="dxa"/>
            <w:vMerge w:val="restart"/>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技术分</w:t>
            </w:r>
          </w:p>
          <w:p>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仿宋" w:hAnsi="仿宋" w:eastAsia="仿宋" w:cs="仿宋"/>
                <w:b/>
                <w:bCs/>
                <w:sz w:val="24"/>
                <w:szCs w:val="24"/>
                <w:lang w:eastAsia="zh-CN"/>
              </w:rPr>
            </w:pPr>
            <w:r>
              <w:rPr>
                <w:rFonts w:hint="eastAsia" w:ascii="仿宋" w:hAnsi="仿宋" w:eastAsia="仿宋" w:cs="仿宋"/>
                <w:b/>
                <w:bCs/>
                <w:color w:val="000000"/>
                <w:sz w:val="24"/>
                <w:szCs w:val="24"/>
              </w:rPr>
              <w:t>（</w:t>
            </w:r>
            <w:r>
              <w:rPr>
                <w:rFonts w:hint="eastAsia" w:ascii="仿宋" w:hAnsi="仿宋" w:eastAsia="仿宋" w:cs="仿宋"/>
                <w:b/>
                <w:color w:val="000000"/>
                <w:sz w:val="24"/>
                <w:szCs w:val="24"/>
              </w:rPr>
              <w:t>满分</w:t>
            </w:r>
            <w:r>
              <w:rPr>
                <w:rFonts w:hint="eastAsia" w:ascii="仿宋" w:hAnsi="仿宋" w:eastAsia="仿宋" w:cs="仿宋"/>
                <w:b/>
                <w:bCs/>
                <w:color w:val="000000"/>
                <w:sz w:val="24"/>
                <w:szCs w:val="24"/>
                <w:lang w:val="en-US" w:eastAsia="zh-CN"/>
              </w:rPr>
              <w:t>60</w:t>
            </w:r>
            <w:r>
              <w:rPr>
                <w:rFonts w:hint="eastAsia" w:ascii="仿宋" w:hAnsi="仿宋" w:eastAsia="仿宋" w:cs="仿宋"/>
                <w:b/>
                <w:bCs/>
                <w:color w:val="000000"/>
                <w:sz w:val="24"/>
                <w:szCs w:val="24"/>
              </w:rPr>
              <w:t>分</w:t>
            </w:r>
            <w:r>
              <w:rPr>
                <w:rFonts w:hint="eastAsia" w:ascii="仿宋" w:hAnsi="仿宋" w:eastAsia="仿宋" w:cs="仿宋"/>
                <w:b/>
                <w:bCs/>
                <w:color w:val="000000"/>
                <w:sz w:val="24"/>
                <w:szCs w:val="24"/>
                <w:lang w:eastAsia="zh-CN"/>
              </w:rPr>
              <w:t>）</w:t>
            </w:r>
          </w:p>
        </w:tc>
        <w:tc>
          <w:tcPr>
            <w:tcW w:w="1200"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（满分</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lang w:val="en-US" w:eastAsia="zh-CN"/>
              </w:rPr>
              <w:t>分）</w:t>
            </w:r>
          </w:p>
          <w:p>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color w:val="0000FF"/>
                <w:sz w:val="24"/>
                <w:szCs w:val="24"/>
              </w:rPr>
            </w:pPr>
          </w:p>
        </w:tc>
        <w:tc>
          <w:tcPr>
            <w:tcW w:w="645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 xml:space="preserve"> 分）：服务方案完整、科学，包含详细的维修维护流程、备件保障方案，可操作性强，能充分保障仪器稳定运行。​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分）：服务方案基本完整，维修维护流程、备件保障方案合理，满足项目基本需求。​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三档（</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 xml:space="preserve"> 分）：服务方案不完整，关键环节缺失，或未明确备件保障等核心内容，无法保障项目实施效果。</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top"/>
          </w:tcPr>
          <w:p>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仿宋" w:hAnsi="仿宋" w:eastAsia="仿宋" w:cs="仿宋"/>
                <w:b/>
                <w:sz w:val="24"/>
                <w:szCs w:val="24"/>
              </w:rPr>
            </w:pPr>
          </w:p>
        </w:tc>
        <w:tc>
          <w:tcPr>
            <w:tcW w:w="998" w:type="dxa"/>
            <w:vMerge w:val="continue"/>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bCs/>
                <w:sz w:val="24"/>
                <w:szCs w:val="24"/>
              </w:rPr>
            </w:pPr>
          </w:p>
        </w:tc>
        <w:tc>
          <w:tcPr>
            <w:tcW w:w="1200"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2.2项目实施团队与人员素质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（满分20分）</w:t>
            </w:r>
          </w:p>
          <w:p>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color w:val="0000FF"/>
                <w:sz w:val="24"/>
                <w:szCs w:val="24"/>
              </w:rPr>
            </w:pPr>
          </w:p>
        </w:tc>
        <w:tc>
          <w:tcPr>
            <w:tcW w:w="645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 xml:space="preserve"> 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项目实施团队人员数量≥5 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所承诺的服务团队成员须提供由投标单位为其缴纳的近连续6个月社保缴费证明，且近 3 年主导过 3 个及以上</w:t>
            </w:r>
            <w:r>
              <w:rPr>
                <w:rFonts w:hint="eastAsia" w:ascii="仿宋" w:hAnsi="仿宋" w:eastAsia="仿宋" w:cs="仿宋"/>
                <w:color w:val="000000" w:themeColor="text1"/>
                <w:sz w:val="24"/>
                <w:szCs w:val="24"/>
                <w:lang w:val="en-US" w:eastAsia="zh-CN"/>
                <w14:textFill>
                  <w14:solidFill>
                    <w14:schemeClr w14:val="tx1"/>
                  </w14:solidFill>
                </w14:textFill>
              </w:rPr>
              <w:t>实验</w:t>
            </w:r>
            <w:r>
              <w:rPr>
                <w:rFonts w:hint="eastAsia" w:ascii="仿宋" w:hAnsi="仿宋" w:eastAsia="仿宋" w:cs="仿宋"/>
                <w:color w:val="000000" w:themeColor="text1"/>
                <w:sz w:val="24"/>
                <w:szCs w:val="24"/>
                <w14:textFill>
                  <w14:solidFill>
                    <w14:schemeClr w14:val="tx1"/>
                  </w14:solidFill>
                </w14:textFill>
              </w:rPr>
              <w:t>仪器维修维护项目（提供合同关键页、验收报告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技术服务确认单、维护费用支付证明</w:t>
            </w:r>
            <w:r>
              <w:rPr>
                <w:rFonts w:hint="eastAsia" w:ascii="仿宋" w:hAnsi="仿宋" w:eastAsia="仿宋" w:cs="仿宋"/>
                <w:color w:val="000000" w:themeColor="text1"/>
                <w:sz w:val="24"/>
                <w:szCs w:val="24"/>
                <w14:textFill>
                  <w14:solidFill>
                    <w14:schemeClr w14:val="tx1"/>
                  </w14:solidFill>
                </w14:textFill>
              </w:rPr>
              <w:t>等证明材料）</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团队核心成员接受过仪器原厂专业培训并取得合格证书</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分）：项目实施团队人员数量≥3 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所承诺的服务团队成员须提供由投标单位为其缴纳的近连续6个月社保缴费证明，且近 3 年主导过 1-2 个</w:t>
            </w:r>
            <w:r>
              <w:rPr>
                <w:rFonts w:hint="eastAsia" w:ascii="仿宋" w:hAnsi="仿宋" w:eastAsia="仿宋" w:cs="仿宋"/>
                <w:color w:val="000000" w:themeColor="text1"/>
                <w:sz w:val="24"/>
                <w:szCs w:val="24"/>
                <w:lang w:val="en-US" w:eastAsia="zh-CN"/>
                <w14:textFill>
                  <w14:solidFill>
                    <w14:schemeClr w14:val="tx1"/>
                  </w14:solidFill>
                </w14:textFill>
              </w:rPr>
              <w:t>实验</w:t>
            </w:r>
            <w:r>
              <w:rPr>
                <w:rFonts w:hint="eastAsia" w:ascii="仿宋" w:hAnsi="仿宋" w:eastAsia="仿宋" w:cs="仿宋"/>
                <w:color w:val="000000" w:themeColor="text1"/>
                <w:sz w:val="24"/>
                <w:szCs w:val="24"/>
                <w14:textFill>
                  <w14:solidFill>
                    <w14:schemeClr w14:val="tx1"/>
                  </w14:solidFill>
                </w14:textFill>
              </w:rPr>
              <w:t>仪器维修维护项目（</w:t>
            </w:r>
            <w:r>
              <w:rPr>
                <w:rFonts w:hint="eastAsia" w:ascii="仿宋" w:hAnsi="仿宋" w:eastAsia="仿宋" w:cs="仿宋"/>
                <w:color w:val="000000" w:themeColor="text1"/>
                <w:sz w:val="24"/>
                <w:szCs w:val="24"/>
                <w:lang w:val="en-US" w:eastAsia="zh-CN"/>
                <w14:textFill>
                  <w14:solidFill>
                    <w14:schemeClr w14:val="tx1"/>
                  </w14:solidFill>
                </w14:textFill>
              </w:rPr>
              <w:t>同上</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团队核心成员接受过本机构内部专业培训并取得证书</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三档（</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 xml:space="preserve"> 分）：项目实施团队人员数量＜3 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所承诺的服务团队成员须提供由投标单位为其缴纳的近连续6个月社保缴费证明，无同类项目主导经验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团队成员未提供有效培训证明或技术认证证书，或培训、认证与项目无关。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noWrap w:val="0"/>
            <w:vAlign w:val="top"/>
          </w:tcPr>
          <w:p>
            <w:pPr>
              <w:keepNext w:val="0"/>
              <w:keepLines w:val="0"/>
              <w:pageBreakBefore w:val="0"/>
              <w:kinsoku/>
              <w:wordWrap/>
              <w:overflowPunct/>
              <w:topLinePunct w:val="0"/>
              <w:autoSpaceDE/>
              <w:autoSpaceDN/>
              <w:bidi w:val="0"/>
              <w:adjustRightInd w:val="0"/>
              <w:spacing w:line="400" w:lineRule="exact"/>
              <w:jc w:val="left"/>
              <w:textAlignment w:val="baseline"/>
              <w:rPr>
                <w:rFonts w:hint="eastAsia" w:ascii="仿宋" w:hAnsi="仿宋" w:eastAsia="仿宋" w:cs="仿宋"/>
                <w:b/>
                <w:color w:val="000000"/>
                <w:sz w:val="24"/>
                <w:szCs w:val="24"/>
              </w:rPr>
            </w:pPr>
          </w:p>
        </w:tc>
        <w:tc>
          <w:tcPr>
            <w:tcW w:w="998" w:type="dxa"/>
            <w:vMerge w:val="continue"/>
            <w:noWrap w:val="0"/>
            <w:vAlign w:val="top"/>
          </w:tcPr>
          <w:p>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仿宋" w:hAnsi="仿宋" w:eastAsia="仿宋" w:cs="仿宋"/>
                <w:b/>
                <w:bCs/>
                <w:color w:val="000000"/>
                <w:sz w:val="24"/>
                <w:szCs w:val="24"/>
              </w:rPr>
            </w:pPr>
          </w:p>
        </w:tc>
        <w:tc>
          <w:tcPr>
            <w:tcW w:w="1200"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2.3售后服务（满分20分）</w:t>
            </w:r>
          </w:p>
          <w:p>
            <w:pPr>
              <w:pStyle w:val="7"/>
              <w:keepNext w:val="0"/>
              <w:keepLines w:val="0"/>
              <w:pageBreakBefore w:val="0"/>
              <w:kinsoku/>
              <w:wordWrap/>
              <w:overflowPunct/>
              <w:topLinePunct w:val="0"/>
              <w:autoSpaceDE/>
              <w:autoSpaceDN/>
              <w:bidi w:val="0"/>
              <w:spacing w:line="400" w:lineRule="exact"/>
              <w:ind w:firstLine="0" w:firstLineChars="0"/>
              <w:contextualSpacing/>
              <w:jc w:val="center"/>
              <w:rPr>
                <w:rFonts w:hint="eastAsia" w:ascii="仿宋" w:hAnsi="仿宋" w:eastAsia="仿宋" w:cs="仿宋"/>
                <w:bCs/>
                <w:color w:val="000000"/>
                <w:sz w:val="24"/>
                <w:szCs w:val="24"/>
              </w:rPr>
            </w:pPr>
          </w:p>
        </w:tc>
        <w:tc>
          <w:tcPr>
            <w:tcW w:w="6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一档（20分）：有明确售后服务承诺，售后服务措施、响应机制及保障措施完善，售后服务人员落实，岗位职责明确，制订免费技术培训方案，对设备在使用过程中可能出现的问题进行分析并提出针对性解决办法的</w:t>
            </w:r>
            <w:r>
              <w:rPr>
                <w:rFonts w:hint="eastAsia" w:ascii="仿宋" w:hAnsi="仿宋" w:eastAsia="仿宋" w:cs="仿宋"/>
                <w:strike w:val="0"/>
                <w:dstrike w:val="0"/>
                <w:color w:val="000000"/>
                <w:kern w:val="2"/>
                <w:sz w:val="24"/>
                <w:szCs w:val="24"/>
                <w:highlight w:val="none"/>
                <w:lang w:val="en-US" w:eastAsia="zh-CN" w:bidi="ar-SA"/>
              </w:rPr>
              <w:t>得8-10分</w:t>
            </w:r>
            <w:r>
              <w:rPr>
                <w:rFonts w:hint="eastAsia" w:ascii="仿宋" w:hAnsi="仿宋" w:eastAsia="仿宋" w:cs="仿宋"/>
                <w:color w:val="000000"/>
                <w:kern w:val="2"/>
                <w:sz w:val="24"/>
                <w:szCs w:val="24"/>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二档（13分）：售后服务只具有售后服务体系及售后维修服务点设置、保修期内的保修内容与范围、保修期外的维护维修内容与措施及违约责任承诺，售后服务不具有可操作性特点或者不具针对性的得5-7分；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三档（5分）：售后服务不完整或者不具有可操作性特点的得1-4分；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Cs/>
                <w:color w:val="000000"/>
                <w:sz w:val="24"/>
                <w:szCs w:val="24"/>
              </w:rPr>
            </w:pPr>
            <w:r>
              <w:rPr>
                <w:rFonts w:hint="eastAsia" w:ascii="仿宋" w:hAnsi="仿宋" w:eastAsia="仿宋" w:cs="仿宋"/>
                <w:color w:val="000000"/>
                <w:kern w:val="2"/>
                <w:sz w:val="24"/>
                <w:szCs w:val="24"/>
                <w:highlight w:val="none"/>
                <w:lang w:val="en-US" w:eastAsia="zh-CN" w:bidi="ar-SA"/>
              </w:rPr>
              <w:t>四档（0分）：无售后服务方案的，得0分。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2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仿宋" w:hAnsi="仿宋" w:eastAsia="仿宋" w:cs="仿宋"/>
                <w:b/>
                <w:color w:val="000000"/>
                <w:sz w:val="24"/>
                <w:szCs w:val="24"/>
              </w:rPr>
            </w:pPr>
            <w:r>
              <w:rPr>
                <w:rFonts w:hint="eastAsia" w:ascii="仿宋" w:hAnsi="仿宋" w:eastAsia="仿宋" w:cs="仿宋"/>
                <w:b/>
                <w:color w:val="000000"/>
                <w:sz w:val="24"/>
                <w:szCs w:val="24"/>
              </w:rPr>
              <w:t>3</w:t>
            </w:r>
          </w:p>
        </w:tc>
        <w:tc>
          <w:tcPr>
            <w:tcW w:w="998"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baseline"/>
              <w:rPr>
                <w:rFonts w:hint="eastAsia" w:ascii="仿宋" w:hAnsi="仿宋" w:eastAsia="仿宋" w:cs="仿宋"/>
                <w:b/>
                <w:color w:val="000000"/>
                <w:sz w:val="24"/>
                <w:szCs w:val="24"/>
              </w:rPr>
            </w:pPr>
            <w:r>
              <w:rPr>
                <w:rFonts w:hint="eastAsia" w:ascii="仿宋" w:hAnsi="仿宋" w:eastAsia="仿宋" w:cs="仿宋"/>
                <w:b/>
                <w:color w:val="000000"/>
                <w:sz w:val="24"/>
                <w:szCs w:val="24"/>
              </w:rPr>
              <w:t>商务分（满分</w:t>
            </w:r>
            <w:r>
              <w:rPr>
                <w:rFonts w:hint="eastAsia" w:ascii="仿宋" w:hAnsi="仿宋" w:eastAsia="仿宋" w:cs="仿宋"/>
                <w:b/>
                <w:color w:val="000000"/>
                <w:sz w:val="24"/>
                <w:szCs w:val="24"/>
                <w:lang w:val="en-US" w:eastAsia="zh-CN"/>
              </w:rPr>
              <w:t>20</w:t>
            </w:r>
            <w:r>
              <w:rPr>
                <w:rFonts w:hint="eastAsia" w:ascii="仿宋" w:hAnsi="仿宋" w:eastAsia="仿宋" w:cs="仿宋"/>
                <w:b/>
                <w:color w:val="000000"/>
                <w:sz w:val="24"/>
                <w:szCs w:val="24"/>
              </w:rPr>
              <w:t>分）</w:t>
            </w:r>
          </w:p>
        </w:tc>
        <w:tc>
          <w:tcPr>
            <w:tcW w:w="1200" w:type="dxa"/>
            <w:noWrap w:val="0"/>
            <w:tcMar>
              <w:left w:w="57" w:type="dxa"/>
              <w:right w:w="57" w:type="dxa"/>
            </w:tcMar>
            <w:vAlign w:val="center"/>
          </w:tcPr>
          <w:p>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color w:val="000000"/>
                <w:sz w:val="24"/>
                <w:szCs w:val="24"/>
              </w:rPr>
            </w:pPr>
            <w:r>
              <w:rPr>
                <w:rFonts w:hint="eastAsia" w:ascii="仿宋" w:hAnsi="仿宋" w:eastAsia="仿宋" w:cs="仿宋"/>
                <w:bCs/>
                <w:color w:val="000000"/>
                <w:sz w:val="24"/>
                <w:szCs w:val="24"/>
              </w:rPr>
              <w:t>业绩分（</w:t>
            </w:r>
            <w:r>
              <w:rPr>
                <w:rFonts w:hint="eastAsia" w:ascii="仿宋" w:hAnsi="仿宋" w:eastAsia="仿宋" w:cs="仿宋"/>
                <w:color w:val="000000"/>
                <w:sz w:val="24"/>
                <w:szCs w:val="24"/>
              </w:rPr>
              <w:t>满分</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分</w:t>
            </w:r>
            <w:r>
              <w:rPr>
                <w:rFonts w:hint="eastAsia" w:ascii="仿宋" w:hAnsi="仿宋" w:eastAsia="仿宋" w:cs="仿宋"/>
                <w:bCs/>
                <w:color w:val="000000"/>
                <w:sz w:val="24"/>
                <w:szCs w:val="24"/>
              </w:rPr>
              <w:t>）</w:t>
            </w:r>
          </w:p>
        </w:tc>
        <w:tc>
          <w:tcPr>
            <w:tcW w:w="6458" w:type="dxa"/>
            <w:noWrap w:val="0"/>
            <w:tcMar>
              <w:left w:w="57" w:type="dxa"/>
              <w:right w:w="57" w:type="dxa"/>
            </w:tcMar>
            <w:vAlign w:val="top"/>
          </w:tcPr>
          <w:p>
            <w:pPr>
              <w:keepNext w:val="0"/>
              <w:keepLines w:val="0"/>
              <w:pageBreakBefore w:val="0"/>
              <w:kinsoku/>
              <w:wordWrap/>
              <w:overflowPunct/>
              <w:topLinePunct w:val="0"/>
              <w:autoSpaceDE/>
              <w:autoSpaceDN/>
              <w:bidi w:val="0"/>
              <w:spacing w:line="400" w:lineRule="exact"/>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投标人提供自202</w:t>
            </w:r>
            <w:r>
              <w:rPr>
                <w:rFonts w:hint="eastAsia" w:ascii="仿宋" w:hAnsi="仿宋" w:eastAsia="仿宋" w:cs="仿宋"/>
                <w:sz w:val="24"/>
                <w:szCs w:val="24"/>
                <w:lang w:val="en-US" w:eastAsia="zh-CN"/>
              </w:rPr>
              <w:t>0</w:t>
            </w:r>
            <w:r>
              <w:rPr>
                <w:rFonts w:hint="default" w:ascii="仿宋" w:hAnsi="仿宋" w:eastAsia="仿宋" w:cs="仿宋"/>
                <w:sz w:val="24"/>
                <w:szCs w:val="24"/>
                <w:lang w:val="en-US" w:eastAsia="zh-CN"/>
              </w:rPr>
              <w:t>年1月1日以来完成</w:t>
            </w:r>
            <w:r>
              <w:rPr>
                <w:rFonts w:hint="eastAsia" w:ascii="仿宋" w:hAnsi="仿宋" w:eastAsia="仿宋" w:cs="仿宋"/>
                <w:sz w:val="24"/>
                <w:szCs w:val="24"/>
                <w:lang w:val="en-US" w:eastAsia="zh-CN"/>
              </w:rPr>
              <w:t>同类</w:t>
            </w:r>
            <w:r>
              <w:rPr>
                <w:rFonts w:hint="default" w:ascii="仿宋" w:hAnsi="仿宋" w:eastAsia="仿宋" w:cs="仿宋"/>
                <w:sz w:val="24"/>
                <w:szCs w:val="24"/>
                <w:lang w:val="en-US" w:eastAsia="zh-CN"/>
              </w:rPr>
              <w:t>项目业绩证明材料（以有效中标（成交）通知书或合同复印件并加盖投标人公章），每提供1个得</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分，满分</w:t>
            </w:r>
            <w:r>
              <w:rPr>
                <w:rFonts w:hint="eastAsia" w:ascii="仿宋" w:hAnsi="仿宋" w:eastAsia="仿宋" w:cs="仿宋"/>
                <w:sz w:val="24"/>
                <w:szCs w:val="24"/>
                <w:lang w:val="en-US" w:eastAsia="zh-CN"/>
              </w:rPr>
              <w:t>20</w:t>
            </w:r>
            <w:r>
              <w:rPr>
                <w:rFonts w:hint="default" w:ascii="仿宋" w:hAnsi="仿宋" w:eastAsia="仿宋" w:cs="仿宋"/>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081" w:type="dxa"/>
            <w:gridSpan w:val="4"/>
            <w:noWrap w:val="0"/>
            <w:vAlign w:val="top"/>
          </w:tcPr>
          <w:p>
            <w:pPr>
              <w:keepNext w:val="0"/>
              <w:keepLines w:val="0"/>
              <w:pageBreakBefore w:val="0"/>
              <w:kinsoku/>
              <w:wordWrap/>
              <w:overflowPunct/>
              <w:topLinePunct w:val="0"/>
              <w:autoSpaceDE/>
              <w:autoSpaceDN/>
              <w:bidi w:val="0"/>
              <w:snapToGrid w:val="0"/>
              <w:spacing w:line="400" w:lineRule="exact"/>
              <w:ind w:firstLine="481" w:firstLineChars="200"/>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rPr>
              <w:t>总得分=1+2+3</w:t>
            </w:r>
          </w:p>
        </w:tc>
      </w:tr>
    </w:tbl>
    <w:p>
      <w:pPr>
        <w:spacing w:line="300" w:lineRule="auto"/>
        <w:rPr>
          <w:rFonts w:ascii="Times New Roman" w:hAnsi="Times New Roman"/>
          <w:spacing w:val="-6"/>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86" w:firstLineChars="202"/>
        <w:textAlignment w:val="auto"/>
        <w:rPr>
          <w:rFonts w:hint="eastAsia" w:ascii="仿宋" w:hAnsi="仿宋" w:eastAsia="仿宋" w:cs="仿宋"/>
          <w:b/>
          <w:sz w:val="24"/>
          <w:szCs w:val="24"/>
        </w:rPr>
      </w:pPr>
      <w:r>
        <w:rPr>
          <w:rFonts w:hint="eastAsia" w:ascii="仿宋" w:hAnsi="仿宋" w:eastAsia="仿宋" w:cs="仿宋"/>
          <w:b/>
          <w:sz w:val="24"/>
          <w:szCs w:val="24"/>
        </w:rPr>
        <w:t>三、成交候选人推荐原则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sectPr>
          <w:pgSz w:w="11906" w:h="16838"/>
          <w:pgMar w:top="1440" w:right="1797" w:bottom="1440" w:left="1797" w:header="851" w:footer="992" w:gutter="0"/>
          <w:pgNumType w:fmt="numberInDash"/>
          <w:cols w:space="720" w:num="1"/>
          <w:docGrid w:type="lines" w:linePitch="312" w:charSpace="0"/>
        </w:sectPr>
      </w:pPr>
      <w:r>
        <w:rPr>
          <w:rFonts w:hint="eastAsia" w:ascii="仿宋" w:hAnsi="仿宋" w:eastAsia="仿宋" w:cs="仿宋"/>
          <w:sz w:val="24"/>
          <w:szCs w:val="24"/>
        </w:rPr>
        <w:t xml:space="preserve">    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74C7"/>
    <w:rsid w:val="05B30BFA"/>
    <w:rsid w:val="0BD716D7"/>
    <w:rsid w:val="0E9658AF"/>
    <w:rsid w:val="10B60CA0"/>
    <w:rsid w:val="160E4AAD"/>
    <w:rsid w:val="18820C52"/>
    <w:rsid w:val="199649B5"/>
    <w:rsid w:val="1AA96D8E"/>
    <w:rsid w:val="1D313394"/>
    <w:rsid w:val="22C13E76"/>
    <w:rsid w:val="274535E8"/>
    <w:rsid w:val="2C567FD4"/>
    <w:rsid w:val="2FD7142C"/>
    <w:rsid w:val="33A20235"/>
    <w:rsid w:val="3AC07B54"/>
    <w:rsid w:val="3C053A08"/>
    <w:rsid w:val="3CB10852"/>
    <w:rsid w:val="46807E6F"/>
    <w:rsid w:val="47BB4D68"/>
    <w:rsid w:val="4C020DAC"/>
    <w:rsid w:val="4D833DB0"/>
    <w:rsid w:val="50395D8C"/>
    <w:rsid w:val="5658126C"/>
    <w:rsid w:val="5B307239"/>
    <w:rsid w:val="5BC90992"/>
    <w:rsid w:val="5DED327A"/>
    <w:rsid w:val="5E0D4E91"/>
    <w:rsid w:val="62A72D5C"/>
    <w:rsid w:val="65C72AA6"/>
    <w:rsid w:val="69C3004B"/>
    <w:rsid w:val="6B132C26"/>
    <w:rsid w:val="6BB0114A"/>
    <w:rsid w:val="70D50A94"/>
    <w:rsid w:val="724951EC"/>
    <w:rsid w:val="745E0287"/>
    <w:rsid w:val="773A78A3"/>
    <w:rsid w:val="776326AC"/>
    <w:rsid w:val="77887588"/>
    <w:rsid w:val="7DFBD6E3"/>
    <w:rsid w:val="7F050659"/>
    <w:rsid w:val="7F2A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toc 1"/>
    <w:basedOn w:val="1"/>
    <w:next w:val="1"/>
    <w:qFormat/>
    <w:uiPriority w:val="39"/>
    <w:pPr>
      <w:tabs>
        <w:tab w:val="right" w:leader="dot" w:pos="8398"/>
      </w:tabs>
      <w:spacing w:before="120" w:after="120" w:line="360" w:lineRule="auto"/>
      <w:ind w:firstLine="100" w:firstLineChars="100"/>
      <w:jc w:val="left"/>
    </w:pPr>
    <w:rPr>
      <w:rFonts w:ascii="宋体" w:hAnsi="宋体"/>
      <w:b/>
      <w:bCs/>
      <w:caps/>
      <w:sz w:val="30"/>
    </w:rPr>
  </w:style>
  <w:style w:type="character" w:styleId="6">
    <w:name w:val="annotation reference"/>
    <w:unhideWhenUsed/>
    <w:qFormat/>
    <w:uiPriority w:val="0"/>
    <w:rPr>
      <w:sz w:val="21"/>
      <w:szCs w:val="21"/>
    </w:rPr>
  </w:style>
  <w:style w:type="paragraph" w:styleId="7">
    <w:name w:val="List Paragraph"/>
    <w:basedOn w:val="1"/>
    <w:qFormat/>
    <w:uiPriority w:val="99"/>
    <w:pPr>
      <w:spacing w:line="360" w:lineRule="auto"/>
      <w:ind w:firstLine="420" w:firstLineChars="20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1481</Words>
  <Characters>1520</Characters>
  <Lines>0</Lines>
  <Paragraphs>0</Paragraphs>
  <TotalTime>0</TotalTime>
  <ScaleCrop>false</ScaleCrop>
  <LinksUpToDate>false</LinksUpToDate>
  <CharactersWithSpaces>1541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2025-11-26T17:23:00Z</dcterms:created>
  <dc:creator>Administrator</dc:creator>
  <cp:lastModifiedBy>huawei</cp:lastModifiedBy>
  <dcterms:modified xsi:type="dcterms:W3CDTF">2025-12-03T12:10:37Z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eyJoZGlkIjoiNDU0M2Q2NGM3ZTY4ODgyMzU4NWFlMzQwYTU0MjA1YTMiLCJ1c2VySWQiOiI3Njg0OTQyOTMifQ==</vt:lpwstr>
  </property>
  <property fmtid="{D5CDD505-2E9C-101B-9397-08002B2CF9AE}" pid="4" name="ICV">
    <vt:lpwstr>4E1C3C311B1A415AAD5FBDD73861DF34_13</vt:lpwstr>
  </property>
</Properties>
</file>