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C5E9"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附件2</w:t>
      </w:r>
    </w:p>
    <w:p w14:paraId="190B05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kern w:val="0"/>
          <w:sz w:val="44"/>
          <w:szCs w:val="44"/>
          <w:highlight w:val="none"/>
          <w:lang w:val="en-US" w:eastAsia="zh-CN"/>
        </w:rPr>
        <w:t>供应商供货要求</w:t>
      </w:r>
    </w:p>
    <w:p w14:paraId="5EA0C0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kern w:val="0"/>
          <w:sz w:val="44"/>
          <w:szCs w:val="44"/>
          <w:highlight w:val="none"/>
          <w:lang w:val="en-US" w:eastAsia="zh-CN"/>
        </w:rPr>
      </w:pPr>
    </w:p>
    <w:p w14:paraId="6A511B9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供应我中心耗材在规格、包装、型号、有效期、生产厂家等质量参数与我中心采购计划相一致，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须提供相对应授权证明或正规采购渠道证明（可在中标后提供）。</w:t>
      </w:r>
      <w:bookmarkStart w:id="0" w:name="_GoBack"/>
      <w:bookmarkEnd w:id="0"/>
    </w:p>
    <w:p w14:paraId="66F8BC6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 w14:paraId="51F22A4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420" w:firstLineChars="0"/>
        <w:jc w:val="both"/>
        <w:textAlignment w:val="auto"/>
      </w:pP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E86DF"/>
    <w:multiLevelType w:val="singleLevel"/>
    <w:tmpl w:val="571E86D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56052"/>
    <w:rsid w:val="1F356052"/>
    <w:rsid w:val="4CF856D5"/>
    <w:rsid w:val="52FEE8D3"/>
    <w:rsid w:val="7DB9A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2025-11-13T05:47:00Z</dcterms:created>
  <dc:creator>Linghui</dc:creator>
  <cp:lastModifiedBy>huawei</cp:lastModifiedBy>
  <dcterms:modified xsi:type="dcterms:W3CDTF">2025-12-08T08:33:50Z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ADB1896DF01EA43587F12F69ECCBF3E7_43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